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A8536" w14:textId="2F493782" w:rsidR="002F767A" w:rsidRDefault="00AA0596" w:rsidP="002F767A">
      <w:pPr>
        <w:jc w:val="both"/>
      </w:pPr>
      <w:r>
        <w:t xml:space="preserve">Welcome to this podcast on </w:t>
      </w:r>
      <w:r w:rsidR="00BB7F17">
        <w:t xml:space="preserve">Classification of Collateral </w:t>
      </w:r>
      <w:r w:rsidR="002F767A">
        <w:t xml:space="preserve">II </w:t>
      </w:r>
      <w:r w:rsidR="00BB7F17">
        <w:t>b</w:t>
      </w:r>
      <w:r>
        <w:t xml:space="preserve">rought to you by CALI. I am Professor Jennifer S. Martin. </w:t>
      </w:r>
      <w:r w:rsidR="002F767A">
        <w:t>This is the second</w:t>
      </w:r>
      <w:r w:rsidR="004A5C95">
        <w:t xml:space="preserve"> of two podcasts that</w:t>
      </w:r>
      <w:r w:rsidR="002F767A">
        <w:t xml:space="preserve"> describe the process by which a </w:t>
      </w:r>
      <w:r w:rsidR="00F245BA">
        <w:t xml:space="preserve">secured </w:t>
      </w:r>
      <w:r w:rsidR="002F767A">
        <w:t>creditor identifies collateral subject to a security interest under</w:t>
      </w:r>
      <w:r w:rsidR="00F568FC">
        <w:t xml:space="preserve"> Article 9 of the</w:t>
      </w:r>
      <w:r w:rsidR="002F767A">
        <w:t xml:space="preserve"> Uniform Commercial Code</w:t>
      </w:r>
      <w:r w:rsidR="00F568FC">
        <w:t>.</w:t>
      </w:r>
      <w:r w:rsidR="002F767A">
        <w:t xml:space="preserve"> This podcast will focus primarily on descriptions of intangible personal property, including the descriptions used in a security agreement. Classifications of collateral constituting tangible property, that is</w:t>
      </w:r>
      <w:r w:rsidR="00BE1007">
        <w:t>,</w:t>
      </w:r>
      <w:r w:rsidR="002F767A">
        <w:t xml:space="preserve"> goods, are left to another podcast.</w:t>
      </w:r>
    </w:p>
    <w:p w14:paraId="74D57FAC" w14:textId="3CC80235" w:rsidR="0076787D" w:rsidRDefault="0050237E" w:rsidP="00CA50FC">
      <w:pPr>
        <w:jc w:val="both"/>
      </w:pPr>
      <w:r>
        <w:t xml:space="preserve">Article 9 contains several rules that are dependent upon the classification of collateral, including rules for attachment of a security interest, the method of enforcement of a security interest once attached, </w:t>
      </w:r>
      <w:r w:rsidR="00BE1007">
        <w:t xml:space="preserve">the </w:t>
      </w:r>
      <w:r>
        <w:t>perfection of a security interest, and the rights of third parties, including priority of competing creditors. These rules are many</w:t>
      </w:r>
      <w:r w:rsidR="00B504C4">
        <w:t xml:space="preserve"> and </w:t>
      </w:r>
      <w:r w:rsidR="00102341">
        <w:t xml:space="preserve">are </w:t>
      </w:r>
      <w:r w:rsidR="00B504C4">
        <w:t>often related to industry practices</w:t>
      </w:r>
      <w:r>
        <w:t>, but the best place to begin is how the classification of collateral matters in the creation of the security interest.</w:t>
      </w:r>
      <w:r w:rsidR="00DE66DF">
        <w:t xml:space="preserve"> </w:t>
      </w:r>
      <w:r w:rsidR="00102341">
        <w:t>O</w:t>
      </w:r>
      <w:r w:rsidR="002F767A">
        <w:t xml:space="preserve">ne of the </w:t>
      </w:r>
      <w:r w:rsidR="00102341">
        <w:t xml:space="preserve">methods of describing </w:t>
      </w:r>
      <w:r w:rsidR="002F767A">
        <w:t>collateral expressly</w:t>
      </w:r>
      <w:r>
        <w:t xml:space="preserve"> recognized as sufficient under</w:t>
      </w:r>
      <w:r w:rsidR="002F767A">
        <w:t xml:space="preserve"> </w:t>
      </w:r>
      <w:r w:rsidR="00E608A1">
        <w:t xml:space="preserve">§ </w:t>
      </w:r>
      <w:r w:rsidR="00BB7F17">
        <w:t xml:space="preserve">9-108 </w:t>
      </w:r>
      <w:r w:rsidR="00657BB9">
        <w:t xml:space="preserve">is </w:t>
      </w:r>
      <w:r>
        <w:t>to</w:t>
      </w:r>
      <w:r w:rsidR="002F767A">
        <w:t xml:space="preserve"> identify the collateral</w:t>
      </w:r>
      <w:r>
        <w:t xml:space="preserve"> in a </w:t>
      </w:r>
      <w:r w:rsidR="002F767A">
        <w:t xml:space="preserve">security agreement </w:t>
      </w:r>
      <w:r w:rsidR="00680E38">
        <w:t>by using</w:t>
      </w:r>
      <w:r>
        <w:t xml:space="preserve"> </w:t>
      </w:r>
      <w:r w:rsidR="004A5C95">
        <w:t xml:space="preserve">the </w:t>
      </w:r>
      <w:r w:rsidR="00BB7F17">
        <w:t>types of collateral defined in the Uniform Commercial Code</w:t>
      </w:r>
      <w:r w:rsidR="002F767A">
        <w:t>. The podcast Classification of Collateral I discusse</w:t>
      </w:r>
      <w:r w:rsidR="00102341">
        <w:t>s</w:t>
      </w:r>
      <w:r w:rsidR="002F767A">
        <w:t xml:space="preserve"> Article 9 categories for tangible </w:t>
      </w:r>
      <w:r w:rsidR="00777836">
        <w:t xml:space="preserve">personal </w:t>
      </w:r>
      <w:r w:rsidR="002F767A">
        <w:t>property. Article 9</w:t>
      </w:r>
      <w:r w:rsidR="00625C19">
        <w:t>, though,</w:t>
      </w:r>
      <w:r w:rsidR="002F767A">
        <w:t xml:space="preserve"> also includes the following </w:t>
      </w:r>
      <w:r w:rsidR="00E608A1">
        <w:t xml:space="preserve">specific intangible collateral </w:t>
      </w:r>
      <w:r w:rsidR="002F767A">
        <w:t>categories</w:t>
      </w:r>
      <w:r w:rsidR="00E608A1">
        <w:t xml:space="preserve"> under § 9-102</w:t>
      </w:r>
      <w:r w:rsidR="00625C19">
        <w:t xml:space="preserve"> </w:t>
      </w:r>
      <w:r w:rsidR="004A5C95">
        <w:t>that</w:t>
      </w:r>
      <w:r w:rsidR="00625C19">
        <w:t xml:space="preserve"> may </w:t>
      </w:r>
      <w:r w:rsidR="00102341">
        <w:t xml:space="preserve">be </w:t>
      </w:r>
      <w:r w:rsidR="00625C19">
        <w:t>use</w:t>
      </w:r>
      <w:r w:rsidR="00102341">
        <w:t>d</w:t>
      </w:r>
      <w:r w:rsidR="00625C19">
        <w:t xml:space="preserve"> to describe collateral</w:t>
      </w:r>
      <w:r w:rsidR="002F767A">
        <w:t>: accounts, chattel paper, commercial tort claims, deposit accounts, documents, instruments, investment property</w:t>
      </w:r>
      <w:r w:rsidR="00E608A1">
        <w:t xml:space="preserve">, general intangibles, </w:t>
      </w:r>
      <w:r w:rsidR="003623DA">
        <w:t xml:space="preserve">and </w:t>
      </w:r>
      <w:r w:rsidR="00E608A1">
        <w:t xml:space="preserve">letter of credit rights. </w:t>
      </w:r>
      <w:r w:rsidR="0076787D">
        <w:t>Many of these categories even have subcategories! For instance, instruments might be negotiable or nonnegotiable</w:t>
      </w:r>
      <w:r w:rsidR="00BE1007">
        <w:t>,</w:t>
      </w:r>
      <w:r w:rsidR="0076787D">
        <w:t xml:space="preserve"> and accounts</w:t>
      </w:r>
      <w:r w:rsidR="00102341">
        <w:t xml:space="preserve"> </w:t>
      </w:r>
      <w:r w:rsidR="0076787D">
        <w:t>include</w:t>
      </w:r>
      <w:r w:rsidR="00102341">
        <w:t>s</w:t>
      </w:r>
      <w:r w:rsidR="0076787D">
        <w:t xml:space="preserve"> health care insurance receivables as well as accounts receivable. </w:t>
      </w:r>
      <w:r w:rsidR="003623DA">
        <w:t>While the term “intangible” is not defined in Article 9, e</w:t>
      </w:r>
      <w:r w:rsidR="0076787D">
        <w:t xml:space="preserve">ach of these categories </w:t>
      </w:r>
      <w:r w:rsidR="003623DA">
        <w:t>are</w:t>
      </w:r>
      <w:r w:rsidR="0076787D">
        <w:t xml:space="preserve"> defined in the Code, most often in §</w:t>
      </w:r>
      <w:r w:rsidR="00102341">
        <w:t xml:space="preserve"> </w:t>
      </w:r>
      <w:r w:rsidR="0076787D">
        <w:t>9-102 or §</w:t>
      </w:r>
      <w:r w:rsidR="00102341">
        <w:t xml:space="preserve"> </w:t>
      </w:r>
      <w:r w:rsidR="0076787D">
        <w:t>1-201.</w:t>
      </w:r>
    </w:p>
    <w:p w14:paraId="11D4979E" w14:textId="53E68948" w:rsidR="00D50140" w:rsidRDefault="0089119D" w:rsidP="00CA50FC">
      <w:pPr>
        <w:jc w:val="both"/>
      </w:pPr>
      <w:r>
        <w:t xml:space="preserve">One </w:t>
      </w:r>
      <w:r w:rsidR="0046385A">
        <w:t xml:space="preserve">common </w:t>
      </w:r>
      <w:r>
        <w:t>type of i</w:t>
      </w:r>
      <w:r w:rsidR="00D50140">
        <w:t xml:space="preserve">ntangible personal property </w:t>
      </w:r>
      <w:r w:rsidR="00CC29C9">
        <w:t>is</w:t>
      </w:r>
      <w:r>
        <w:t xml:space="preserve"> </w:t>
      </w:r>
      <w:r w:rsidR="00102341">
        <w:t>property</w:t>
      </w:r>
      <w:r>
        <w:t xml:space="preserve"> that represent</w:t>
      </w:r>
      <w:r w:rsidR="00102341">
        <w:t>s</w:t>
      </w:r>
      <w:r w:rsidR="00D50140">
        <w:t xml:space="preserve"> </w:t>
      </w:r>
      <w:r w:rsidR="00560ADD">
        <w:t>a right to payment</w:t>
      </w:r>
      <w:r w:rsidR="00D50140">
        <w:t xml:space="preserve"> (sometimes referred to as receivables)</w:t>
      </w:r>
      <w:r>
        <w:t xml:space="preserve">. </w:t>
      </w:r>
      <w:r w:rsidR="00307FDA">
        <w:t>To the extent that some of these payment rights have physical documentation, such as evidence by paper, they are sometimes referred to as quasi-intangible</w:t>
      </w:r>
      <w:r w:rsidR="00102341">
        <w:t>s</w:t>
      </w:r>
      <w:r w:rsidR="00307FDA">
        <w:t xml:space="preserve"> (but this is not a defined term under Article 9). </w:t>
      </w:r>
      <w:r w:rsidR="003623DA">
        <w:t xml:space="preserve">Money is another example of a quasi-intangible. </w:t>
      </w:r>
      <w:r>
        <w:t>Receivables fall</w:t>
      </w:r>
      <w:r w:rsidR="00D50140">
        <w:t xml:space="preserve"> into several </w:t>
      </w:r>
      <w:r w:rsidR="0046385A">
        <w:t xml:space="preserve">Article 9 </w:t>
      </w:r>
      <w:r w:rsidR="00D50140">
        <w:t xml:space="preserve">categories: </w:t>
      </w:r>
      <w:r w:rsidR="0081285F">
        <w:t xml:space="preserve">accounts, </w:t>
      </w:r>
      <w:r w:rsidR="00D50140">
        <w:t xml:space="preserve">chattel paper, instruments, and payment intangibles. These can be tricky to identify at times. </w:t>
      </w:r>
      <w:r w:rsidR="00307FDA">
        <w:t xml:space="preserve">Let’s look at each of </w:t>
      </w:r>
      <w:r w:rsidR="005B1711">
        <w:t>the</w:t>
      </w:r>
      <w:r w:rsidR="00102341">
        <w:t>m</w:t>
      </w:r>
      <w:r w:rsidR="00307FDA">
        <w:t xml:space="preserve"> in turn. </w:t>
      </w:r>
    </w:p>
    <w:p w14:paraId="08D3AB6F" w14:textId="67E3B135" w:rsidR="008E136E" w:rsidRDefault="002D2AE9" w:rsidP="00CA50FC">
      <w:pPr>
        <w:jc w:val="both"/>
      </w:pPr>
      <w:r>
        <w:t xml:space="preserve">The classification of “account” </w:t>
      </w:r>
      <w:r w:rsidR="00307FDA">
        <w:t>means a right to payment of a monetary obligation, including accounts for property that ha</w:t>
      </w:r>
      <w:r w:rsidR="00CC29C9">
        <w:t xml:space="preserve">s </w:t>
      </w:r>
      <w:r w:rsidR="00307FDA">
        <w:t>been sold, leased, licensed, signed</w:t>
      </w:r>
      <w:r w:rsidR="00BE1007">
        <w:t>,</w:t>
      </w:r>
      <w:r w:rsidR="00307FDA">
        <w:t xml:space="preserve"> or otherwise disposed of and </w:t>
      </w:r>
      <w:r>
        <w:t>includes the right to payment of a monetary obligation</w:t>
      </w:r>
      <w:r w:rsidR="005B1711">
        <w:t xml:space="preserve">, </w:t>
      </w:r>
      <w:r>
        <w:t xml:space="preserve">and includes amounts incurred for property, services, insurance, credit </w:t>
      </w:r>
      <w:r w:rsidR="0025290F">
        <w:t xml:space="preserve">card </w:t>
      </w:r>
      <w:r>
        <w:t>charge</w:t>
      </w:r>
      <w:r w:rsidR="0025290F">
        <w:t>s</w:t>
      </w:r>
      <w:r w:rsidR="00BE1007">
        <w:t>,</w:t>
      </w:r>
      <w:r w:rsidR="0025290F">
        <w:t xml:space="preserve"> or</w:t>
      </w:r>
      <w:r>
        <w:t xml:space="preserve"> even lottery winnings. </w:t>
      </w:r>
      <w:r w:rsidR="005B1711">
        <w:t>The classification of “a</w:t>
      </w:r>
      <w:r>
        <w:t>ccount</w:t>
      </w:r>
      <w:r w:rsidR="005B1711">
        <w:t>”</w:t>
      </w:r>
      <w:r>
        <w:t xml:space="preserve"> specifically excludes other payment categories, as well as deposit accounts. </w:t>
      </w:r>
      <w:r w:rsidR="008E136E">
        <w:t>Let’s look at some examples.</w:t>
      </w:r>
    </w:p>
    <w:p w14:paraId="0BD8CDC3" w14:textId="124EE49F" w:rsidR="00CC2458" w:rsidRDefault="00CC2458" w:rsidP="00CC2458">
      <w:pPr>
        <w:jc w:val="both"/>
      </w:pPr>
      <w:r>
        <w:t xml:space="preserve">Example 1. Dentist </w:t>
      </w:r>
      <w:r w:rsidR="00102341">
        <w:t>and</w:t>
      </w:r>
      <w:r>
        <w:t xml:space="preserve"> Second Bank entered into a security agreement that describe</w:t>
      </w:r>
      <w:r w:rsidR="005B1711">
        <w:t>d</w:t>
      </w:r>
      <w:r>
        <w:t xml:space="preserve"> the collateral as accounts. </w:t>
      </w:r>
      <w:r w:rsidR="00910E6C">
        <w:t xml:space="preserve">Dentist provides dental services to Pamela, a patient, who provides her dental insurance card to Dentist. </w:t>
      </w:r>
      <w:r>
        <w:t>In this case, the right to</w:t>
      </w:r>
      <w:r w:rsidR="002C6CFC">
        <w:t xml:space="preserve"> Pamela’s</w:t>
      </w:r>
      <w:r>
        <w:t xml:space="preserve"> monetary obligation would be an account of Dentist. Moreover, the definition of accounts specifically includes healthcare insurance receivables</w:t>
      </w:r>
      <w:r w:rsidR="004F35D2">
        <w:t xml:space="preserve">. Here, </w:t>
      </w:r>
      <w:r>
        <w:t xml:space="preserve">Dentist expects payment </w:t>
      </w:r>
      <w:r w:rsidR="004F35D2">
        <w:t xml:space="preserve">under the insurance policy </w:t>
      </w:r>
      <w:r>
        <w:t xml:space="preserve">upon presentation </w:t>
      </w:r>
      <w:r w:rsidR="004F35D2">
        <w:t xml:space="preserve">by Pamela </w:t>
      </w:r>
      <w:r>
        <w:t>of the insurance card. Accounts would also include any amount owed in the name of individual patients, such as Pamela, arising from services rendered by Dentist but not yet paid for</w:t>
      </w:r>
      <w:r w:rsidR="004F35D2">
        <w:t>, such as amounts not covered by insurance</w:t>
      </w:r>
      <w:r>
        <w:t>.</w:t>
      </w:r>
    </w:p>
    <w:p w14:paraId="175A6757" w14:textId="68A40F02" w:rsidR="00CC2458" w:rsidRDefault="00CC2458" w:rsidP="00CC2458">
      <w:pPr>
        <w:jc w:val="both"/>
      </w:pPr>
      <w:r>
        <w:lastRenderedPageBreak/>
        <w:t xml:space="preserve">Recall that the definition of accounts does not include deposit accounts. When used as a category of collateral under Article 9, </w:t>
      </w:r>
      <w:r w:rsidR="002C6CFC">
        <w:t>“</w:t>
      </w:r>
      <w:r>
        <w:t>deposit account</w:t>
      </w:r>
      <w:r w:rsidR="002C6CFC">
        <w:t>”</w:t>
      </w:r>
      <w:r>
        <w:t xml:space="preserve"> simply means a demand, time, savings, passbook</w:t>
      </w:r>
      <w:r w:rsidR="00BE1007">
        <w:t>,</w:t>
      </w:r>
      <w:r>
        <w:t xml:space="preserve"> or similar account maintained at a bank but does not include investment property or other accounts.</w:t>
      </w:r>
    </w:p>
    <w:p w14:paraId="023B429C" w14:textId="339F6145" w:rsidR="00CC2458" w:rsidRDefault="004D2B43" w:rsidP="00CC2458">
      <w:pPr>
        <w:jc w:val="both"/>
      </w:pPr>
      <w:r>
        <w:t>Example 2</w:t>
      </w:r>
      <w:r w:rsidR="00CC2458">
        <w:t>. Music City and First Bank entered into a security agreement that described the collateral as</w:t>
      </w:r>
      <w:r w:rsidR="00BE1007">
        <w:t xml:space="preserve"> </w:t>
      </w:r>
      <w:r w:rsidR="00B93EAE">
        <w:t xml:space="preserve">deposit </w:t>
      </w:r>
      <w:r w:rsidR="00CC2458">
        <w:t xml:space="preserve">accounts held at First Bank. In this case, the reference to </w:t>
      </w:r>
      <w:r w:rsidR="004D572C">
        <w:t xml:space="preserve">the </w:t>
      </w:r>
      <w:r w:rsidR="00CC2458">
        <w:t>deposit account</w:t>
      </w:r>
      <w:r w:rsidR="00B93EAE">
        <w:t>s</w:t>
      </w:r>
      <w:r w:rsidR="00CC2458">
        <w:t xml:space="preserve"> would include the checking and savings accounts held at First Bank.</w:t>
      </w:r>
      <w:r>
        <w:t xml:space="preserve"> </w:t>
      </w:r>
      <w:r w:rsidR="00271DEA">
        <w:t>But a</w:t>
      </w:r>
      <w:r>
        <w:t xml:space="preserve"> description of the collateral as the “accounts” of Music City would not include the deposit accounts</w:t>
      </w:r>
      <w:r w:rsidR="00B93EAE">
        <w:t>,</w:t>
      </w:r>
      <w:r>
        <w:t xml:space="preserve"> but would include a</w:t>
      </w:r>
      <w:r w:rsidR="00811B03">
        <w:t>cc</w:t>
      </w:r>
      <w:r>
        <w:t>ounts owed and not yet paid by students for music lessons.</w:t>
      </w:r>
    </w:p>
    <w:p w14:paraId="6B775054" w14:textId="0C276BD5" w:rsidR="00880815" w:rsidRDefault="00307FDA" w:rsidP="00880815">
      <w:pPr>
        <w:jc w:val="both"/>
      </w:pPr>
      <w:r>
        <w:t xml:space="preserve">The classification of instruments means a negotiable instrument under Article 3 or any other writing that evidences a right to payment of a monetary obligation, such as a </w:t>
      </w:r>
      <w:r w:rsidR="00271DEA">
        <w:t xml:space="preserve">check or </w:t>
      </w:r>
      <w:r>
        <w:t xml:space="preserve">promissory note, but </w:t>
      </w:r>
      <w:r w:rsidR="00D248E9">
        <w:t xml:space="preserve">does not include a writing </w:t>
      </w:r>
      <w:r>
        <w:t>that is itself a security agreement or lease</w:t>
      </w:r>
      <w:r w:rsidR="004037B7">
        <w:t xml:space="preserve">. An instrument is identified most often </w:t>
      </w:r>
      <w:r w:rsidR="004D572C">
        <w:t xml:space="preserve">as </w:t>
      </w:r>
      <w:r w:rsidR="004037B7">
        <w:t>being</w:t>
      </w:r>
      <w:r w:rsidR="00880815">
        <w:t xml:space="preserve"> the type of writing normally transferred by delivery with an indorsement or assignment. Instruments do not include investment property and writings associated with credit cards. </w:t>
      </w:r>
    </w:p>
    <w:p w14:paraId="38F841FD" w14:textId="5F606F78" w:rsidR="00880815" w:rsidRDefault="00880815" w:rsidP="00880815">
      <w:pPr>
        <w:jc w:val="both"/>
      </w:pPr>
      <w:r>
        <w:t>Example 3. Dentist borrowed $15,000 from Benjamin, her brother, when she began her dental practice, signing a promissory note. Benjamin, needing money himself, borrowed $10,000 from Speedy Finance, and the parties entered into a security agreement that described the collateral as instruments. In this case, the reference to instruments would include the promissory note given to Benjamin from Dentist</w:t>
      </w:r>
      <w:r w:rsidR="004D65BD">
        <w:t>, whether or not the promissory note is negotiable under Article 3</w:t>
      </w:r>
      <w:r>
        <w:t xml:space="preserve">. </w:t>
      </w:r>
    </w:p>
    <w:p w14:paraId="7F8D7016" w14:textId="11A12510" w:rsidR="00C138C3" w:rsidRDefault="009D5CA9" w:rsidP="00CC2458">
      <w:pPr>
        <w:jc w:val="both"/>
      </w:pPr>
      <w:r>
        <w:t>The classification of c</w:t>
      </w:r>
      <w:r w:rsidR="00C138C3">
        <w:t>hattel paper can sometime</w:t>
      </w:r>
      <w:r w:rsidR="005B1711">
        <w:t>s</w:t>
      </w:r>
      <w:r w:rsidR="00C138C3">
        <w:t xml:space="preserve"> be confusing because it is a record or records that </w:t>
      </w:r>
      <w:r w:rsidR="008D4AF7">
        <w:t>include</w:t>
      </w:r>
      <w:r w:rsidR="00C138C3">
        <w:t xml:space="preserve"> both a monetary obligation and a security interest in goods</w:t>
      </w:r>
      <w:r w:rsidR="008D4AF7">
        <w:t>.</w:t>
      </w:r>
      <w:r w:rsidR="00271DEA">
        <w:t xml:space="preserve"> </w:t>
      </w:r>
    </w:p>
    <w:p w14:paraId="71ED1EE8" w14:textId="5F451EB6" w:rsidR="00DF6196" w:rsidRDefault="000272FA" w:rsidP="00D50140">
      <w:pPr>
        <w:jc w:val="both"/>
      </w:pPr>
      <w:r>
        <w:t>Example 4</w:t>
      </w:r>
      <w:r w:rsidR="00EB4DF6">
        <w:t xml:space="preserve">. </w:t>
      </w:r>
      <w:r w:rsidR="00DF6196">
        <w:t>Retailer sells appliances to buyers on credit who pay over time, with each buyer signing an installment sales contract</w:t>
      </w:r>
      <w:r w:rsidR="002C0538">
        <w:t xml:space="preserve"> that includes </w:t>
      </w:r>
      <w:r w:rsidR="005B1711">
        <w:t xml:space="preserve">both </w:t>
      </w:r>
      <w:r w:rsidR="002C0538">
        <w:t>a promise to pay the purchase price of the appliance and grants Retailer a security interest in the appliance</w:t>
      </w:r>
      <w:r w:rsidR="00DF6196">
        <w:t>. Second Bank loaned Retailer $10,000</w:t>
      </w:r>
      <w:r w:rsidR="004D572C">
        <w:t>,</w:t>
      </w:r>
      <w:r w:rsidR="00DF6196">
        <w:t xml:space="preserve"> and the parties entered into a security agreement that describe</w:t>
      </w:r>
      <w:r w:rsidR="005B1711">
        <w:t xml:space="preserve">d </w:t>
      </w:r>
      <w:r w:rsidR="00DF6196">
        <w:t>the collateral as</w:t>
      </w:r>
      <w:r w:rsidR="002C0538">
        <w:t xml:space="preserve"> Retailer’s</w:t>
      </w:r>
      <w:r w:rsidR="00DF6196">
        <w:t xml:space="preserve"> chattel paper. In this case, the reference to </w:t>
      </w:r>
      <w:r w:rsidR="00AF7F00">
        <w:t xml:space="preserve">chattel paper </w:t>
      </w:r>
      <w:r w:rsidR="00DF6196">
        <w:t xml:space="preserve">would include the </w:t>
      </w:r>
      <w:r w:rsidR="00AF7F00">
        <w:t xml:space="preserve">installment sales contracts of Retailer </w:t>
      </w:r>
      <w:r w:rsidR="00DF6196">
        <w:t>arising from the sale of</w:t>
      </w:r>
      <w:r w:rsidR="00AF7F00">
        <w:t xml:space="preserve"> appliances</w:t>
      </w:r>
      <w:r w:rsidR="00DF6196">
        <w:t xml:space="preserve"> to buyers who pay </w:t>
      </w:r>
      <w:r w:rsidR="004D572C">
        <w:t>over</w:t>
      </w:r>
      <w:r w:rsidR="00271DEA">
        <w:t xml:space="preserve"> </w:t>
      </w:r>
      <w:r w:rsidR="004D572C">
        <w:t>time</w:t>
      </w:r>
      <w:r w:rsidR="00AF7F00">
        <w:t xml:space="preserve"> because the installment sales contracts evidence both a monetary obligation </w:t>
      </w:r>
      <w:r w:rsidR="00271DEA">
        <w:t xml:space="preserve">to the Retailer </w:t>
      </w:r>
      <w:r w:rsidR="00AF7F00">
        <w:t>and a security interest arising from the sale of specific goods, the appliances.</w:t>
      </w:r>
      <w:r w:rsidR="009A1622">
        <w:t xml:space="preserve"> Note that chattel paper is better collateral than accounts. In the event of default, an account merely gives the creditor a right to recover the money owed. But with chattel paper, the creditor also has the right to enforce the security interest.</w:t>
      </w:r>
    </w:p>
    <w:p w14:paraId="7270E950" w14:textId="46FD375B" w:rsidR="00761149" w:rsidRDefault="002C0538" w:rsidP="00CA50FC">
      <w:pPr>
        <w:jc w:val="both"/>
      </w:pPr>
      <w:r>
        <w:t xml:space="preserve">The last category of </w:t>
      </w:r>
      <w:r w:rsidR="004037B7">
        <w:t>payment intangible is some other general intangible where the principal obligation is a monetary obligation, but it does</w:t>
      </w:r>
      <w:r w:rsidR="00592AB1">
        <w:t>n’t</w:t>
      </w:r>
      <w:r w:rsidR="004037B7">
        <w:t xml:space="preserve">  fall into the other payment categories we’ve discussed here. </w:t>
      </w:r>
    </w:p>
    <w:p w14:paraId="24D6C24A" w14:textId="07FF9817" w:rsidR="00307FDA" w:rsidRDefault="00761149" w:rsidP="00CA50FC">
      <w:pPr>
        <w:jc w:val="both"/>
      </w:pPr>
      <w:r>
        <w:t>Example 5.</w:t>
      </w:r>
      <w:r w:rsidR="004037B7">
        <w:t xml:space="preserve"> </w:t>
      </w:r>
      <w:r>
        <w:t xml:space="preserve">Bank lends </w:t>
      </w:r>
      <w:proofErr w:type="spellStart"/>
      <w:r>
        <w:t>Equipco</w:t>
      </w:r>
      <w:proofErr w:type="spellEnd"/>
      <w:r>
        <w:t xml:space="preserve"> $250,000, taking a security interest in </w:t>
      </w:r>
      <w:proofErr w:type="spellStart"/>
      <w:r>
        <w:t>Equipco’s</w:t>
      </w:r>
      <w:proofErr w:type="spellEnd"/>
      <w:r>
        <w:t xml:space="preserve"> payment intangibles. </w:t>
      </w:r>
      <w:proofErr w:type="spellStart"/>
      <w:r w:rsidR="00910E6C">
        <w:t>Equipco</w:t>
      </w:r>
      <w:proofErr w:type="spellEnd"/>
      <w:r w:rsidR="00910E6C">
        <w:t xml:space="preserve"> leases an x-ray machine to Dentist, with Dentist paying monthly for the machine (which would be equipment). </w:t>
      </w:r>
      <w:r>
        <w:t>The payment intangible here would include the payments of Dentist under the equipment lease for the x-ray machine.</w:t>
      </w:r>
    </w:p>
    <w:p w14:paraId="54E385E8" w14:textId="6997B523" w:rsidR="00CC29C9" w:rsidRDefault="00761149" w:rsidP="00CA50FC">
      <w:pPr>
        <w:jc w:val="both"/>
      </w:pPr>
      <w:r>
        <w:lastRenderedPageBreak/>
        <w:t>Of course, not all intangibles are related to payments. Categories of intangibles</w:t>
      </w:r>
      <w:r w:rsidR="00271DEA">
        <w:t xml:space="preserve"> unrelated to</w:t>
      </w:r>
      <w:r w:rsidR="000948A7">
        <w:t xml:space="preserve"> a right to</w:t>
      </w:r>
      <w:r w:rsidR="00271DEA">
        <w:t xml:space="preserve"> payment</w:t>
      </w:r>
      <w:r>
        <w:t xml:space="preserve"> under Article 9 include commercial tort claims, documents, investment property, letter of credit rights</w:t>
      </w:r>
      <w:r w:rsidR="00953934">
        <w:t>, general intangibles</w:t>
      </w:r>
      <w:r w:rsidR="005B1711">
        <w:t>,</w:t>
      </w:r>
      <w:r>
        <w:t xml:space="preserve"> and even money</w:t>
      </w:r>
      <w:r w:rsidR="00D77C9D">
        <w:t xml:space="preserve"> (which</w:t>
      </w:r>
      <w:r w:rsidR="004D572C">
        <w:t>,</w:t>
      </w:r>
      <w:r w:rsidR="00D77C9D">
        <w:t xml:space="preserve"> of course</w:t>
      </w:r>
      <w:r w:rsidR="004D572C">
        <w:t>,</w:t>
      </w:r>
      <w:r w:rsidR="00D77C9D">
        <w:t xml:space="preserve"> is a medium of exchange of a domestic or foreign government)</w:t>
      </w:r>
      <w:r>
        <w:t>.</w:t>
      </w:r>
      <w:r w:rsidR="00CC29C9">
        <w:t xml:space="preserve"> Let’s look at some of these categories to make sure that you can identify them.</w:t>
      </w:r>
    </w:p>
    <w:p w14:paraId="42C15E5C" w14:textId="7B417619" w:rsidR="00953934" w:rsidRDefault="00CC29C9" w:rsidP="00CA50FC">
      <w:pPr>
        <w:jc w:val="both"/>
      </w:pPr>
      <w:r>
        <w:t>A commercial tort claim is simply a tort claim where the claimant is an organization</w:t>
      </w:r>
      <w:r w:rsidR="00611CDE">
        <w:t xml:space="preserve"> </w:t>
      </w:r>
      <w:r>
        <w:t xml:space="preserve">or the claimant is an </w:t>
      </w:r>
      <w:r w:rsidR="00611CDE">
        <w:t>individual</w:t>
      </w:r>
      <w:r>
        <w:t xml:space="preserve"> and the claim arose in the claimant’s business or profession but </w:t>
      </w:r>
      <w:r w:rsidR="004D572C">
        <w:t>did</w:t>
      </w:r>
      <w:r>
        <w:t xml:space="preserve"> not involve a personal injury claim. </w:t>
      </w:r>
      <w:r w:rsidR="004237AA">
        <w:t>It</w:t>
      </w:r>
      <w:r w:rsidR="00007CF6">
        <w:t>’</w:t>
      </w:r>
      <w:r w:rsidR="004237AA">
        <w:t>s important to note, though, that under §</w:t>
      </w:r>
      <w:r w:rsidR="005B1711">
        <w:t xml:space="preserve"> </w:t>
      </w:r>
      <w:r w:rsidR="004237AA">
        <w:t>9-108</w:t>
      </w:r>
      <w:r w:rsidR="005B1711">
        <w:t xml:space="preserve">, </w:t>
      </w:r>
      <w:r w:rsidR="004D572C">
        <w:t xml:space="preserve">a </w:t>
      </w:r>
      <w:r w:rsidR="004237AA">
        <w:t xml:space="preserve">description in a security agreement using the category “commercial tort claim” is insufficient to describe collateral. </w:t>
      </w:r>
      <w:r w:rsidR="009D5CA9">
        <w:t>The description must be more specific.</w:t>
      </w:r>
    </w:p>
    <w:p w14:paraId="0C84C46D" w14:textId="0FA50D91" w:rsidR="00CC29C9" w:rsidRDefault="00953934" w:rsidP="00CA50FC">
      <w:pPr>
        <w:jc w:val="both"/>
      </w:pPr>
      <w:r>
        <w:t>Example 6.</w:t>
      </w:r>
      <w:r w:rsidR="00CC29C9">
        <w:t xml:space="preserve"> Dentist </w:t>
      </w:r>
      <w:r w:rsidR="00687D53">
        <w:t xml:space="preserve">has a tort claim against Competitor for business interference. Dentist’s claim would be a commercial tort claim. If Dentist wants to use the claim as collateral for a loan, Bank </w:t>
      </w:r>
      <w:r w:rsidR="005B1711">
        <w:t>can</w:t>
      </w:r>
      <w:r w:rsidR="00687D53">
        <w:t xml:space="preserve">not use the Article 9 description by category but would instead describe the claim more particularly, perhaps </w:t>
      </w:r>
      <w:r w:rsidR="009D5CA9">
        <w:t xml:space="preserve">as “claim against </w:t>
      </w:r>
      <w:r w:rsidR="00BA5E16">
        <w:t>C</w:t>
      </w:r>
      <w:r w:rsidR="009D5CA9">
        <w:t>ompetitor for business interference.”</w:t>
      </w:r>
    </w:p>
    <w:p w14:paraId="5B51FFB3" w14:textId="20E53561" w:rsidR="00953934" w:rsidRDefault="00687D53" w:rsidP="00CA50FC">
      <w:pPr>
        <w:jc w:val="both"/>
      </w:pPr>
      <w:r>
        <w:t>Investment property means a security, whether certificated or uncertificated</w:t>
      </w:r>
      <w:r w:rsidR="004D572C">
        <w:t>,</w:t>
      </w:r>
      <w:r>
        <w:t xml:space="preserve"> and includes securities in accounts. </w:t>
      </w:r>
    </w:p>
    <w:p w14:paraId="305216E0" w14:textId="45DD8392" w:rsidR="00687D53" w:rsidRDefault="00953934" w:rsidP="00CA50FC">
      <w:pPr>
        <w:jc w:val="both"/>
      </w:pPr>
      <w:r>
        <w:t xml:space="preserve">Example 7. </w:t>
      </w:r>
      <w:r w:rsidR="00687D53">
        <w:t>Martin grants a security interest to Bank in her securities</w:t>
      </w:r>
      <w:r>
        <w:t>. The category securit</w:t>
      </w:r>
      <w:r w:rsidR="00D77C9D">
        <w:t>i</w:t>
      </w:r>
      <w:r>
        <w:t>es</w:t>
      </w:r>
      <w:r w:rsidR="00687D53">
        <w:t xml:space="preserve"> would include both her certificated stock in </w:t>
      </w:r>
      <w:r w:rsidR="004D572C">
        <w:t>Willamette</w:t>
      </w:r>
      <w:r w:rsidR="00687D53">
        <w:t xml:space="preserve"> Valley Vineyards and her securities account at Fidelity. </w:t>
      </w:r>
    </w:p>
    <w:p w14:paraId="566C004F" w14:textId="77A56892" w:rsidR="00687D53" w:rsidRDefault="00687D53" w:rsidP="00CA50FC">
      <w:pPr>
        <w:jc w:val="both"/>
      </w:pPr>
      <w:r>
        <w:t xml:space="preserve">The category documents </w:t>
      </w:r>
      <w:r w:rsidR="00066D0D">
        <w:t>refers to</w:t>
      </w:r>
      <w:r>
        <w:t xml:space="preserve"> documents of title and receipts under Article 7 of the UCC and would include warehouse receipts covering goods stored at a warehouse.</w:t>
      </w:r>
    </w:p>
    <w:p w14:paraId="4312C32F" w14:textId="3FA09B32" w:rsidR="00953934" w:rsidRDefault="00066D0D" w:rsidP="00CA50FC">
      <w:pPr>
        <w:jc w:val="both"/>
      </w:pPr>
      <w:r>
        <w:t>The category of l</w:t>
      </w:r>
      <w:r w:rsidR="00953934">
        <w:t xml:space="preserve">etter of credit rights </w:t>
      </w:r>
      <w:r w:rsidR="004D572C">
        <w:t>represents</w:t>
      </w:r>
      <w:r w:rsidR="00953934">
        <w:t xml:space="preserve"> a right to payment of a beneficiary under a letter of credit issued by a bank. Letters of credit are sometimes used to ensure that sellers of goods are paid for </w:t>
      </w:r>
      <w:r w:rsidR="00BE1007">
        <w:t xml:space="preserve">their </w:t>
      </w:r>
      <w:r w:rsidR="00953934">
        <w:t>sales of goods, particularly in international transactions.</w:t>
      </w:r>
    </w:p>
    <w:p w14:paraId="64F35578" w14:textId="3518D563" w:rsidR="00953934" w:rsidRDefault="00953934" w:rsidP="00CA50FC">
      <w:pPr>
        <w:jc w:val="both"/>
      </w:pPr>
      <w:r>
        <w:t xml:space="preserve">Before we finish, let’s look at the final category of intangibles, general intangibles. Sometimes students have trouble with this category. </w:t>
      </w:r>
      <w:r w:rsidR="000948A7">
        <w:t>I</w:t>
      </w:r>
      <w:r>
        <w:t>mportantly, general intangibles exclude the other intangibles and goods but include</w:t>
      </w:r>
      <w:r w:rsidR="00F57B6D">
        <w:t xml:space="preserve"> “things in action,”</w:t>
      </w:r>
      <w:r>
        <w:t xml:space="preserve"> payment intangibles</w:t>
      </w:r>
      <w:r w:rsidR="009A1622">
        <w:t>,</w:t>
      </w:r>
      <w:r w:rsidR="00066D0D">
        <w:t xml:space="preserve"> and software</w:t>
      </w:r>
      <w:r>
        <w:t xml:space="preserve">. </w:t>
      </w:r>
      <w:r w:rsidR="00066D0D">
        <w:t>Basically, g</w:t>
      </w:r>
      <w:r>
        <w:t>eneral intangibles act</w:t>
      </w:r>
      <w:r w:rsidR="00852BBC">
        <w:t>s</w:t>
      </w:r>
      <w:r w:rsidR="00BE1007">
        <w:t xml:space="preserve"> </w:t>
      </w:r>
      <w:r>
        <w:t xml:space="preserve">as a </w:t>
      </w:r>
      <w:r w:rsidR="004D572C">
        <w:t>catch-all</w:t>
      </w:r>
      <w:r>
        <w:t xml:space="preserve"> for any remaining types of </w:t>
      </w:r>
      <w:r w:rsidR="000948A7">
        <w:t xml:space="preserve">intangible </w:t>
      </w:r>
      <w:r>
        <w:t>personal property not already covered by other categories</w:t>
      </w:r>
      <w:r w:rsidR="00066D0D">
        <w:t>.</w:t>
      </w:r>
      <w:r>
        <w:t xml:space="preserve"> </w:t>
      </w:r>
      <w:r w:rsidR="000948A7">
        <w:t>“</w:t>
      </w:r>
      <w:r>
        <w:t>Things in action</w:t>
      </w:r>
      <w:r w:rsidR="000948A7">
        <w:t>”</w:t>
      </w:r>
      <w:r>
        <w:t xml:space="preserve"> </w:t>
      </w:r>
      <w:r w:rsidR="00B504C4">
        <w:t xml:space="preserve">often </w:t>
      </w:r>
      <w:r w:rsidR="004D572C">
        <w:t>represent</w:t>
      </w:r>
      <w:r w:rsidR="000948A7">
        <w:t>s</w:t>
      </w:r>
      <w:r w:rsidR="00B504C4">
        <w:t xml:space="preserve"> contract rights</w:t>
      </w:r>
      <w:r w:rsidR="00066D0D">
        <w:t xml:space="preserve">, including rights that arise under </w:t>
      </w:r>
      <w:r w:rsidR="000948A7">
        <w:t>a</w:t>
      </w:r>
      <w:r w:rsidR="00066D0D">
        <w:t xml:space="preserve"> license of intellectual property</w:t>
      </w:r>
      <w:r w:rsidR="00B504C4">
        <w:t>.</w:t>
      </w:r>
    </w:p>
    <w:p w14:paraId="53B3BDF1" w14:textId="1FA9ADD0" w:rsidR="00B504C4" w:rsidRDefault="00B504C4" w:rsidP="00CA50FC">
      <w:pPr>
        <w:jc w:val="both"/>
      </w:pPr>
      <w:r>
        <w:t>Example 8. Dentist grants Bank a security interest in a number of Article 9 categories, including general intangibles. General intangibles would include Dentist’s trade name (intellectual property)</w:t>
      </w:r>
      <w:r w:rsidR="00066D0D">
        <w:t>, any software used at the Dental office, Dentist’s right to payment of a loan given to Employee, a tax refund Dentist is expecting</w:t>
      </w:r>
      <w:r w:rsidR="004D572C">
        <w:t>,</w:t>
      </w:r>
      <w:r>
        <w:t xml:space="preserve"> and Dentist’s rights under a contract to purchase</w:t>
      </w:r>
      <w:r w:rsidR="00066D0D">
        <w:t xml:space="preserve"> an x-ray machine not yet delivered</w:t>
      </w:r>
      <w:proofErr w:type="gramStart"/>
      <w:r w:rsidR="00066D0D">
        <w:t>.</w:t>
      </w:r>
      <w:r>
        <w:t xml:space="preserve">  </w:t>
      </w:r>
      <w:proofErr w:type="gramEnd"/>
      <w:r>
        <w:t xml:space="preserve"> </w:t>
      </w:r>
    </w:p>
    <w:p w14:paraId="15426E2C" w14:textId="47931A0F" w:rsidR="00D77C9D" w:rsidRDefault="00066D0D" w:rsidP="00D77C9D">
      <w:pPr>
        <w:jc w:val="both"/>
      </w:pPr>
      <w:r>
        <w:t xml:space="preserve">Just a reminder </w:t>
      </w:r>
      <w:r w:rsidR="00D77C9D">
        <w:t>before we finish. Remember that under §</w:t>
      </w:r>
      <w:r w:rsidR="00BE1007">
        <w:t xml:space="preserve"> </w:t>
      </w:r>
      <w:r w:rsidR="00D77C9D">
        <w:t>9-108, a description of collateral in a security agreement is insufficient if it is supergeneric, including descriptions of “all the debtor’s assets” or “all the debtor’s personal property.” A description of “all accounts” or “all securities,” though, is fine</w:t>
      </w:r>
      <w:r w:rsidR="00290A5F">
        <w:t xml:space="preserve"> because the description is by category of collateral</w:t>
      </w:r>
      <w:r w:rsidR="00D77C9D">
        <w:t xml:space="preserve">. </w:t>
      </w:r>
    </w:p>
    <w:p w14:paraId="26689D80" w14:textId="7268BB8F" w:rsidR="00D77C9D" w:rsidRDefault="00D77C9D" w:rsidP="00D77C9D">
      <w:pPr>
        <w:jc w:val="both"/>
      </w:pPr>
      <w:r>
        <w:lastRenderedPageBreak/>
        <w:t>At this point, you should be able to describe how a secured creditor goes about describing the collateral in the security agreement, particularly when using a type of collateral defined in the Code. You should be able to describe and identify the intangible and quasi-</w:t>
      </w:r>
      <w:r w:rsidR="00007CF6">
        <w:t>in</w:t>
      </w:r>
      <w:r>
        <w:t xml:space="preserve">tangible property definitions:  accounts, chattel paper, commercial tort claims, deposit accounts, instruments, </w:t>
      </w:r>
      <w:r w:rsidR="00852BBC">
        <w:t xml:space="preserve">documents, </w:t>
      </w:r>
      <w:r>
        <w:t>investment property, general intangibles, letter of credit rights</w:t>
      </w:r>
      <w:r w:rsidR="004D572C">
        <w:t>,</w:t>
      </w:r>
      <w:r>
        <w:t xml:space="preserve"> and money. </w:t>
      </w:r>
    </w:p>
    <w:p w14:paraId="35A7F2F5" w14:textId="57700D2B" w:rsidR="00C57D85" w:rsidRDefault="001E0CB8" w:rsidP="000B1F6A">
      <w:pPr>
        <w:jc w:val="both"/>
      </w:pPr>
      <w:r>
        <w:t xml:space="preserve">I hope you’ve enjoyed this podcast on </w:t>
      </w:r>
      <w:r w:rsidR="00BB7F17">
        <w:t>Classification of Collateral</w:t>
      </w:r>
      <w:r w:rsidR="00686452">
        <w:t xml:space="preserve"> II</w:t>
      </w:r>
      <w:r>
        <w:t>.</w:t>
      </w:r>
    </w:p>
    <w:p w14:paraId="3E48DC8E" w14:textId="77777777" w:rsidR="000B1F6A" w:rsidRDefault="000B1F6A" w:rsidP="000B1F6A">
      <w:pPr>
        <w:jc w:val="both"/>
      </w:pPr>
      <w:proofErr w:type="spellStart"/>
      <w:r>
        <w:t>Lawdibles</w:t>
      </w:r>
      <w:proofErr w:type="spellEnd"/>
      <w:r>
        <w:t xml:space="preserve"> are produced and distributed by CALI, The Center for Computer-Assisted Legal Instruction. Find more </w:t>
      </w:r>
      <w:proofErr w:type="spellStart"/>
      <w:r>
        <w:t>Lawdibles</w:t>
      </w:r>
      <w:proofErr w:type="spellEnd"/>
      <w:r>
        <w:t xml:space="preserve"> at www.cali.org/lawdibles. Send your questions and feedback to lawdibles@cali.org. The </w:t>
      </w:r>
      <w:proofErr w:type="spellStart"/>
      <w:r>
        <w:t>Lawdibles</w:t>
      </w:r>
      <w:proofErr w:type="spellEnd"/>
      <w:r>
        <w:t xml:space="preserve"> theme music is “Ask Me No Question” by </w:t>
      </w:r>
      <w:hyperlink r:id="rId7" w:history="1">
        <w:r w:rsidRPr="000653D0">
          <w:rPr>
            <w:rStyle w:val="Hyperlink"/>
          </w:rPr>
          <w:t>Learning Music</w:t>
        </w:r>
      </w:hyperlink>
      <w:r>
        <w:t xml:space="preserve">. </w:t>
      </w:r>
      <w:proofErr w:type="spellStart"/>
      <w:r>
        <w:t>Lawdibles</w:t>
      </w:r>
      <w:proofErr w:type="spellEnd"/>
      <w:r>
        <w:t xml:space="preserve"> are for educational purposes only. Please seek an attorney if you need legal advice.</w:t>
      </w:r>
    </w:p>
    <w:p w14:paraId="64AC3A63" w14:textId="0398DE3B" w:rsidR="000B1F6A" w:rsidRPr="00020B9D" w:rsidRDefault="000B1F6A" w:rsidP="006F27B1">
      <w:pPr>
        <w:jc w:val="both"/>
      </w:pPr>
      <w:r>
        <w:t xml:space="preserve">CREDIT: Ask Me No Question by Learning Music is licensed under an </w:t>
      </w:r>
      <w:hyperlink r:id="rId8" w:history="1">
        <w:r w:rsidRPr="000653D0">
          <w:rPr>
            <w:rStyle w:val="Hyperlink"/>
          </w:rPr>
          <w:t>Attribution-Noncommercial-Share Alike 3.0 United States License.</w:t>
        </w:r>
      </w:hyperlink>
    </w:p>
    <w:sectPr w:rsidR="000B1F6A" w:rsidRPr="00020B9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C8563" w14:textId="77777777" w:rsidR="0038460E" w:rsidRDefault="0038460E" w:rsidP="00E970DF">
      <w:pPr>
        <w:spacing w:after="0" w:line="240" w:lineRule="auto"/>
      </w:pPr>
      <w:r>
        <w:separator/>
      </w:r>
    </w:p>
  </w:endnote>
  <w:endnote w:type="continuationSeparator" w:id="0">
    <w:p w14:paraId="10180FDD" w14:textId="77777777" w:rsidR="0038460E" w:rsidRDefault="0038460E" w:rsidP="00E970DF">
      <w:pPr>
        <w:spacing w:after="0" w:line="240" w:lineRule="auto"/>
      </w:pPr>
      <w:r>
        <w:continuationSeparator/>
      </w:r>
    </w:p>
  </w:endnote>
  <w:endnote w:type="continuationNotice" w:id="1">
    <w:p w14:paraId="6166A082" w14:textId="77777777" w:rsidR="0038460E" w:rsidRDefault="003846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518EB" w14:textId="77777777" w:rsidR="000B1F6A" w:rsidRDefault="000B1F6A" w:rsidP="000B1F6A">
    <w:pPr>
      <w:pStyle w:val="Footer"/>
      <w:rPr>
        <w:rFonts w:cs="Arial"/>
        <w:color w:val="000000" w:themeColor="text1"/>
        <w:sz w:val="21"/>
        <w:szCs w:val="21"/>
      </w:rPr>
    </w:pPr>
  </w:p>
  <w:p w14:paraId="5111508B" w14:textId="0A37D2C6" w:rsidR="00857F5D" w:rsidRDefault="00857F5D" w:rsidP="00857F5D">
    <w:pPr>
      <w:pStyle w:val="Footer"/>
      <w:rPr>
        <w:rFonts w:cs="Arial"/>
        <w:bCs/>
        <w:color w:val="000000" w:themeColor="text1"/>
        <w:sz w:val="21"/>
        <w:szCs w:val="21"/>
      </w:rPr>
    </w:pPr>
    <w:r>
      <w:rPr>
        <w:rFonts w:cs="Arial"/>
        <w:color w:val="000000" w:themeColor="text1"/>
        <w:sz w:val="21"/>
        <w:szCs w:val="21"/>
      </w:rPr>
      <w:t>Discussions in Secured Transactions – Classification of Collateral I</w:t>
    </w:r>
    <w:r>
      <w:rPr>
        <w:rFonts w:cs="Arial"/>
        <w:color w:val="000000" w:themeColor="text1"/>
        <w:sz w:val="21"/>
        <w:szCs w:val="21"/>
      </w:rPr>
      <w:t>I</w:t>
    </w:r>
    <w:r>
      <w:rPr>
        <w:rFonts w:cs="Arial"/>
        <w:color w:val="000000" w:themeColor="text1"/>
        <w:sz w:val="21"/>
        <w:szCs w:val="21"/>
      </w:rPr>
      <w:tab/>
      <w:t xml:space="preserve">Page </w:t>
    </w:r>
    <w:r>
      <w:rPr>
        <w:rFonts w:cs="Arial"/>
        <w:bCs/>
        <w:color w:val="000000" w:themeColor="text1"/>
        <w:sz w:val="21"/>
        <w:szCs w:val="21"/>
      </w:rPr>
      <w:fldChar w:fldCharType="begin"/>
    </w:r>
    <w:r>
      <w:rPr>
        <w:rFonts w:cs="Arial"/>
        <w:bCs/>
        <w:color w:val="000000" w:themeColor="text1"/>
        <w:sz w:val="21"/>
        <w:szCs w:val="21"/>
      </w:rPr>
      <w:instrText xml:space="preserve"> PAGE  \* Arabic  \* MERGEFORMAT </w:instrText>
    </w:r>
    <w:r>
      <w:rPr>
        <w:rFonts w:cs="Arial"/>
        <w:bCs/>
        <w:color w:val="000000" w:themeColor="text1"/>
        <w:sz w:val="21"/>
        <w:szCs w:val="21"/>
      </w:rPr>
      <w:fldChar w:fldCharType="separate"/>
    </w:r>
    <w:r>
      <w:rPr>
        <w:rFonts w:cs="Arial"/>
        <w:bCs/>
        <w:color w:val="000000" w:themeColor="text1"/>
        <w:sz w:val="21"/>
        <w:szCs w:val="21"/>
      </w:rPr>
      <w:t>1</w:t>
    </w:r>
    <w:r>
      <w:rPr>
        <w:rFonts w:cs="Arial"/>
        <w:bCs/>
        <w:color w:val="000000" w:themeColor="text1"/>
        <w:sz w:val="21"/>
        <w:szCs w:val="21"/>
      </w:rPr>
      <w:fldChar w:fldCharType="end"/>
    </w:r>
    <w:r>
      <w:rPr>
        <w:rFonts w:cs="Arial"/>
        <w:color w:val="000000" w:themeColor="text1"/>
        <w:sz w:val="21"/>
        <w:szCs w:val="21"/>
      </w:rPr>
      <w:t xml:space="preserve"> of </w:t>
    </w:r>
    <w:r>
      <w:rPr>
        <w:rFonts w:cs="Arial"/>
        <w:bCs/>
        <w:color w:val="000000" w:themeColor="text1"/>
        <w:sz w:val="21"/>
        <w:szCs w:val="21"/>
      </w:rPr>
      <w:fldChar w:fldCharType="begin"/>
    </w:r>
    <w:r>
      <w:rPr>
        <w:rFonts w:cs="Arial"/>
        <w:bCs/>
        <w:color w:val="000000" w:themeColor="text1"/>
        <w:sz w:val="21"/>
        <w:szCs w:val="21"/>
      </w:rPr>
      <w:instrText xml:space="preserve"> NUMPAGES  \* Arabic  \* MERGEFORMAT </w:instrText>
    </w:r>
    <w:r>
      <w:rPr>
        <w:rFonts w:cs="Arial"/>
        <w:bCs/>
        <w:color w:val="000000" w:themeColor="text1"/>
        <w:sz w:val="21"/>
        <w:szCs w:val="21"/>
      </w:rPr>
      <w:fldChar w:fldCharType="separate"/>
    </w:r>
    <w:r>
      <w:rPr>
        <w:rFonts w:cs="Arial"/>
        <w:bCs/>
        <w:color w:val="000000" w:themeColor="text1"/>
        <w:sz w:val="21"/>
        <w:szCs w:val="21"/>
      </w:rPr>
      <w:t>4</w:t>
    </w:r>
    <w:r>
      <w:rPr>
        <w:rFonts w:cs="Arial"/>
        <w:bCs/>
        <w:color w:val="000000" w:themeColor="text1"/>
        <w:sz w:val="21"/>
        <w:szCs w:val="21"/>
      </w:rPr>
      <w:fldChar w:fldCharType="end"/>
    </w:r>
  </w:p>
  <w:p w14:paraId="204BB2CC" w14:textId="77777777" w:rsidR="00857F5D" w:rsidRDefault="00857F5D" w:rsidP="00857F5D">
    <w:pPr>
      <w:pStyle w:val="Footer"/>
      <w:rPr>
        <w:sz w:val="21"/>
        <w:szCs w:val="21"/>
      </w:rPr>
    </w:pPr>
    <w:r>
      <w:rPr>
        <w:rFonts w:cs="Arial"/>
        <w:color w:val="000000"/>
        <w:sz w:val="21"/>
        <w:szCs w:val="21"/>
      </w:rPr>
      <w:t xml:space="preserve">© 2020 The Center for Computer-Assisted Legal Instruction, www.cali.org. Licensed </w:t>
    </w:r>
    <w:hyperlink r:id="rId1" w:history="1">
      <w:r>
        <w:rPr>
          <w:rStyle w:val="Hyperlink"/>
          <w:rFonts w:cs="Arial"/>
          <w:sz w:val="21"/>
          <w:szCs w:val="21"/>
        </w:rPr>
        <w:t>CC BY-NC-SA 4.0</w:t>
      </w:r>
    </w:hyperlink>
  </w:p>
  <w:p w14:paraId="13170ED5" w14:textId="77777777" w:rsidR="00857F5D" w:rsidRDefault="00857F5D" w:rsidP="00857F5D">
    <w:pPr>
      <w:pStyle w:val="Footer"/>
      <w:rPr>
        <w:rFonts w:cs="Arial"/>
        <w:color w:val="000000" w:themeColor="text1"/>
        <w:sz w:val="21"/>
        <w:szCs w:val="21"/>
      </w:rPr>
    </w:pPr>
  </w:p>
  <w:p w14:paraId="76A0C93B" w14:textId="77777777" w:rsidR="00857F5D" w:rsidRDefault="00857F5D" w:rsidP="00857F5D">
    <w:pPr>
      <w:pStyle w:val="Footer"/>
      <w:rPr>
        <w:sz w:val="21"/>
        <w:szCs w:val="21"/>
      </w:rPr>
    </w:pPr>
  </w:p>
  <w:p w14:paraId="67DCA653" w14:textId="77777777" w:rsidR="00E970DF" w:rsidRDefault="00E970DF" w:rsidP="00857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165CD" w14:textId="77777777" w:rsidR="0038460E" w:rsidRDefault="0038460E" w:rsidP="00E970DF">
      <w:pPr>
        <w:spacing w:after="0" w:line="240" w:lineRule="auto"/>
      </w:pPr>
      <w:r>
        <w:separator/>
      </w:r>
    </w:p>
  </w:footnote>
  <w:footnote w:type="continuationSeparator" w:id="0">
    <w:p w14:paraId="6DFC80F2" w14:textId="77777777" w:rsidR="0038460E" w:rsidRDefault="0038460E" w:rsidP="00E970DF">
      <w:pPr>
        <w:spacing w:after="0" w:line="240" w:lineRule="auto"/>
      </w:pPr>
      <w:r>
        <w:continuationSeparator/>
      </w:r>
    </w:p>
  </w:footnote>
  <w:footnote w:type="continuationNotice" w:id="1">
    <w:p w14:paraId="11E3A3D1" w14:textId="77777777" w:rsidR="0038460E" w:rsidRDefault="0038460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34A5E5E-CBDB-455E-9928-3DB4837677B5}"/>
    <w:docVar w:name="dgnword-eventsink" w:val="758257303440"/>
  </w:docVars>
  <w:rsids>
    <w:rsidRoot w:val="00020B9D"/>
    <w:rsid w:val="00007CF6"/>
    <w:rsid w:val="00020B9D"/>
    <w:rsid w:val="0002464D"/>
    <w:rsid w:val="000272FA"/>
    <w:rsid w:val="00043251"/>
    <w:rsid w:val="000503A7"/>
    <w:rsid w:val="00061B5A"/>
    <w:rsid w:val="00066D0D"/>
    <w:rsid w:val="00067106"/>
    <w:rsid w:val="000733EB"/>
    <w:rsid w:val="000948A7"/>
    <w:rsid w:val="00097160"/>
    <w:rsid w:val="000A20B3"/>
    <w:rsid w:val="000B1F6A"/>
    <w:rsid w:val="000B590D"/>
    <w:rsid w:val="000C387E"/>
    <w:rsid w:val="000D19D1"/>
    <w:rsid w:val="000E59A6"/>
    <w:rsid w:val="000E74BD"/>
    <w:rsid w:val="00102341"/>
    <w:rsid w:val="0010559C"/>
    <w:rsid w:val="0011229E"/>
    <w:rsid w:val="00116724"/>
    <w:rsid w:val="00125162"/>
    <w:rsid w:val="001502B0"/>
    <w:rsid w:val="00167C62"/>
    <w:rsid w:val="00187FDF"/>
    <w:rsid w:val="00191226"/>
    <w:rsid w:val="001A34F4"/>
    <w:rsid w:val="001B071D"/>
    <w:rsid w:val="001B3990"/>
    <w:rsid w:val="001C6CD8"/>
    <w:rsid w:val="001E0CB8"/>
    <w:rsid w:val="001F0242"/>
    <w:rsid w:val="001F0719"/>
    <w:rsid w:val="00206E68"/>
    <w:rsid w:val="002146DF"/>
    <w:rsid w:val="0022309F"/>
    <w:rsid w:val="0025290F"/>
    <w:rsid w:val="00271DEA"/>
    <w:rsid w:val="00280B15"/>
    <w:rsid w:val="00290A5F"/>
    <w:rsid w:val="00293F05"/>
    <w:rsid w:val="002A5978"/>
    <w:rsid w:val="002C0382"/>
    <w:rsid w:val="002C0538"/>
    <w:rsid w:val="002C6CFC"/>
    <w:rsid w:val="002D2AE9"/>
    <w:rsid w:val="002E19BF"/>
    <w:rsid w:val="002F767A"/>
    <w:rsid w:val="00307FDA"/>
    <w:rsid w:val="00330A6E"/>
    <w:rsid w:val="003623DA"/>
    <w:rsid w:val="003669A0"/>
    <w:rsid w:val="00373B07"/>
    <w:rsid w:val="0038460E"/>
    <w:rsid w:val="003928A2"/>
    <w:rsid w:val="003973F7"/>
    <w:rsid w:val="004037B7"/>
    <w:rsid w:val="00406810"/>
    <w:rsid w:val="0041525C"/>
    <w:rsid w:val="004237AA"/>
    <w:rsid w:val="00427189"/>
    <w:rsid w:val="00431122"/>
    <w:rsid w:val="00452517"/>
    <w:rsid w:val="00461D01"/>
    <w:rsid w:val="0046385A"/>
    <w:rsid w:val="00471A0D"/>
    <w:rsid w:val="00482117"/>
    <w:rsid w:val="00483809"/>
    <w:rsid w:val="00491359"/>
    <w:rsid w:val="004930E4"/>
    <w:rsid w:val="004A5C95"/>
    <w:rsid w:val="004C0ABE"/>
    <w:rsid w:val="004D2B43"/>
    <w:rsid w:val="004D572C"/>
    <w:rsid w:val="004D65BD"/>
    <w:rsid w:val="004F1E60"/>
    <w:rsid w:val="004F35D2"/>
    <w:rsid w:val="0050237E"/>
    <w:rsid w:val="00514186"/>
    <w:rsid w:val="00527817"/>
    <w:rsid w:val="00546CF2"/>
    <w:rsid w:val="00560ADD"/>
    <w:rsid w:val="005833D3"/>
    <w:rsid w:val="00592AB1"/>
    <w:rsid w:val="005B1711"/>
    <w:rsid w:val="005D07DA"/>
    <w:rsid w:val="005F0B37"/>
    <w:rsid w:val="0060391C"/>
    <w:rsid w:val="00605D0C"/>
    <w:rsid w:val="00611CDE"/>
    <w:rsid w:val="00625C19"/>
    <w:rsid w:val="00635139"/>
    <w:rsid w:val="00644460"/>
    <w:rsid w:val="006464E1"/>
    <w:rsid w:val="00656418"/>
    <w:rsid w:val="00657BB9"/>
    <w:rsid w:val="00660652"/>
    <w:rsid w:val="00680E38"/>
    <w:rsid w:val="00686452"/>
    <w:rsid w:val="00687D53"/>
    <w:rsid w:val="006933D1"/>
    <w:rsid w:val="006A040D"/>
    <w:rsid w:val="006E45F7"/>
    <w:rsid w:val="006E5FA6"/>
    <w:rsid w:val="006F27B1"/>
    <w:rsid w:val="006F4FA0"/>
    <w:rsid w:val="007049A8"/>
    <w:rsid w:val="00741EB1"/>
    <w:rsid w:val="00761149"/>
    <w:rsid w:val="0076787D"/>
    <w:rsid w:val="00777836"/>
    <w:rsid w:val="00781F5E"/>
    <w:rsid w:val="007C2C2C"/>
    <w:rsid w:val="007C518D"/>
    <w:rsid w:val="007C535C"/>
    <w:rsid w:val="007D78D3"/>
    <w:rsid w:val="007F167F"/>
    <w:rsid w:val="00811B03"/>
    <w:rsid w:val="0081285F"/>
    <w:rsid w:val="00823FA7"/>
    <w:rsid w:val="00844F32"/>
    <w:rsid w:val="0084740C"/>
    <w:rsid w:val="00852BBC"/>
    <w:rsid w:val="00857F5D"/>
    <w:rsid w:val="00873B06"/>
    <w:rsid w:val="00880815"/>
    <w:rsid w:val="00884DC0"/>
    <w:rsid w:val="00886500"/>
    <w:rsid w:val="0089119D"/>
    <w:rsid w:val="008D4AF7"/>
    <w:rsid w:val="008E00DF"/>
    <w:rsid w:val="008E136E"/>
    <w:rsid w:val="008F3A95"/>
    <w:rsid w:val="00910E6C"/>
    <w:rsid w:val="009252A5"/>
    <w:rsid w:val="00953934"/>
    <w:rsid w:val="00960046"/>
    <w:rsid w:val="00985E39"/>
    <w:rsid w:val="00991F9D"/>
    <w:rsid w:val="009A1622"/>
    <w:rsid w:val="009A7873"/>
    <w:rsid w:val="009B23FF"/>
    <w:rsid w:val="009C51CF"/>
    <w:rsid w:val="009D039D"/>
    <w:rsid w:val="009D53B2"/>
    <w:rsid w:val="009D5CA9"/>
    <w:rsid w:val="009F1523"/>
    <w:rsid w:val="009F508F"/>
    <w:rsid w:val="00A15379"/>
    <w:rsid w:val="00A41D03"/>
    <w:rsid w:val="00A51DD8"/>
    <w:rsid w:val="00A825C8"/>
    <w:rsid w:val="00AA0596"/>
    <w:rsid w:val="00AA0A2F"/>
    <w:rsid w:val="00AA1E29"/>
    <w:rsid w:val="00AF7F00"/>
    <w:rsid w:val="00B013EF"/>
    <w:rsid w:val="00B202C6"/>
    <w:rsid w:val="00B242E2"/>
    <w:rsid w:val="00B30564"/>
    <w:rsid w:val="00B40AD0"/>
    <w:rsid w:val="00B504C4"/>
    <w:rsid w:val="00B50C97"/>
    <w:rsid w:val="00B70DD3"/>
    <w:rsid w:val="00B71C5D"/>
    <w:rsid w:val="00B72974"/>
    <w:rsid w:val="00B76894"/>
    <w:rsid w:val="00B77402"/>
    <w:rsid w:val="00B93EAE"/>
    <w:rsid w:val="00BA5803"/>
    <w:rsid w:val="00BA5E16"/>
    <w:rsid w:val="00BB59EB"/>
    <w:rsid w:val="00BB7F17"/>
    <w:rsid w:val="00BC7180"/>
    <w:rsid w:val="00BE1007"/>
    <w:rsid w:val="00C03D52"/>
    <w:rsid w:val="00C06549"/>
    <w:rsid w:val="00C07BE7"/>
    <w:rsid w:val="00C138C3"/>
    <w:rsid w:val="00C36406"/>
    <w:rsid w:val="00C47539"/>
    <w:rsid w:val="00C52868"/>
    <w:rsid w:val="00C535E3"/>
    <w:rsid w:val="00C57D85"/>
    <w:rsid w:val="00C6165E"/>
    <w:rsid w:val="00C925C3"/>
    <w:rsid w:val="00CA50FC"/>
    <w:rsid w:val="00CC1625"/>
    <w:rsid w:val="00CC2458"/>
    <w:rsid w:val="00CC29C9"/>
    <w:rsid w:val="00CC46B7"/>
    <w:rsid w:val="00CD1D20"/>
    <w:rsid w:val="00CE2036"/>
    <w:rsid w:val="00CE28C5"/>
    <w:rsid w:val="00D0016D"/>
    <w:rsid w:val="00D202AC"/>
    <w:rsid w:val="00D248E9"/>
    <w:rsid w:val="00D4277C"/>
    <w:rsid w:val="00D50140"/>
    <w:rsid w:val="00D7008F"/>
    <w:rsid w:val="00D77C9D"/>
    <w:rsid w:val="00D9132C"/>
    <w:rsid w:val="00D91C71"/>
    <w:rsid w:val="00D9485F"/>
    <w:rsid w:val="00DE66DF"/>
    <w:rsid w:val="00DF3DB6"/>
    <w:rsid w:val="00DF6196"/>
    <w:rsid w:val="00E06BDF"/>
    <w:rsid w:val="00E22847"/>
    <w:rsid w:val="00E37A6B"/>
    <w:rsid w:val="00E55E4B"/>
    <w:rsid w:val="00E56451"/>
    <w:rsid w:val="00E564F6"/>
    <w:rsid w:val="00E608A1"/>
    <w:rsid w:val="00E65884"/>
    <w:rsid w:val="00E67664"/>
    <w:rsid w:val="00E703FD"/>
    <w:rsid w:val="00E72620"/>
    <w:rsid w:val="00E77C74"/>
    <w:rsid w:val="00E83728"/>
    <w:rsid w:val="00E84A18"/>
    <w:rsid w:val="00E904C1"/>
    <w:rsid w:val="00E970DF"/>
    <w:rsid w:val="00EB1A48"/>
    <w:rsid w:val="00EB4DF6"/>
    <w:rsid w:val="00ED5F07"/>
    <w:rsid w:val="00F20426"/>
    <w:rsid w:val="00F245BA"/>
    <w:rsid w:val="00F47D73"/>
    <w:rsid w:val="00F568FC"/>
    <w:rsid w:val="00F57B6D"/>
    <w:rsid w:val="00F64019"/>
    <w:rsid w:val="00F6617A"/>
    <w:rsid w:val="00F86903"/>
    <w:rsid w:val="00F87C6C"/>
    <w:rsid w:val="00F92A55"/>
    <w:rsid w:val="00FC2E98"/>
    <w:rsid w:val="00FC638D"/>
    <w:rsid w:val="00FD22CC"/>
    <w:rsid w:val="00FD30F2"/>
    <w:rsid w:val="00FE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A138"/>
  <w15:chartTrackingRefBased/>
  <w15:docId w15:val="{33FA96B2-A7C2-4F9E-91D2-5C6AE00E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0DF"/>
  </w:style>
  <w:style w:type="paragraph" w:styleId="Footer">
    <w:name w:val="footer"/>
    <w:basedOn w:val="Normal"/>
    <w:link w:val="FooterChar"/>
    <w:uiPriority w:val="99"/>
    <w:unhideWhenUsed/>
    <w:rsid w:val="00E97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0DF"/>
  </w:style>
  <w:style w:type="paragraph" w:styleId="BalloonText">
    <w:name w:val="Balloon Text"/>
    <w:basedOn w:val="Normal"/>
    <w:link w:val="BalloonTextChar"/>
    <w:uiPriority w:val="99"/>
    <w:semiHidden/>
    <w:unhideWhenUsed/>
    <w:rsid w:val="00E658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8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74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0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C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56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emusicarchive.org/music/Learning_Musi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49DA836-3A18-9541-94F7-9A30A0EC8869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1D436B-C9F9-450F-944F-B90D48D2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Jennifer S.</dc:creator>
  <cp:keywords/>
  <dc:description/>
  <cp:lastModifiedBy>Sara Smith</cp:lastModifiedBy>
  <cp:revision>3</cp:revision>
  <dcterms:created xsi:type="dcterms:W3CDTF">2021-02-25T01:22:00Z</dcterms:created>
  <dcterms:modified xsi:type="dcterms:W3CDTF">2021-02-25T02:08:00Z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documentId_2973</vt:lpwstr>
  </property>
  <property fmtid="{D5CDD505-2E9C-101B-9397-08002B2CF9AE}" pid="3" name="grammarly_documentContext">
    <vt:lpwstr>{"goals":[],"domain":"general","emotions":[],"dialect":"american"}</vt:lpwstr>
  </property>
</Properties>
</file>