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1143" w14:textId="55989040" w:rsidR="00035D45" w:rsidRDefault="007619F9" w:rsidP="005833D3">
      <w:pPr>
        <w:jc w:val="both"/>
        <w:rPr>
          <w:b/>
        </w:rPr>
      </w:pPr>
      <w:r>
        <w:rPr>
          <w:b/>
        </w:rPr>
        <w:t>Value and Rights in the Collateral</w:t>
      </w:r>
    </w:p>
    <w:p w14:paraId="711D9329" w14:textId="4E913EF9" w:rsidR="008F3A95" w:rsidRDefault="00AA0596" w:rsidP="005833D3">
      <w:pPr>
        <w:jc w:val="both"/>
      </w:pPr>
      <w:r>
        <w:t xml:space="preserve">Welcome to this podcast on </w:t>
      </w:r>
      <w:r w:rsidR="007619F9">
        <w:t>Value and Rights in the Collateral</w:t>
      </w:r>
      <w:r w:rsidR="00035D45" w:rsidRPr="00035D45">
        <w:t xml:space="preserve"> </w:t>
      </w:r>
      <w:r>
        <w:t xml:space="preserve">brought to you by CALI. I am Professor Jennifer S. Martin. </w:t>
      </w:r>
      <w:r w:rsidR="009D5F71">
        <w:t>This podcast focuses on two of the elements needed to attach a security interest to collateral under Article 9 of the Uniform Commercial Code: value given and a debtor’s rights in the collateral.</w:t>
      </w:r>
      <w:r w:rsidR="005833D3">
        <w:t xml:space="preserve"> </w:t>
      </w:r>
    </w:p>
    <w:p w14:paraId="0D595F59" w14:textId="4C410360" w:rsidR="00B50C97" w:rsidRDefault="00B35824" w:rsidP="00CA50FC">
      <w:pPr>
        <w:jc w:val="both"/>
      </w:pPr>
      <w:r>
        <w:t>Let’s begin with the nature of a security interest</w:t>
      </w:r>
      <w:r w:rsidR="00CD29FB">
        <w:t>.</w:t>
      </w:r>
      <w:r>
        <w:t xml:space="preserve"> </w:t>
      </w:r>
      <w:r w:rsidR="00AE5E3E">
        <w:t xml:space="preserve">A security interest is defined in </w:t>
      </w:r>
      <w:r w:rsidR="0084740C">
        <w:t xml:space="preserve">§ </w:t>
      </w:r>
      <w:r w:rsidR="00AA0596">
        <w:t>1-201(3</w:t>
      </w:r>
      <w:r w:rsidR="00B64CBC">
        <w:t>5</w:t>
      </w:r>
      <w:r w:rsidR="00AA0596">
        <w:t>)</w:t>
      </w:r>
      <w:r w:rsidR="00AE5E3E">
        <w:t xml:space="preserve"> </w:t>
      </w:r>
      <w:r w:rsidR="00654EAD">
        <w:t>as</w:t>
      </w:r>
      <w:r w:rsidR="00AA0596">
        <w:t xml:space="preserve"> </w:t>
      </w:r>
      <w:r w:rsidR="00654EAD">
        <w:t>“</w:t>
      </w:r>
      <w:r w:rsidR="00AA0596">
        <w:t>an interest in personal property or fixtures which secures payment or performance of an obligation.</w:t>
      </w:r>
      <w:r w:rsidR="00B64CBC">
        <w:t>”</w:t>
      </w:r>
      <w:r w:rsidR="0041525C">
        <w:t xml:space="preserve"> </w:t>
      </w:r>
      <w:r w:rsidR="00B50C97">
        <w:t xml:space="preserve">So, how </w:t>
      </w:r>
      <w:r w:rsidR="00B71C5D">
        <w:t>does a creditor go about</w:t>
      </w:r>
      <w:r w:rsidR="00166490">
        <w:t xml:space="preserve"> creating a</w:t>
      </w:r>
      <w:r w:rsidR="00B50C97">
        <w:t xml:space="preserve"> security interest </w:t>
      </w:r>
      <w:r w:rsidR="00B73514">
        <w:t>in</w:t>
      </w:r>
      <w:r w:rsidR="00B71C5D">
        <w:t xml:space="preserve"> the collateral</w:t>
      </w:r>
      <w:r w:rsidR="00B50C97">
        <w:t xml:space="preserve">? </w:t>
      </w:r>
      <w:r w:rsidR="00166490">
        <w:t>In secured transactions, this process is called</w:t>
      </w:r>
      <w:r w:rsidR="006C05E1">
        <w:t xml:space="preserve"> </w:t>
      </w:r>
      <w:r w:rsidR="00166490">
        <w:t xml:space="preserve">“attachment.” </w:t>
      </w:r>
      <w:r w:rsidR="00B50C97">
        <w:t xml:space="preserve">Section 9-203 states that a security </w:t>
      </w:r>
      <w:r w:rsidR="00B71C5D">
        <w:t xml:space="preserve">interest attaches to collateral </w:t>
      </w:r>
      <w:r w:rsidR="00B50C97">
        <w:t xml:space="preserve">when it becomes </w:t>
      </w:r>
      <w:r w:rsidR="00B50C97" w:rsidRPr="00B50C97">
        <w:rPr>
          <w:i/>
        </w:rPr>
        <w:t xml:space="preserve">enforceable </w:t>
      </w:r>
      <w:r w:rsidR="00B71C5D">
        <w:t xml:space="preserve">against </w:t>
      </w:r>
      <w:r w:rsidR="00B71C5D" w:rsidRPr="00EE1BDC">
        <w:rPr>
          <w:i/>
          <w:iCs/>
        </w:rPr>
        <w:t>the debtor</w:t>
      </w:r>
      <w:r w:rsidR="00B50C97">
        <w:t xml:space="preserve"> with respect to the collateral. A security interest becomes enforceable only if three </w:t>
      </w:r>
      <w:r w:rsidR="002B5083">
        <w:t>elements</w:t>
      </w:r>
      <w:r w:rsidR="00B50C97">
        <w:t xml:space="preserve"> are present: (</w:t>
      </w:r>
      <w:proofErr w:type="spellStart"/>
      <w:r w:rsidR="00B50C97">
        <w:t>i</w:t>
      </w:r>
      <w:proofErr w:type="spellEnd"/>
      <w:r w:rsidR="00B50C97">
        <w:t xml:space="preserve">) </w:t>
      </w:r>
      <w:r w:rsidR="00B50C97" w:rsidRPr="009D5F71">
        <w:rPr>
          <w:i/>
          <w:iCs/>
        </w:rPr>
        <w:t>value</w:t>
      </w:r>
      <w:r w:rsidR="00B50C97">
        <w:t xml:space="preserve"> has been given</w:t>
      </w:r>
      <w:r w:rsidR="00D61C57">
        <w:t xml:space="preserve"> (</w:t>
      </w:r>
      <w:r w:rsidR="00654EAD">
        <w:t>most of the time this is the same as consideration</w:t>
      </w:r>
      <w:r w:rsidR="000448F0">
        <w:t>—</w:t>
      </w:r>
      <w:r w:rsidR="00D61C57">
        <w:t xml:space="preserve">the money or goods </w:t>
      </w:r>
      <w:r w:rsidR="007A3BEE">
        <w:t>given or promised</w:t>
      </w:r>
      <w:r w:rsidR="00D61C57">
        <w:t xml:space="preserve"> </w:t>
      </w:r>
      <w:r w:rsidR="007A3BEE">
        <w:t>by the creditor</w:t>
      </w:r>
      <w:r w:rsidR="00D61C57">
        <w:t>)</w:t>
      </w:r>
      <w:r w:rsidR="00B50C97">
        <w:t xml:space="preserve">; (ii) the </w:t>
      </w:r>
      <w:r w:rsidR="00B50C97" w:rsidRPr="00EE1BDC">
        <w:rPr>
          <w:i/>
          <w:iCs/>
        </w:rPr>
        <w:t>debtor has rights</w:t>
      </w:r>
      <w:r w:rsidR="00B50C97">
        <w:t xml:space="preserve"> in the collateral or power to transfer rights in the collateral to a secured party</w:t>
      </w:r>
      <w:r w:rsidR="00D61C57">
        <w:t xml:space="preserve"> (meaning some form </w:t>
      </w:r>
      <w:r w:rsidR="00684647">
        <w:t>of</w:t>
      </w:r>
      <w:r w:rsidR="00C51FF9">
        <w:t xml:space="preserve"> </w:t>
      </w:r>
      <w:r w:rsidR="00684647">
        <w:t>property</w:t>
      </w:r>
      <w:r w:rsidR="00D61C57">
        <w:t xml:space="preserve"> right to the personal property)</w:t>
      </w:r>
      <w:r w:rsidR="00B50C97">
        <w:t xml:space="preserve">; and (iii) </w:t>
      </w:r>
      <w:r w:rsidR="002B5083">
        <w:t>the</w:t>
      </w:r>
      <w:r w:rsidR="007F3C3E">
        <w:t>re is some proof that the</w:t>
      </w:r>
      <w:r w:rsidR="002B5083">
        <w:t xml:space="preserve"> debtor has </w:t>
      </w:r>
      <w:r w:rsidR="007A3BEE">
        <w:t xml:space="preserve">entered into </w:t>
      </w:r>
      <w:r w:rsidR="002B5083">
        <w:t>a security agreement</w:t>
      </w:r>
      <w:r w:rsidR="00C1115C">
        <w:t xml:space="preserve">. </w:t>
      </w:r>
      <w:r w:rsidR="00B71C5D">
        <w:t xml:space="preserve">When the last of these three things </w:t>
      </w:r>
      <w:r w:rsidR="00C51FF9">
        <w:t>occur</w:t>
      </w:r>
      <w:r w:rsidR="000448F0">
        <w:t>s</w:t>
      </w:r>
      <w:r w:rsidR="00B71C5D">
        <w:t>, the security interest attaches and becomes enforceable</w:t>
      </w:r>
      <w:r w:rsidR="000448F0">
        <w:t>—</w:t>
      </w:r>
      <w:r w:rsidR="00C1115C">
        <w:t xml:space="preserve">the creditor can foreclose </w:t>
      </w:r>
      <w:r w:rsidR="001F74C8">
        <w:t xml:space="preserve">on the collateral </w:t>
      </w:r>
      <w:r w:rsidR="00C1115C">
        <w:t>if there is a default</w:t>
      </w:r>
      <w:r w:rsidR="00B71C5D">
        <w:t>.</w:t>
      </w:r>
      <w:r w:rsidR="00DE34E1">
        <w:t xml:space="preserve"> In this podcast we will focus on the first two of these requirements</w:t>
      </w:r>
      <w:r w:rsidR="00DC5A36">
        <w:t xml:space="preserve"> (</w:t>
      </w:r>
      <w:r w:rsidR="00DC5A36" w:rsidRPr="00E1062A">
        <w:rPr>
          <w:i/>
          <w:iCs/>
        </w:rPr>
        <w:t>value given and rights in the collateral</w:t>
      </w:r>
      <w:r w:rsidR="00DC5A36">
        <w:t>)</w:t>
      </w:r>
      <w:r w:rsidR="00E1062A">
        <w:t>. T</w:t>
      </w:r>
      <w:r w:rsidR="00DE34E1">
        <w:t>he security agreement requirement is the subject of a separate podcast.</w:t>
      </w:r>
    </w:p>
    <w:p w14:paraId="1B0BFF96" w14:textId="77777777" w:rsidR="00C61A09" w:rsidRDefault="00C61A09" w:rsidP="00C61A09">
      <w:pPr>
        <w:jc w:val="both"/>
      </w:pPr>
      <w:r>
        <w:t xml:space="preserve">Let’s look at an example. </w:t>
      </w:r>
    </w:p>
    <w:p w14:paraId="3658E400" w14:textId="07D69A88" w:rsidR="00C61A09" w:rsidRDefault="00C61A09" w:rsidP="00C61A09">
      <w:pPr>
        <w:jc w:val="both"/>
      </w:pPr>
      <w:r>
        <w:t>Example 1. Martin wanted to buy a clarinet for her son Marshall. Music City agreed to sell her the clarinet on credit with Music City using the clarinet as collateral to secure payment of the price over three years. Martin signed a promissory note promising to pay Music City over time for the clarinet and signed a security agreement that granted a security interest in the clarinet to Music City. The security interest  attached to the clarinet because: (</w:t>
      </w:r>
      <w:proofErr w:type="spellStart"/>
      <w:r>
        <w:t>i</w:t>
      </w:r>
      <w:proofErr w:type="spellEnd"/>
      <w:r>
        <w:t xml:space="preserve">) Music City gave </w:t>
      </w:r>
      <w:r w:rsidRPr="00E1062A">
        <w:rPr>
          <w:i/>
          <w:iCs/>
        </w:rPr>
        <w:t>value</w:t>
      </w:r>
      <w:r>
        <w:t xml:space="preserve"> by providing</w:t>
      </w:r>
      <w:r w:rsidR="000D1D61">
        <w:t xml:space="preserve"> Martin with</w:t>
      </w:r>
      <w:r>
        <w:t xml:space="preserve"> the clarinet; (ii) the debtor (Martin) had </w:t>
      </w:r>
      <w:r w:rsidRPr="00E1062A">
        <w:rPr>
          <w:i/>
          <w:iCs/>
        </w:rPr>
        <w:t>rights to the collateral</w:t>
      </w:r>
      <w:r>
        <w:t xml:space="preserve"> after Music City sold her the clarinet (she </w:t>
      </w:r>
      <w:r w:rsidR="000448F0">
        <w:t xml:space="preserve">now </w:t>
      </w:r>
      <w:r>
        <w:t>owns it</w:t>
      </w:r>
      <w:r w:rsidR="000448F0">
        <w:t>)</w:t>
      </w:r>
      <w:r>
        <w:t xml:space="preserve">; and (iii) Martin </w:t>
      </w:r>
      <w:r w:rsidRPr="00E1062A">
        <w:rPr>
          <w:i/>
          <w:iCs/>
        </w:rPr>
        <w:t>signed a written security agreement</w:t>
      </w:r>
      <w:r>
        <w:t xml:space="preserve"> that granted Music City a security interest and that identified the collateral as the clarinet. </w:t>
      </w:r>
    </w:p>
    <w:p w14:paraId="16740089" w14:textId="3FD164DD" w:rsidR="00DA336E" w:rsidRDefault="00CB33F8" w:rsidP="00CA50FC">
      <w:pPr>
        <w:jc w:val="both"/>
      </w:pPr>
      <w:r>
        <w:t>L</w:t>
      </w:r>
      <w:r w:rsidR="00D61C57">
        <w:t xml:space="preserve">et’s </w:t>
      </w:r>
      <w:r>
        <w:t xml:space="preserve">focus </w:t>
      </w:r>
      <w:r w:rsidR="004B3AD6">
        <w:t xml:space="preserve">first on the value </w:t>
      </w:r>
      <w:r w:rsidR="00D61C57">
        <w:t>requirement</w:t>
      </w:r>
      <w:r w:rsidR="000D1D61">
        <w:t>. Value</w:t>
      </w:r>
      <w:r>
        <w:t xml:space="preserve"> </w:t>
      </w:r>
      <w:r w:rsidR="00EB3093">
        <w:t>is defined in U.C.C. § 1-204</w:t>
      </w:r>
      <w:r w:rsidR="000D1D61">
        <w:t xml:space="preserve"> and</w:t>
      </w:r>
      <w:r w:rsidR="00EB3093">
        <w:t xml:space="preserve"> </w:t>
      </w:r>
      <w:r>
        <w:t xml:space="preserve">can be satisfied in </w:t>
      </w:r>
      <w:r w:rsidR="00EB3093">
        <w:t>four</w:t>
      </w:r>
      <w:r>
        <w:t xml:space="preserve"> different ways</w:t>
      </w:r>
      <w:r w:rsidR="00D61C57">
        <w:t>.</w:t>
      </w:r>
      <w:r>
        <w:t xml:space="preserve"> </w:t>
      </w:r>
      <w:r w:rsidR="000906E6">
        <w:t>F</w:t>
      </w:r>
      <w:r>
        <w:t>irst</w:t>
      </w:r>
      <w:r w:rsidR="000906E6">
        <w:t xml:space="preserve">, value is present when a creditor makes </w:t>
      </w:r>
      <w:r w:rsidR="000906E6" w:rsidRPr="000906E6">
        <w:t xml:space="preserve">a </w:t>
      </w:r>
      <w:r w:rsidR="000906E6" w:rsidRPr="008A2D1E">
        <w:rPr>
          <w:i/>
          <w:iCs/>
        </w:rPr>
        <w:t>binding</w:t>
      </w:r>
      <w:r w:rsidR="000906E6" w:rsidRPr="000906E6">
        <w:t xml:space="preserve"> commitment to extend credit or for the extension of immediately available credit, whether or not drawn upon and whether or not a charge-back is provided in the event of difficulties in collection</w:t>
      </w:r>
      <w:r w:rsidR="000906E6">
        <w:t>. Second, value is given</w:t>
      </w:r>
      <w:r w:rsidR="000906E6" w:rsidRPr="000906E6">
        <w:t xml:space="preserve"> </w:t>
      </w:r>
      <w:r w:rsidR="000906E6">
        <w:t>where a party gives</w:t>
      </w:r>
      <w:r w:rsidR="000906E6" w:rsidRPr="000906E6">
        <w:t xml:space="preserve"> security for, or in total or partial satisfaction of, a preexisting claim</w:t>
      </w:r>
      <w:r w:rsidR="000906E6">
        <w:t>. Third, value is given when a party accepts</w:t>
      </w:r>
      <w:r w:rsidR="000906E6" w:rsidRPr="000906E6">
        <w:t xml:space="preserve"> delivery under a preexisting contract for purchase</w:t>
      </w:r>
      <w:r w:rsidR="000906E6">
        <w:t>. Finally, there is value given where a party provides</w:t>
      </w:r>
      <w:r w:rsidR="000906E6" w:rsidRPr="000906E6">
        <w:t xml:space="preserve"> consideration sufficient to support a simple contract.</w:t>
      </w:r>
      <w:r w:rsidR="00DF42CD">
        <w:t xml:space="preserve"> </w:t>
      </w:r>
      <w:r w:rsidR="00C1115C">
        <w:t xml:space="preserve">Notice that </w:t>
      </w:r>
      <w:r w:rsidR="007A3BEE">
        <w:t>§</w:t>
      </w:r>
      <w:r w:rsidR="00C1115C">
        <w:t xml:space="preserve"> 9-203 requires </w:t>
      </w:r>
      <w:r w:rsidR="007A3BEE">
        <w:t xml:space="preserve">only </w:t>
      </w:r>
      <w:r w:rsidR="00C1115C">
        <w:t>th</w:t>
      </w:r>
      <w:r w:rsidR="00DF42CD">
        <w:t>at value be given</w:t>
      </w:r>
      <w:r w:rsidR="002F595B">
        <w:t>,</w:t>
      </w:r>
      <w:r w:rsidR="001D7C74">
        <w:t xml:space="preserve"> </w:t>
      </w:r>
      <w:r w:rsidR="002F595B">
        <w:t xml:space="preserve">it does not specify the particulars as to who gives and </w:t>
      </w:r>
      <w:r w:rsidR="000448F0">
        <w:t xml:space="preserve">who </w:t>
      </w:r>
      <w:r w:rsidR="002F595B">
        <w:t>gets the value</w:t>
      </w:r>
      <w:r w:rsidR="00F54A1E">
        <w:t xml:space="preserve">. </w:t>
      </w:r>
    </w:p>
    <w:p w14:paraId="1C658936" w14:textId="03C13FA6" w:rsidR="00B71C5D" w:rsidRDefault="00F54A1E" w:rsidP="00CA50FC">
      <w:pPr>
        <w:jc w:val="both"/>
      </w:pPr>
      <w:r>
        <w:t>O</w:t>
      </w:r>
      <w:r w:rsidR="001D7C74">
        <w:t>rdinarily</w:t>
      </w:r>
      <w:r>
        <w:t xml:space="preserve">, but not always, </w:t>
      </w:r>
      <w:r w:rsidR="001D7C74">
        <w:t>value is given by the secured party</w:t>
      </w:r>
      <w:r w:rsidR="004212C3">
        <w:t xml:space="preserve"> and </w:t>
      </w:r>
      <w:r w:rsidR="008F5A96">
        <w:t xml:space="preserve">is </w:t>
      </w:r>
      <w:r w:rsidR="004212C3">
        <w:t>given to the debtor</w:t>
      </w:r>
      <w:r w:rsidR="002F595B">
        <w:t xml:space="preserve">. </w:t>
      </w:r>
      <w:r w:rsidR="00CB65E2">
        <w:t>That</w:t>
      </w:r>
      <w:r w:rsidR="000448F0">
        <w:t>’s</w:t>
      </w:r>
      <w:r w:rsidR="00CB65E2">
        <w:t xml:space="preserve"> because for purposes of Article 9, the debtor is the person who has rights to the collateral and the obligor is the </w:t>
      </w:r>
      <w:r w:rsidR="00CB65E2">
        <w:lastRenderedPageBreak/>
        <w:t>person who owes the money, but they are often the same person.</w:t>
      </w:r>
      <w:r w:rsidR="00762EE9">
        <w:t xml:space="preserve"> </w:t>
      </w:r>
      <w:r w:rsidR="00DA336E">
        <w:t xml:space="preserve">In Example 1 with Music City, Music City gave value </w:t>
      </w:r>
      <w:r w:rsidR="00CB65E2">
        <w:t xml:space="preserve">to Martin </w:t>
      </w:r>
      <w:r w:rsidR="00DA336E">
        <w:t xml:space="preserve">when Martin accepted delivery of the clarinet under the contract to purchase. </w:t>
      </w:r>
    </w:p>
    <w:p w14:paraId="04C82A6A" w14:textId="519F0961" w:rsidR="00B71C5D" w:rsidRDefault="00B71C5D" w:rsidP="00B71C5D">
      <w:pPr>
        <w:jc w:val="both"/>
      </w:pPr>
      <w:r>
        <w:t>Let’s look at a</w:t>
      </w:r>
      <w:r w:rsidR="00DA336E">
        <w:t xml:space="preserve"> slightly different </w:t>
      </w:r>
      <w:r w:rsidR="008F5A96">
        <w:t>extension of credit</w:t>
      </w:r>
      <w:r w:rsidR="00DA336E">
        <w:t xml:space="preserve"> for the clarinet purchase</w:t>
      </w:r>
      <w:r>
        <w:t xml:space="preserve">. </w:t>
      </w:r>
    </w:p>
    <w:p w14:paraId="7C336129" w14:textId="5F0C53F9" w:rsidR="00FF298C" w:rsidRDefault="00B71C5D" w:rsidP="00FF298C">
      <w:pPr>
        <w:jc w:val="both"/>
      </w:pPr>
      <w:r>
        <w:t xml:space="preserve">Example </w:t>
      </w:r>
      <w:r w:rsidR="00FF298C">
        <w:t>2</w:t>
      </w:r>
      <w:r>
        <w:t xml:space="preserve">. </w:t>
      </w:r>
      <w:r w:rsidR="00FF298C">
        <w:t>Martin wanted to buy a clarinet for her son Marshall, but Music City did not sell instruments on credit</w:t>
      </w:r>
      <w:r w:rsidR="00487366">
        <w:t xml:space="preserve">. In order to purchase the clarinet, </w:t>
      </w:r>
      <w:r w:rsidR="00FF298C">
        <w:t xml:space="preserve">Martin </w:t>
      </w:r>
      <w:r w:rsidR="0022436D">
        <w:t>borrowed $1000</w:t>
      </w:r>
      <w:r w:rsidR="00FF298C">
        <w:t xml:space="preserve"> </w:t>
      </w:r>
      <w:r w:rsidR="00AA7C18">
        <w:t xml:space="preserve">from </w:t>
      </w:r>
      <w:r w:rsidR="00FF298C">
        <w:t>First Bank</w:t>
      </w:r>
      <w:r w:rsidR="0022436D">
        <w:t xml:space="preserve"> </w:t>
      </w:r>
      <w:r w:rsidR="00FF298C">
        <w:t xml:space="preserve">and Martin granted First Bank a security interest in the clarinet to secure payment of the </w:t>
      </w:r>
      <w:r w:rsidR="008F5A96">
        <w:t>loan</w:t>
      </w:r>
      <w:r w:rsidR="00FF298C">
        <w:t xml:space="preserve"> over three years. </w:t>
      </w:r>
      <w:r w:rsidR="0022436D">
        <w:t xml:space="preserve">First Bank gave value to Martin by extending credit (the $1000). </w:t>
      </w:r>
    </w:p>
    <w:p w14:paraId="6FEA480D" w14:textId="76FE7170" w:rsidR="0097326A" w:rsidRDefault="0097326A" w:rsidP="00FF298C">
      <w:pPr>
        <w:jc w:val="both"/>
      </w:pPr>
      <w:r>
        <w:t>You may recall from your study of contract law that past consideration is generally</w:t>
      </w:r>
      <w:r w:rsidR="00AA7C18">
        <w:t xml:space="preserve"> not sufficient</w:t>
      </w:r>
      <w:r>
        <w:t xml:space="preserve"> to support a contract. However, </w:t>
      </w:r>
      <w:r w:rsidR="00886C95">
        <w:t xml:space="preserve">under the UCC, </w:t>
      </w:r>
      <w:r>
        <w:t xml:space="preserve">value for attaching a security interest can be based on a preexisting </w:t>
      </w:r>
      <w:r w:rsidR="008F5A96">
        <w:t>obligation</w:t>
      </w:r>
      <w:r>
        <w:t>. Let’s look at an example.</w:t>
      </w:r>
    </w:p>
    <w:p w14:paraId="64E5EFF4" w14:textId="2F726C5E" w:rsidR="00487366" w:rsidRDefault="0097326A" w:rsidP="00FF298C">
      <w:pPr>
        <w:jc w:val="both"/>
      </w:pPr>
      <w:r>
        <w:t>Example 3. Music City purchase</w:t>
      </w:r>
      <w:r w:rsidR="00816D18">
        <w:t>d</w:t>
      </w:r>
      <w:r>
        <w:t xml:space="preserve"> </w:t>
      </w:r>
      <w:r w:rsidR="00766B0A">
        <w:t xml:space="preserve">$10,000 </w:t>
      </w:r>
      <w:r w:rsidR="008F5A96">
        <w:t xml:space="preserve">worth </w:t>
      </w:r>
      <w:r w:rsidR="00766B0A">
        <w:t xml:space="preserve">of </w:t>
      </w:r>
      <w:r>
        <w:t xml:space="preserve">instruments for resale from Supplier </w:t>
      </w:r>
      <w:r w:rsidR="00766B0A">
        <w:t xml:space="preserve">with an expectation of payment to Supplier in 30 days. Music City </w:t>
      </w:r>
      <w:r w:rsidR="008F5A96">
        <w:t>wa</w:t>
      </w:r>
      <w:r w:rsidR="00766B0A">
        <w:t>s unable to pay Supplier</w:t>
      </w:r>
      <w:r w:rsidR="00AE7C9C">
        <w:t xml:space="preserve"> for the instruments as promised, so Supplier had a claim against Music City for the $10,000.</w:t>
      </w:r>
      <w:r w:rsidR="00766B0A">
        <w:t xml:space="preserve"> </w:t>
      </w:r>
      <w:r w:rsidR="00AA7C18">
        <w:t>Music City</w:t>
      </w:r>
      <w:r w:rsidR="00766B0A">
        <w:t xml:space="preserve"> grant</w:t>
      </w:r>
      <w:r w:rsidR="00816D18">
        <w:t>ed</w:t>
      </w:r>
      <w:r w:rsidR="00766B0A">
        <w:t xml:space="preserve"> a security interest to </w:t>
      </w:r>
      <w:r w:rsidR="00886C95">
        <w:t>S</w:t>
      </w:r>
      <w:r w:rsidR="00766B0A">
        <w:t>upplier in its inventory</w:t>
      </w:r>
      <w:r>
        <w:t>.</w:t>
      </w:r>
      <w:r w:rsidR="00766B0A">
        <w:t xml:space="preserve"> Here, value </w:t>
      </w:r>
      <w:r w:rsidR="00816D18">
        <w:t>was</w:t>
      </w:r>
      <w:r w:rsidR="00766B0A">
        <w:t xml:space="preserve"> given by Supplier </w:t>
      </w:r>
      <w:r w:rsidR="00DC2966">
        <w:t>where</w:t>
      </w:r>
      <w:r w:rsidR="00766B0A">
        <w:t xml:space="preserve"> there is </w:t>
      </w:r>
      <w:r w:rsidR="00AE7C9C">
        <w:t xml:space="preserve">a </w:t>
      </w:r>
      <w:r w:rsidR="00766B0A">
        <w:t>security in</w:t>
      </w:r>
      <w:r w:rsidR="00AE7C9C">
        <w:t>terest given in</w:t>
      </w:r>
      <w:r w:rsidR="00766B0A">
        <w:t xml:space="preserve"> the inventory of Music City </w:t>
      </w:r>
      <w:r w:rsidR="00AE7C9C">
        <w:t xml:space="preserve">on account of the </w:t>
      </w:r>
      <w:r w:rsidR="00766B0A">
        <w:t xml:space="preserve">preexisting claim of $10,000. It does not matter that Supplier originally sold the instruments to Music City on an unsecured basis. </w:t>
      </w:r>
      <w:r w:rsidR="00DC2966">
        <w:t>As there is still a claim against Music City for the unpaid balance, t</w:t>
      </w:r>
      <w:r w:rsidR="00766B0A">
        <w:t>here is value for the later created security interest in the inventory</w:t>
      </w:r>
      <w:r w:rsidR="00EE0220">
        <w:t xml:space="preserve"> </w:t>
      </w:r>
      <w:r w:rsidR="00DC2966">
        <w:t>and</w:t>
      </w:r>
      <w:r w:rsidR="00EE0220">
        <w:t xml:space="preserve"> the security interest can attach</w:t>
      </w:r>
      <w:r w:rsidR="00766B0A">
        <w:t>.</w:t>
      </w:r>
      <w:r w:rsidR="00487366">
        <w:t xml:space="preserve"> </w:t>
      </w:r>
    </w:p>
    <w:p w14:paraId="44D17759" w14:textId="0E68D9DB" w:rsidR="0022436D" w:rsidRDefault="008D02CB" w:rsidP="00FF298C">
      <w:pPr>
        <w:jc w:val="both"/>
      </w:pPr>
      <w:r>
        <w:t>Moreover, s</w:t>
      </w:r>
      <w:r w:rsidR="005B5751">
        <w:t xml:space="preserve">imple consideration is enough </w:t>
      </w:r>
      <w:r w:rsidR="00943C45">
        <w:t>to satisfy the value requirement. I</w:t>
      </w:r>
      <w:r w:rsidR="005B5751">
        <w:t>t does not matter whether the debtor (</w:t>
      </w:r>
      <w:r w:rsidR="00943C45">
        <w:t xml:space="preserve">the </w:t>
      </w:r>
      <w:r w:rsidR="005B5751">
        <w:t xml:space="preserve">person with rights to the collateral) gets the value </w:t>
      </w:r>
      <w:r w:rsidR="00943C45">
        <w:t>or someone else does</w:t>
      </w:r>
      <w:r w:rsidR="005B5751">
        <w:t>. Let’s look at two examples of this.</w:t>
      </w:r>
    </w:p>
    <w:p w14:paraId="0D7E9F46" w14:textId="5FAF1D8B" w:rsidR="005B5751" w:rsidRDefault="005B5751" w:rsidP="00FF298C">
      <w:pPr>
        <w:jc w:val="both"/>
      </w:pPr>
      <w:r>
        <w:t>Example 4. Music City borrow</w:t>
      </w:r>
      <w:r w:rsidR="00816D18">
        <w:t>ed</w:t>
      </w:r>
      <w:r>
        <w:t xml:space="preserve"> $25,000 from Second Bank in order to pay operating expenses. Mary, the owner of Music City, grant</w:t>
      </w:r>
      <w:r w:rsidR="00816D18">
        <w:t>ed</w:t>
      </w:r>
      <w:r>
        <w:t xml:space="preserve"> Second Bank a security interest in her rare violin as collateral for the loan to Music City. </w:t>
      </w:r>
      <w:r w:rsidR="008A77EF">
        <w:t xml:space="preserve">In this case, Mary would be the Article 9 debtor because it is her violin even though Music City is the obligor who will owe payment on the loan. </w:t>
      </w:r>
      <w:r>
        <w:t xml:space="preserve">The exchange </w:t>
      </w:r>
      <w:r w:rsidR="00943C45">
        <w:t>is that Second Bank is loaning money</w:t>
      </w:r>
      <w:r>
        <w:t xml:space="preserve"> to Music City </w:t>
      </w:r>
      <w:r w:rsidR="00943C45">
        <w:t xml:space="preserve">in return for </w:t>
      </w:r>
      <w:r w:rsidR="00CD7EA2">
        <w:t>(</w:t>
      </w:r>
      <w:proofErr w:type="spellStart"/>
      <w:r w:rsidR="00CD7EA2">
        <w:t>i</w:t>
      </w:r>
      <w:proofErr w:type="spellEnd"/>
      <w:r w:rsidR="00CD7EA2">
        <w:t>)</w:t>
      </w:r>
      <w:r w:rsidR="00943C45">
        <w:t xml:space="preserve"> Music City’s </w:t>
      </w:r>
      <w:r>
        <w:t xml:space="preserve">promise </w:t>
      </w:r>
      <w:r w:rsidR="00943C45">
        <w:t>to repay</w:t>
      </w:r>
      <w:r>
        <w:t xml:space="preserve"> the $25,000 and </w:t>
      </w:r>
      <w:r w:rsidR="00CD7EA2">
        <w:t>(ii</w:t>
      </w:r>
      <w:r w:rsidR="00943C45">
        <w:t xml:space="preserve">) Mary’s grant of a </w:t>
      </w:r>
      <w:r>
        <w:t xml:space="preserve">security interest in </w:t>
      </w:r>
      <w:r w:rsidR="00943C45">
        <w:t>her</w:t>
      </w:r>
      <w:r>
        <w:t xml:space="preserve"> violin.</w:t>
      </w:r>
      <w:r w:rsidR="006664B2">
        <w:t xml:space="preserve"> </w:t>
      </w:r>
      <w:r w:rsidR="008B762F">
        <w:t xml:space="preserve">Recall from Contracts that the promisor does not need to receive the consideration. </w:t>
      </w:r>
      <w:r w:rsidR="006664B2">
        <w:t>There is value given by Second Bank even though the security interest is in Mary’s violin and Mary did not receive the value (Music City received it).</w:t>
      </w:r>
      <w:r w:rsidR="008B762F">
        <w:t xml:space="preserve"> </w:t>
      </w:r>
    </w:p>
    <w:p w14:paraId="07F6AA05" w14:textId="198C8049" w:rsidR="006664B2" w:rsidRDefault="006664B2" w:rsidP="00FF298C">
      <w:pPr>
        <w:jc w:val="both"/>
      </w:pPr>
      <w:r>
        <w:t xml:space="preserve">Example 5. </w:t>
      </w:r>
      <w:r w:rsidR="006318AF">
        <w:t>Daryl borrow</w:t>
      </w:r>
      <w:r w:rsidR="00816D18">
        <w:t>ed</w:t>
      </w:r>
      <w:r w:rsidR="006318AF">
        <w:t xml:space="preserve"> $10,000 from Third Bank to pay for </w:t>
      </w:r>
      <w:r w:rsidR="00BA4555">
        <w:t>music lessons</w:t>
      </w:r>
      <w:r w:rsidR="008A77EF">
        <w:t xml:space="preserve"> at Music City</w:t>
      </w:r>
      <w:r w:rsidR="00BA4555">
        <w:t>. Aunt grant</w:t>
      </w:r>
      <w:r w:rsidR="00816D18">
        <w:t>ed</w:t>
      </w:r>
      <w:r w:rsidR="00BA4555">
        <w:t xml:space="preserve"> Third Bank a security interest in a diamond tennis bracelet as collateral for Daryl’s loan. The exchange here w</w:t>
      </w:r>
      <w:r w:rsidR="00816D18">
        <w:t>as</w:t>
      </w:r>
      <w:r w:rsidR="00BA4555">
        <w:t xml:space="preserve"> the </w:t>
      </w:r>
      <w:r w:rsidR="008B762F">
        <w:t xml:space="preserve">Third Bank </w:t>
      </w:r>
      <w:r w:rsidR="00BA4555">
        <w:t xml:space="preserve">loan to Daryl </w:t>
      </w:r>
      <w:r w:rsidR="008B762F">
        <w:t xml:space="preserve">in return for </w:t>
      </w:r>
      <w:r w:rsidR="00CD7EA2">
        <w:t>(</w:t>
      </w:r>
      <w:proofErr w:type="spellStart"/>
      <w:r w:rsidR="00CD7EA2">
        <w:t>i</w:t>
      </w:r>
      <w:proofErr w:type="spellEnd"/>
      <w:r w:rsidR="00CD7EA2">
        <w:t>)</w:t>
      </w:r>
      <w:r w:rsidR="008B762F">
        <w:t xml:space="preserve"> Daryl’s </w:t>
      </w:r>
      <w:r w:rsidR="00BA4555">
        <w:t xml:space="preserve">promise of repayment of the $10,000 and </w:t>
      </w:r>
      <w:r w:rsidR="00CD7EA2">
        <w:t>(ii</w:t>
      </w:r>
      <w:r w:rsidR="008B762F">
        <w:t xml:space="preserve">) Aunt’s grant of a </w:t>
      </w:r>
      <w:r w:rsidR="00BA4555">
        <w:t>security interest in</w:t>
      </w:r>
      <w:r w:rsidR="008B762F">
        <w:t xml:space="preserve"> her</w:t>
      </w:r>
      <w:r w:rsidR="00BA4555">
        <w:t xml:space="preserve"> bracelet. </w:t>
      </w:r>
      <w:r w:rsidR="008A77EF">
        <w:t xml:space="preserve">Similar to Example 4, </w:t>
      </w:r>
      <w:r w:rsidR="00BA4555">
        <w:t xml:space="preserve">Third Bank </w:t>
      </w:r>
      <w:r w:rsidR="00816D18">
        <w:t>gave</w:t>
      </w:r>
      <w:r w:rsidR="00BA4555">
        <w:t xml:space="preserve"> value even though the security interest is in Aunt’s bracelet and </w:t>
      </w:r>
      <w:r w:rsidR="00CF74A3">
        <w:t>Daryl received the value (not Aunt).</w:t>
      </w:r>
    </w:p>
    <w:p w14:paraId="484E6E0E" w14:textId="19E84E5C" w:rsidR="00CF74A3" w:rsidRDefault="00CF74A3" w:rsidP="00FF298C">
      <w:pPr>
        <w:jc w:val="both"/>
      </w:pPr>
      <w:r>
        <w:t>Finally, it is worth mentioning that</w:t>
      </w:r>
      <w:r w:rsidR="008D02CB">
        <w:t xml:space="preserve"> oftentimes the value is easy to spot when loan funds are disbursed to the borrower. However,</w:t>
      </w:r>
      <w:r>
        <w:t xml:space="preserve"> it does not matter if the loan proceeds are </w:t>
      </w:r>
      <w:r w:rsidR="008D02CB">
        <w:t>disbursed</w:t>
      </w:r>
      <w:r>
        <w:t xml:space="preserve"> to the borrower, so long as a binding commitment is made.</w:t>
      </w:r>
    </w:p>
    <w:p w14:paraId="726A8293" w14:textId="0FAC13DA" w:rsidR="00CF74A3" w:rsidRDefault="00CF74A3" w:rsidP="00FF298C">
      <w:pPr>
        <w:jc w:val="both"/>
      </w:pPr>
      <w:r>
        <w:lastRenderedPageBreak/>
        <w:t>Example 6. Music City open</w:t>
      </w:r>
      <w:r w:rsidR="00816D18">
        <w:t>ed</w:t>
      </w:r>
      <w:r>
        <w:t xml:space="preserve"> a $100,000 line of credit with Fourth Bank to cover operating expenses as needed. </w:t>
      </w:r>
      <w:r w:rsidR="003E220D">
        <w:t>Music City grant</w:t>
      </w:r>
      <w:r w:rsidR="00816D18">
        <w:t>ed</w:t>
      </w:r>
      <w:r w:rsidR="003E220D">
        <w:t xml:space="preserve"> a security interest in its equipment and accounts to </w:t>
      </w:r>
      <w:r>
        <w:t>Fourth Bank</w:t>
      </w:r>
      <w:r w:rsidR="003E220D">
        <w:t xml:space="preserve"> as collateral for the loan. Fourth Bank </w:t>
      </w:r>
      <w:r w:rsidR="00816D18">
        <w:t>gave</w:t>
      </w:r>
      <w:r w:rsidR="00DF7760">
        <w:t xml:space="preserve"> value by making a binding loan commitment to Music City, even if Music City has not drawn upon the line of credit.</w:t>
      </w:r>
      <w:r w:rsidR="003E220D">
        <w:t xml:space="preserve"> </w:t>
      </w:r>
    </w:p>
    <w:p w14:paraId="2B4475B2" w14:textId="609D6FB5" w:rsidR="002C4321" w:rsidRDefault="008D02CB" w:rsidP="00CA50FC">
      <w:pPr>
        <w:jc w:val="both"/>
      </w:pPr>
      <w:r>
        <w:t xml:space="preserve">Let’s move on now. </w:t>
      </w:r>
      <w:r w:rsidR="00977834">
        <w:t xml:space="preserve">Recall that § 9-203 also requires that the </w:t>
      </w:r>
      <w:r w:rsidR="00977834" w:rsidRPr="00EE1BDC">
        <w:rPr>
          <w:i/>
          <w:iCs/>
        </w:rPr>
        <w:t>debtor has rights</w:t>
      </w:r>
      <w:r w:rsidR="00977834">
        <w:t xml:space="preserve"> in the collateral or power to transfer rights in the collateral to a secured party (meaning some form of property right to the personal property)</w:t>
      </w:r>
      <w:r w:rsidR="00B71C5D">
        <w:t>.</w:t>
      </w:r>
      <w:r w:rsidR="00C8785A">
        <w:t xml:space="preserve"> The debtor can only transfer an interest in whatever rights they have in the collateral and </w:t>
      </w:r>
      <w:r w:rsidR="00863FD8">
        <w:t xml:space="preserve">one who does not have any rights </w:t>
      </w:r>
      <w:r w:rsidR="00AA2782">
        <w:t xml:space="preserve">cannot grant a security interest in </w:t>
      </w:r>
      <w:r w:rsidR="00CD7EA2">
        <w:t xml:space="preserve">the </w:t>
      </w:r>
      <w:r w:rsidR="00AA2782">
        <w:t xml:space="preserve">collateral. </w:t>
      </w:r>
      <w:r w:rsidR="00420FB4">
        <w:t>It is obvious that a borrower cannot grant a security interest in an unrelated party’s property</w:t>
      </w:r>
      <w:r w:rsidR="002C4321">
        <w:t xml:space="preserve"> because</w:t>
      </w:r>
      <w:r w:rsidR="00420FB4">
        <w:t xml:space="preserve"> the borrower does not have any rights to th</w:t>
      </w:r>
      <w:r w:rsidR="008D39DA">
        <w:t>at</w:t>
      </w:r>
      <w:r w:rsidR="00420FB4">
        <w:t xml:space="preserve"> property. However, sometimes </w:t>
      </w:r>
      <w:r w:rsidR="00863FD8">
        <w:t>an effective security agreement is created</w:t>
      </w:r>
      <w:r w:rsidR="00420FB4">
        <w:t xml:space="preserve"> where the party with rights to the collateral becomes the debtor by agreeing to the security interest. </w:t>
      </w:r>
    </w:p>
    <w:p w14:paraId="7E109F7E" w14:textId="7F05EF08" w:rsidR="00AA2782" w:rsidRDefault="00AA2782" w:rsidP="00CA50FC">
      <w:pPr>
        <w:jc w:val="both"/>
      </w:pPr>
      <w:r>
        <w:t xml:space="preserve">Let’s look at </w:t>
      </w:r>
      <w:r w:rsidR="001B6B22">
        <w:t>two</w:t>
      </w:r>
      <w:r>
        <w:t xml:space="preserve"> examples.</w:t>
      </w:r>
    </w:p>
    <w:p w14:paraId="1796D083" w14:textId="621FF233" w:rsidR="00AA2782" w:rsidRDefault="00AA2782" w:rsidP="00AA2782">
      <w:pPr>
        <w:jc w:val="both"/>
      </w:pPr>
      <w:r>
        <w:t>Example 7. Music City borrow</w:t>
      </w:r>
      <w:r w:rsidR="00816D18">
        <w:t>ed</w:t>
      </w:r>
      <w:r>
        <w:t xml:space="preserve"> $25,000 from Second Bank in order to pay operating expenses. Music City would not be able to grant a security interest to Second Bank in Mary’s violin without her permission </w:t>
      </w:r>
      <w:r w:rsidR="00420FB4">
        <w:t>as Music City does not have rights to the violin (it belongs to Mary). It</w:t>
      </w:r>
      <w:r w:rsidR="000E1692">
        <w:t>’</w:t>
      </w:r>
      <w:r w:rsidR="00420FB4">
        <w:t xml:space="preserve">s obvious that Music City cannot grant a security interest in an unrelated party’s property, but </w:t>
      </w:r>
      <w:r w:rsidR="008A1C3C">
        <w:t>Mary, as</w:t>
      </w:r>
      <w:r w:rsidR="00420FB4">
        <w:t xml:space="preserve"> the owner of </w:t>
      </w:r>
      <w:r w:rsidR="008A1C3C">
        <w:t>the</w:t>
      </w:r>
      <w:r w:rsidR="00420FB4">
        <w:t xml:space="preserve"> business</w:t>
      </w:r>
      <w:r w:rsidR="008A1C3C">
        <w:t>, could do so</w:t>
      </w:r>
      <w:r w:rsidR="00E74B6A">
        <w:t>.</w:t>
      </w:r>
      <w:r w:rsidR="00420FB4">
        <w:t xml:space="preserve"> I</w:t>
      </w:r>
      <w:r w:rsidR="008A1C3C">
        <w:t>t</w:t>
      </w:r>
      <w:r w:rsidR="000E1692">
        <w:t>’s</w:t>
      </w:r>
      <w:r w:rsidR="008A1C3C">
        <w:t xml:space="preserve"> important to remember that if</w:t>
      </w:r>
      <w:r w:rsidR="00420FB4">
        <w:t xml:space="preserve"> Mary, as owner of the violin, agree</w:t>
      </w:r>
      <w:r w:rsidR="008A1C3C">
        <w:t>d</w:t>
      </w:r>
      <w:r w:rsidR="00420FB4">
        <w:t xml:space="preserve"> to grant </w:t>
      </w:r>
      <w:r w:rsidR="008A1C3C">
        <w:t>a</w:t>
      </w:r>
      <w:r w:rsidR="00420FB4">
        <w:t xml:space="preserve"> security interest as collateral for Music City’s loan</w:t>
      </w:r>
      <w:r w:rsidR="008A1C3C">
        <w:t>, then</w:t>
      </w:r>
      <w:r w:rsidR="00420FB4">
        <w:t xml:space="preserve"> Mary would then be the debtor and Music City the obligor on the loan.</w:t>
      </w:r>
    </w:p>
    <w:p w14:paraId="75D098CB" w14:textId="7E9B67EA" w:rsidR="003F189E" w:rsidRDefault="002C4321" w:rsidP="00F815C1">
      <w:pPr>
        <w:jc w:val="both"/>
      </w:pPr>
      <w:r>
        <w:t xml:space="preserve">Example </w:t>
      </w:r>
      <w:r w:rsidR="003C1C6F">
        <w:t>8</w:t>
      </w:r>
      <w:r>
        <w:t xml:space="preserve">. </w:t>
      </w:r>
      <w:r w:rsidR="003C1C6F">
        <w:t>Music City borrow</w:t>
      </w:r>
      <w:r w:rsidR="00816D18">
        <w:t>ed</w:t>
      </w:r>
      <w:r w:rsidR="003C1C6F">
        <w:t xml:space="preserve"> $50,000 from Second Bank in order to pay operating expenses</w:t>
      </w:r>
      <w:r w:rsidR="008A1C3C">
        <w:t>,</w:t>
      </w:r>
      <w:r w:rsidR="003C1C6F">
        <w:t xml:space="preserve"> granting</w:t>
      </w:r>
      <w:r w:rsidR="007731A6">
        <w:t xml:space="preserve"> </w:t>
      </w:r>
      <w:r w:rsidR="008A1C3C">
        <w:t xml:space="preserve">Second Bank </w:t>
      </w:r>
      <w:r w:rsidR="003C1C6F">
        <w:t>a security interest in its</w:t>
      </w:r>
      <w:r w:rsidR="001C2E1D">
        <w:t xml:space="preserve"> existing and after acquired</w:t>
      </w:r>
      <w:r w:rsidR="003C1C6F">
        <w:t xml:space="preserve"> inventory. </w:t>
      </w:r>
      <w:r w:rsidR="004D7223">
        <w:t xml:space="preserve">At the time of the loan, </w:t>
      </w:r>
      <w:r>
        <w:t>Music City</w:t>
      </w:r>
      <w:r w:rsidR="003C1C6F">
        <w:t xml:space="preserve"> ha</w:t>
      </w:r>
      <w:r w:rsidR="008A1C3C">
        <w:t>d</w:t>
      </w:r>
      <w:r w:rsidR="003C1C6F">
        <w:t xml:space="preserve"> 10 flutes, 5 clarinets and 20 violins in stock.</w:t>
      </w:r>
      <w:r>
        <w:t xml:space="preserve"> </w:t>
      </w:r>
      <w:r w:rsidR="004D7223">
        <w:t xml:space="preserve">Second Bank’s security interest would attach to those instruments at the time of the loan. Music City </w:t>
      </w:r>
      <w:r w:rsidR="008A1C3C">
        <w:t xml:space="preserve">then </w:t>
      </w:r>
      <w:r w:rsidR="004D7223">
        <w:t>order</w:t>
      </w:r>
      <w:r w:rsidR="008A1C3C">
        <w:t>ed</w:t>
      </w:r>
      <w:r w:rsidR="004D7223">
        <w:t xml:space="preserve"> 20 new instruments on the 1</w:t>
      </w:r>
      <w:r w:rsidR="004D7223" w:rsidRPr="004D7223">
        <w:rPr>
          <w:vertAlign w:val="superscript"/>
        </w:rPr>
        <w:t>st</w:t>
      </w:r>
      <w:r w:rsidR="004D7223">
        <w:t xml:space="preserve"> day of each month to add to inventory. As to the new inventory, the security interest of Second Bank would only attach when Music City has rights to the new inventory (upon tender of delivery </w:t>
      </w:r>
      <w:r w:rsidR="008B7ABC">
        <w:t xml:space="preserve">each month </w:t>
      </w:r>
      <w:r w:rsidR="004D7223">
        <w:t>in most cases).</w:t>
      </w:r>
      <w:r w:rsidR="001C2E1D">
        <w:t xml:space="preserve"> Notice that the collateral may change over time as the debtor acquires rights to the collateral covered by the security agreement.</w:t>
      </w:r>
      <w:r w:rsidR="003F189E">
        <w:t xml:space="preserve"> </w:t>
      </w:r>
    </w:p>
    <w:p w14:paraId="5C693AFC" w14:textId="4E39E747" w:rsidR="001E0CB8" w:rsidRDefault="002A5978" w:rsidP="006F27B1">
      <w:pPr>
        <w:jc w:val="both"/>
      </w:pPr>
      <w:r>
        <w:t xml:space="preserve">At this point, you should be able to </w:t>
      </w:r>
      <w:r w:rsidR="0010559C">
        <w:t>describe</w:t>
      </w:r>
      <w:r w:rsidR="005978B6">
        <w:t xml:space="preserve"> and</w:t>
      </w:r>
      <w:r w:rsidR="0010559C">
        <w:t xml:space="preserve"> identify </w:t>
      </w:r>
      <w:r w:rsidR="005978B6">
        <w:t xml:space="preserve">two of </w:t>
      </w:r>
      <w:r w:rsidR="005F0B37">
        <w:t>the key elements</w:t>
      </w:r>
      <w:r w:rsidR="00980D2E">
        <w:t xml:space="preserve"> of attachment</w:t>
      </w:r>
      <w:r w:rsidR="005978B6">
        <w:t xml:space="preserve"> of a security interest</w:t>
      </w:r>
      <w:r w:rsidR="0010559C">
        <w:t>: (</w:t>
      </w:r>
      <w:proofErr w:type="spellStart"/>
      <w:r w:rsidR="0010559C">
        <w:t>i</w:t>
      </w:r>
      <w:proofErr w:type="spellEnd"/>
      <w:r w:rsidR="0010559C">
        <w:t>) value given;</w:t>
      </w:r>
      <w:r w:rsidR="005978B6">
        <w:t xml:space="preserve"> and</w:t>
      </w:r>
      <w:r w:rsidR="0010559C">
        <w:t xml:space="preserve"> (ii)</w:t>
      </w:r>
      <w:r w:rsidR="005978B6">
        <w:t xml:space="preserve"> the</w:t>
      </w:r>
      <w:r w:rsidR="0010559C">
        <w:t xml:space="preserve"> debtor having rights to the collateral</w:t>
      </w:r>
      <w:r w:rsidR="005978B6">
        <w:t>. Value is most often given by the creditor to the debtor in the form of a cash loan or goods</w:t>
      </w:r>
      <w:r w:rsidR="00E744D7">
        <w:t xml:space="preserve"> sold</w:t>
      </w:r>
      <w:r w:rsidR="005978B6">
        <w:t xml:space="preserve">, but there are other ways to establish value. The debtor most often has rights to the collateral due to having title to the collateral or permission of the owner to use the collateral for </w:t>
      </w:r>
      <w:r w:rsidR="00CC126B">
        <w:t>the</w:t>
      </w:r>
      <w:r w:rsidR="005978B6">
        <w:t xml:space="preserve"> loan. </w:t>
      </w:r>
    </w:p>
    <w:p w14:paraId="35A7F2F5" w14:textId="64F98818" w:rsidR="00C57D85" w:rsidRDefault="001E0CB8" w:rsidP="000B1F6A">
      <w:pPr>
        <w:jc w:val="both"/>
      </w:pPr>
      <w:r>
        <w:t xml:space="preserve">I hope you’ve enjoyed this podcast on </w:t>
      </w:r>
      <w:r w:rsidR="007619F9">
        <w:t>Value and Rights in the Collateral</w:t>
      </w:r>
      <w:r>
        <w:t>.</w:t>
      </w:r>
    </w:p>
    <w:p w14:paraId="3E48DC8E" w14:textId="77777777" w:rsidR="000B1F6A" w:rsidRDefault="000B1F6A" w:rsidP="000B1F6A">
      <w:pPr>
        <w:jc w:val="both"/>
      </w:pPr>
      <w:proofErr w:type="spellStart"/>
      <w:r>
        <w:t>Lawdibles</w:t>
      </w:r>
      <w:proofErr w:type="spellEnd"/>
      <w:r>
        <w:t xml:space="preserve"> are produced and distributed by CALI, The Center for Computer-Assisted Legal Instruction. Find more </w:t>
      </w:r>
      <w:proofErr w:type="spellStart"/>
      <w:r>
        <w:t>Lawdibles</w:t>
      </w:r>
      <w:proofErr w:type="spellEnd"/>
      <w:r>
        <w:t xml:space="preserve"> at www.cali.org/lawdibles. Send your questions and feedback to lawdibles@cali.org. The </w:t>
      </w:r>
      <w:proofErr w:type="spellStart"/>
      <w:r>
        <w:t>Lawdibles</w:t>
      </w:r>
      <w:proofErr w:type="spellEnd"/>
      <w:r>
        <w:t xml:space="preserve"> theme music is “Ask Me No Question” by </w:t>
      </w:r>
      <w:hyperlink r:id="rId7" w:history="1">
        <w:r w:rsidRPr="000653D0">
          <w:rPr>
            <w:rStyle w:val="Hyperlink"/>
          </w:rPr>
          <w:t>Learning Music</w:t>
        </w:r>
      </w:hyperlink>
      <w:r>
        <w:t xml:space="preserve">. </w:t>
      </w:r>
      <w:proofErr w:type="spellStart"/>
      <w:r>
        <w:t>Lawdibles</w:t>
      </w:r>
      <w:proofErr w:type="spellEnd"/>
      <w:r>
        <w:t xml:space="preserve"> are for educational purposes only. Please seek an attorney if you need legal advice.</w:t>
      </w:r>
    </w:p>
    <w:p w14:paraId="64AC3A63" w14:textId="0398DE3B" w:rsidR="000B1F6A" w:rsidRPr="00020B9D" w:rsidRDefault="000B1F6A" w:rsidP="006F27B1">
      <w:pPr>
        <w:jc w:val="both"/>
      </w:pPr>
      <w:r>
        <w:lastRenderedPageBreak/>
        <w:t xml:space="preserve">CREDIT: Ask Me No Question by Learning Music is licensed under an </w:t>
      </w:r>
      <w:hyperlink r:id="rId8" w:history="1">
        <w:r w:rsidRPr="000653D0">
          <w:rPr>
            <w:rStyle w:val="Hyperlink"/>
          </w:rPr>
          <w:t>Attribution-Noncommercial-Share Alike 3.0 United States License.</w:t>
        </w:r>
      </w:hyperlink>
    </w:p>
    <w:sectPr w:rsidR="000B1F6A" w:rsidRPr="00020B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E302" w14:textId="77777777" w:rsidR="00CC7C56" w:rsidRDefault="00CC7C56" w:rsidP="00E970DF">
      <w:pPr>
        <w:spacing w:after="0" w:line="240" w:lineRule="auto"/>
      </w:pPr>
      <w:r>
        <w:separator/>
      </w:r>
    </w:p>
  </w:endnote>
  <w:endnote w:type="continuationSeparator" w:id="0">
    <w:p w14:paraId="746D2239" w14:textId="77777777" w:rsidR="00CC7C56" w:rsidRDefault="00CC7C56" w:rsidP="00E970DF">
      <w:pPr>
        <w:spacing w:after="0" w:line="240" w:lineRule="auto"/>
      </w:pPr>
      <w:r>
        <w:continuationSeparator/>
      </w:r>
    </w:p>
  </w:endnote>
  <w:endnote w:type="continuationNotice" w:id="1">
    <w:p w14:paraId="7A0CE138" w14:textId="77777777" w:rsidR="00CC7C56" w:rsidRDefault="00CC7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18EB" w14:textId="77777777" w:rsidR="000B1F6A" w:rsidRDefault="000B1F6A" w:rsidP="000B1F6A">
    <w:pPr>
      <w:pStyle w:val="Footer"/>
      <w:rPr>
        <w:rFonts w:cs="Arial"/>
        <w:color w:val="000000" w:themeColor="text1"/>
        <w:sz w:val="21"/>
        <w:szCs w:val="21"/>
      </w:rPr>
    </w:pPr>
  </w:p>
  <w:p w14:paraId="3C210979" w14:textId="699B45F5" w:rsidR="000B1F6A" w:rsidRDefault="000B1F6A" w:rsidP="000B1F6A">
    <w:pPr>
      <w:pStyle w:val="Footer"/>
      <w:rPr>
        <w:rFonts w:cs="Arial"/>
        <w:bCs/>
        <w:color w:val="000000" w:themeColor="text1"/>
        <w:sz w:val="21"/>
        <w:szCs w:val="21"/>
      </w:rPr>
    </w:pPr>
    <w:r w:rsidRPr="00095C05">
      <w:rPr>
        <w:rFonts w:cs="Arial"/>
        <w:color w:val="000000" w:themeColor="text1"/>
        <w:sz w:val="21"/>
        <w:szCs w:val="21"/>
      </w:rPr>
      <w:t xml:space="preserve">Discussions in Secured Transactions </w:t>
    </w:r>
    <w:r>
      <w:rPr>
        <w:rFonts w:cs="Arial"/>
        <w:color w:val="000000" w:themeColor="text1"/>
        <w:sz w:val="21"/>
        <w:szCs w:val="21"/>
      </w:rPr>
      <w:t>–</w:t>
    </w:r>
    <w:r w:rsidRPr="00095C05">
      <w:rPr>
        <w:rFonts w:cs="Arial"/>
        <w:color w:val="000000" w:themeColor="text1"/>
        <w:sz w:val="21"/>
        <w:szCs w:val="21"/>
      </w:rPr>
      <w:t xml:space="preserve"> </w:t>
    </w:r>
    <w:r w:rsidR="000F290C">
      <w:rPr>
        <w:rFonts w:cs="Arial"/>
        <w:color w:val="000000" w:themeColor="text1"/>
        <w:sz w:val="21"/>
        <w:szCs w:val="21"/>
      </w:rPr>
      <w:t xml:space="preserve">Value and Rights in </w:t>
    </w:r>
    <w:r w:rsidR="00E547EC">
      <w:rPr>
        <w:rFonts w:cs="Arial"/>
        <w:color w:val="000000" w:themeColor="text1"/>
        <w:sz w:val="21"/>
        <w:szCs w:val="21"/>
      </w:rPr>
      <w:t xml:space="preserve">the </w:t>
    </w:r>
    <w:r w:rsidR="000F290C">
      <w:rPr>
        <w:rFonts w:cs="Arial"/>
        <w:color w:val="000000" w:themeColor="text1"/>
        <w:sz w:val="21"/>
        <w:szCs w:val="21"/>
      </w:rPr>
      <w:t>Collateral</w:t>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117145">
      <w:rPr>
        <w:rFonts w:cs="Arial"/>
        <w:bCs/>
        <w:noProof/>
        <w:color w:val="000000" w:themeColor="text1"/>
        <w:sz w:val="21"/>
        <w:szCs w:val="21"/>
      </w:rPr>
      <w:t>1</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117145">
      <w:rPr>
        <w:rFonts w:cs="Arial"/>
        <w:bCs/>
        <w:noProof/>
        <w:color w:val="000000" w:themeColor="text1"/>
        <w:sz w:val="21"/>
        <w:szCs w:val="21"/>
      </w:rPr>
      <w:t>3</w:t>
    </w:r>
    <w:r w:rsidRPr="00007F1E">
      <w:rPr>
        <w:rFonts w:cs="Arial"/>
        <w:bCs/>
        <w:color w:val="000000" w:themeColor="text1"/>
        <w:sz w:val="21"/>
        <w:szCs w:val="21"/>
      </w:rPr>
      <w:fldChar w:fldCharType="end"/>
    </w:r>
  </w:p>
  <w:p w14:paraId="627F2993" w14:textId="77777777" w:rsidR="00496CB2" w:rsidRPr="004A0258" w:rsidRDefault="00496CB2" w:rsidP="00496CB2">
    <w:pPr>
      <w:rPr>
        <w:rFonts w:cstheme="minorHAnsi"/>
        <w:bCs/>
        <w:sz w:val="21"/>
        <w:szCs w:val="21"/>
      </w:rPr>
    </w:pPr>
    <w:r w:rsidRPr="004A0258">
      <w:rPr>
        <w:rFonts w:cs="Arial"/>
        <w:color w:val="000000"/>
        <w:sz w:val="21"/>
        <w:szCs w:val="21"/>
      </w:rPr>
      <w:t xml:space="preserve">© 2022 The Center for Computer-Assisted Legal Instruction, www.cali.org. Licensed </w:t>
    </w:r>
    <w:hyperlink r:id="rId1" w:history="1">
      <w:r w:rsidRPr="004A0258">
        <w:rPr>
          <w:rStyle w:val="Hyperlink"/>
          <w:rFonts w:cs="Arial"/>
          <w:sz w:val="21"/>
          <w:szCs w:val="21"/>
        </w:rPr>
        <w:t>CC BY-NC-SA 4.0</w:t>
      </w:r>
    </w:hyperlink>
  </w:p>
  <w:p w14:paraId="04D7B674" w14:textId="77777777" w:rsidR="00496CB2" w:rsidRPr="00095C05" w:rsidRDefault="00496CB2" w:rsidP="000B1F6A">
    <w:pPr>
      <w:pStyle w:val="Footer"/>
      <w:rPr>
        <w:rFonts w:cs="Arial"/>
        <w:color w:val="000000"/>
        <w:sz w:val="21"/>
        <w:szCs w:val="21"/>
      </w:rPr>
    </w:pPr>
  </w:p>
  <w:p w14:paraId="67DCA653" w14:textId="77777777" w:rsidR="00E970DF" w:rsidRDefault="00E9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3440" w14:textId="77777777" w:rsidR="00CC7C56" w:rsidRDefault="00CC7C56" w:rsidP="00E970DF">
      <w:pPr>
        <w:spacing w:after="0" w:line="240" w:lineRule="auto"/>
      </w:pPr>
      <w:r>
        <w:separator/>
      </w:r>
    </w:p>
  </w:footnote>
  <w:footnote w:type="continuationSeparator" w:id="0">
    <w:p w14:paraId="437E348C" w14:textId="77777777" w:rsidR="00CC7C56" w:rsidRDefault="00CC7C56" w:rsidP="00E970DF">
      <w:pPr>
        <w:spacing w:after="0" w:line="240" w:lineRule="auto"/>
      </w:pPr>
      <w:r>
        <w:continuationSeparator/>
      </w:r>
    </w:p>
  </w:footnote>
  <w:footnote w:type="continuationNotice" w:id="1">
    <w:p w14:paraId="71B80475" w14:textId="77777777" w:rsidR="00CC7C56" w:rsidRDefault="00CC7C5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2tTSwMDIwMjYzNzRU0lEKTi0uzszPAykwrAUAJOftACwAAAA="/>
    <w:docVar w:name="dgnword-docGUID" w:val="{06FFFBB9-77F0-4271-BE41-C51CAAE33B6C}"/>
    <w:docVar w:name="dgnword-eventsink" w:val="589130651072"/>
  </w:docVars>
  <w:rsids>
    <w:rsidRoot w:val="00020B9D"/>
    <w:rsid w:val="00000B1C"/>
    <w:rsid w:val="000151DC"/>
    <w:rsid w:val="00017A65"/>
    <w:rsid w:val="00020B9D"/>
    <w:rsid w:val="0002464D"/>
    <w:rsid w:val="000350B3"/>
    <w:rsid w:val="00035D45"/>
    <w:rsid w:val="00043251"/>
    <w:rsid w:val="000448F0"/>
    <w:rsid w:val="000503A7"/>
    <w:rsid w:val="00055DC8"/>
    <w:rsid w:val="00061B5A"/>
    <w:rsid w:val="000906E6"/>
    <w:rsid w:val="00092DA6"/>
    <w:rsid w:val="000A20B3"/>
    <w:rsid w:val="000A29BB"/>
    <w:rsid w:val="000A628F"/>
    <w:rsid w:val="000B1F6A"/>
    <w:rsid w:val="000B3289"/>
    <w:rsid w:val="000D19D1"/>
    <w:rsid w:val="000D1D61"/>
    <w:rsid w:val="000D1E55"/>
    <w:rsid w:val="000E1692"/>
    <w:rsid w:val="000E74BD"/>
    <w:rsid w:val="000F17EE"/>
    <w:rsid w:val="000F290C"/>
    <w:rsid w:val="000F70FD"/>
    <w:rsid w:val="0010559C"/>
    <w:rsid w:val="00106BEB"/>
    <w:rsid w:val="0011300E"/>
    <w:rsid w:val="00115478"/>
    <w:rsid w:val="00116724"/>
    <w:rsid w:val="00117145"/>
    <w:rsid w:val="00122DB5"/>
    <w:rsid w:val="00125162"/>
    <w:rsid w:val="00145B4C"/>
    <w:rsid w:val="00162B29"/>
    <w:rsid w:val="0016392A"/>
    <w:rsid w:val="00166490"/>
    <w:rsid w:val="0017140C"/>
    <w:rsid w:val="0018166F"/>
    <w:rsid w:val="00187FDF"/>
    <w:rsid w:val="00195CE2"/>
    <w:rsid w:val="001A34F4"/>
    <w:rsid w:val="001B071D"/>
    <w:rsid w:val="001B3990"/>
    <w:rsid w:val="001B6B22"/>
    <w:rsid w:val="001C2E1D"/>
    <w:rsid w:val="001C6CD8"/>
    <w:rsid w:val="001D7C74"/>
    <w:rsid w:val="001E0CB8"/>
    <w:rsid w:val="001E59C2"/>
    <w:rsid w:val="001F0242"/>
    <w:rsid w:val="001F0719"/>
    <w:rsid w:val="001F74C8"/>
    <w:rsid w:val="00206E68"/>
    <w:rsid w:val="002146DF"/>
    <w:rsid w:val="002200F2"/>
    <w:rsid w:val="00221E1A"/>
    <w:rsid w:val="0022309F"/>
    <w:rsid w:val="0022436D"/>
    <w:rsid w:val="00244B96"/>
    <w:rsid w:val="002476A6"/>
    <w:rsid w:val="00280B15"/>
    <w:rsid w:val="00293F05"/>
    <w:rsid w:val="002A14E5"/>
    <w:rsid w:val="002A5978"/>
    <w:rsid w:val="002B36F3"/>
    <w:rsid w:val="002B5083"/>
    <w:rsid w:val="002C0382"/>
    <w:rsid w:val="002C4321"/>
    <w:rsid w:val="002F595B"/>
    <w:rsid w:val="002F72B2"/>
    <w:rsid w:val="00300570"/>
    <w:rsid w:val="00301CE5"/>
    <w:rsid w:val="00307C9B"/>
    <w:rsid w:val="00324483"/>
    <w:rsid w:val="00330A6E"/>
    <w:rsid w:val="00351864"/>
    <w:rsid w:val="003659DB"/>
    <w:rsid w:val="003669A0"/>
    <w:rsid w:val="00371F1A"/>
    <w:rsid w:val="00373B07"/>
    <w:rsid w:val="003928A2"/>
    <w:rsid w:val="003949A5"/>
    <w:rsid w:val="003973F7"/>
    <w:rsid w:val="003A2A71"/>
    <w:rsid w:val="003B7204"/>
    <w:rsid w:val="003C1C6F"/>
    <w:rsid w:val="003E220D"/>
    <w:rsid w:val="003F189E"/>
    <w:rsid w:val="003F3F74"/>
    <w:rsid w:val="0041525C"/>
    <w:rsid w:val="00420FB4"/>
    <w:rsid w:val="004212C3"/>
    <w:rsid w:val="00427189"/>
    <w:rsid w:val="00431122"/>
    <w:rsid w:val="0043683B"/>
    <w:rsid w:val="004510EC"/>
    <w:rsid w:val="00452517"/>
    <w:rsid w:val="00461D01"/>
    <w:rsid w:val="00471A0D"/>
    <w:rsid w:val="00475A42"/>
    <w:rsid w:val="00483426"/>
    <w:rsid w:val="00487366"/>
    <w:rsid w:val="004930E4"/>
    <w:rsid w:val="00496CB2"/>
    <w:rsid w:val="00497D06"/>
    <w:rsid w:val="004B07C5"/>
    <w:rsid w:val="004B3AD6"/>
    <w:rsid w:val="004C0ABE"/>
    <w:rsid w:val="004C4D76"/>
    <w:rsid w:val="004C5FCE"/>
    <w:rsid w:val="004D7223"/>
    <w:rsid w:val="00504BE2"/>
    <w:rsid w:val="00512C63"/>
    <w:rsid w:val="00514186"/>
    <w:rsid w:val="0053027C"/>
    <w:rsid w:val="005416F1"/>
    <w:rsid w:val="00546CF2"/>
    <w:rsid w:val="00556CB7"/>
    <w:rsid w:val="00557D55"/>
    <w:rsid w:val="0057463F"/>
    <w:rsid w:val="00577862"/>
    <w:rsid w:val="00583003"/>
    <w:rsid w:val="005833D3"/>
    <w:rsid w:val="005978B6"/>
    <w:rsid w:val="005B291E"/>
    <w:rsid w:val="005B5751"/>
    <w:rsid w:val="005B5982"/>
    <w:rsid w:val="005C5534"/>
    <w:rsid w:val="005D07DA"/>
    <w:rsid w:val="005E173D"/>
    <w:rsid w:val="005F0B37"/>
    <w:rsid w:val="0060391C"/>
    <w:rsid w:val="00605D0C"/>
    <w:rsid w:val="006211A7"/>
    <w:rsid w:val="00621804"/>
    <w:rsid w:val="006318AF"/>
    <w:rsid w:val="00635139"/>
    <w:rsid w:val="00654EAD"/>
    <w:rsid w:val="006557DB"/>
    <w:rsid w:val="00656418"/>
    <w:rsid w:val="00660652"/>
    <w:rsid w:val="006664B2"/>
    <w:rsid w:val="006700BD"/>
    <w:rsid w:val="00684647"/>
    <w:rsid w:val="006C05E1"/>
    <w:rsid w:val="006D49EA"/>
    <w:rsid w:val="006E45F7"/>
    <w:rsid w:val="006E5FA6"/>
    <w:rsid w:val="006F27B1"/>
    <w:rsid w:val="006F4FA0"/>
    <w:rsid w:val="006F618C"/>
    <w:rsid w:val="007049A8"/>
    <w:rsid w:val="007064C7"/>
    <w:rsid w:val="00731DF1"/>
    <w:rsid w:val="0075594E"/>
    <w:rsid w:val="007619F9"/>
    <w:rsid w:val="00762EE9"/>
    <w:rsid w:val="00766B0A"/>
    <w:rsid w:val="00772BAF"/>
    <w:rsid w:val="007731A6"/>
    <w:rsid w:val="00775154"/>
    <w:rsid w:val="00775BAF"/>
    <w:rsid w:val="007768FE"/>
    <w:rsid w:val="00781F5E"/>
    <w:rsid w:val="007A3BEE"/>
    <w:rsid w:val="007B5962"/>
    <w:rsid w:val="007B7698"/>
    <w:rsid w:val="007C2C2C"/>
    <w:rsid w:val="007C535C"/>
    <w:rsid w:val="007C7E29"/>
    <w:rsid w:val="007D78D3"/>
    <w:rsid w:val="007F167F"/>
    <w:rsid w:val="007F3C3E"/>
    <w:rsid w:val="00816D18"/>
    <w:rsid w:val="00823FA7"/>
    <w:rsid w:val="00835664"/>
    <w:rsid w:val="0084740C"/>
    <w:rsid w:val="0085353E"/>
    <w:rsid w:val="00863FD8"/>
    <w:rsid w:val="00873B06"/>
    <w:rsid w:val="00884DC0"/>
    <w:rsid w:val="008853BB"/>
    <w:rsid w:val="00886C95"/>
    <w:rsid w:val="008A1C3C"/>
    <w:rsid w:val="008A2D1E"/>
    <w:rsid w:val="008A77EF"/>
    <w:rsid w:val="008B762F"/>
    <w:rsid w:val="008B7ABC"/>
    <w:rsid w:val="008C20FE"/>
    <w:rsid w:val="008C63F4"/>
    <w:rsid w:val="008D02CB"/>
    <w:rsid w:val="008D26F9"/>
    <w:rsid w:val="008D39DA"/>
    <w:rsid w:val="008E00DF"/>
    <w:rsid w:val="008E57E0"/>
    <w:rsid w:val="008E6FF0"/>
    <w:rsid w:val="008F3A95"/>
    <w:rsid w:val="008F5A96"/>
    <w:rsid w:val="00901ED6"/>
    <w:rsid w:val="009155A3"/>
    <w:rsid w:val="009252A5"/>
    <w:rsid w:val="00927C46"/>
    <w:rsid w:val="00943C45"/>
    <w:rsid w:val="00947676"/>
    <w:rsid w:val="00950410"/>
    <w:rsid w:val="00950CCC"/>
    <w:rsid w:val="00953E07"/>
    <w:rsid w:val="009662E8"/>
    <w:rsid w:val="0097326A"/>
    <w:rsid w:val="009771A1"/>
    <w:rsid w:val="00977834"/>
    <w:rsid w:val="00980D2E"/>
    <w:rsid w:val="00985E39"/>
    <w:rsid w:val="00991F9D"/>
    <w:rsid w:val="00995731"/>
    <w:rsid w:val="009A5B99"/>
    <w:rsid w:val="009A7873"/>
    <w:rsid w:val="009B11A8"/>
    <w:rsid w:val="009B2DF5"/>
    <w:rsid w:val="009C09F4"/>
    <w:rsid w:val="009C51CF"/>
    <w:rsid w:val="009D0016"/>
    <w:rsid w:val="009D039D"/>
    <w:rsid w:val="009D1801"/>
    <w:rsid w:val="009D5F71"/>
    <w:rsid w:val="009E7AB5"/>
    <w:rsid w:val="009F1523"/>
    <w:rsid w:val="009F1B6D"/>
    <w:rsid w:val="009F508F"/>
    <w:rsid w:val="00A03CB7"/>
    <w:rsid w:val="00A446D7"/>
    <w:rsid w:val="00A70B13"/>
    <w:rsid w:val="00A73DC7"/>
    <w:rsid w:val="00AA0596"/>
    <w:rsid w:val="00AA0A2F"/>
    <w:rsid w:val="00AA1E29"/>
    <w:rsid w:val="00AA2782"/>
    <w:rsid w:val="00AA7C18"/>
    <w:rsid w:val="00AB47DD"/>
    <w:rsid w:val="00AC01AA"/>
    <w:rsid w:val="00AE5E3E"/>
    <w:rsid w:val="00AE7C34"/>
    <w:rsid w:val="00AE7C9C"/>
    <w:rsid w:val="00B013EF"/>
    <w:rsid w:val="00B242E2"/>
    <w:rsid w:val="00B30564"/>
    <w:rsid w:val="00B32E6D"/>
    <w:rsid w:val="00B35824"/>
    <w:rsid w:val="00B40AD0"/>
    <w:rsid w:val="00B50C97"/>
    <w:rsid w:val="00B64CBC"/>
    <w:rsid w:val="00B70DD3"/>
    <w:rsid w:val="00B71C5D"/>
    <w:rsid w:val="00B72974"/>
    <w:rsid w:val="00B73514"/>
    <w:rsid w:val="00B76894"/>
    <w:rsid w:val="00B77402"/>
    <w:rsid w:val="00B80F47"/>
    <w:rsid w:val="00B97BD5"/>
    <w:rsid w:val="00BA4555"/>
    <w:rsid w:val="00BA5803"/>
    <w:rsid w:val="00BC7180"/>
    <w:rsid w:val="00BD1FF5"/>
    <w:rsid w:val="00BD45CD"/>
    <w:rsid w:val="00BE1047"/>
    <w:rsid w:val="00BF3E87"/>
    <w:rsid w:val="00BF431D"/>
    <w:rsid w:val="00C03D52"/>
    <w:rsid w:val="00C07BE7"/>
    <w:rsid w:val="00C1115C"/>
    <w:rsid w:val="00C36406"/>
    <w:rsid w:val="00C374CD"/>
    <w:rsid w:val="00C47539"/>
    <w:rsid w:val="00C51FF9"/>
    <w:rsid w:val="00C535E3"/>
    <w:rsid w:val="00C57D85"/>
    <w:rsid w:val="00C6165E"/>
    <w:rsid w:val="00C61A09"/>
    <w:rsid w:val="00C65BFF"/>
    <w:rsid w:val="00C726F8"/>
    <w:rsid w:val="00C73029"/>
    <w:rsid w:val="00C85D8E"/>
    <w:rsid w:val="00C8785A"/>
    <w:rsid w:val="00C925C3"/>
    <w:rsid w:val="00C93D63"/>
    <w:rsid w:val="00C9724E"/>
    <w:rsid w:val="00CA50FC"/>
    <w:rsid w:val="00CB33F8"/>
    <w:rsid w:val="00CB65E2"/>
    <w:rsid w:val="00CB742D"/>
    <w:rsid w:val="00CC126B"/>
    <w:rsid w:val="00CC215C"/>
    <w:rsid w:val="00CC46B7"/>
    <w:rsid w:val="00CC7062"/>
    <w:rsid w:val="00CC7C56"/>
    <w:rsid w:val="00CD1D20"/>
    <w:rsid w:val="00CD29FB"/>
    <w:rsid w:val="00CD7059"/>
    <w:rsid w:val="00CD7EA2"/>
    <w:rsid w:val="00CE0F86"/>
    <w:rsid w:val="00CE1851"/>
    <w:rsid w:val="00CE2036"/>
    <w:rsid w:val="00CE28C5"/>
    <w:rsid w:val="00CF74A3"/>
    <w:rsid w:val="00D0016D"/>
    <w:rsid w:val="00D1454B"/>
    <w:rsid w:val="00D24C94"/>
    <w:rsid w:val="00D4277C"/>
    <w:rsid w:val="00D473B9"/>
    <w:rsid w:val="00D47A0C"/>
    <w:rsid w:val="00D557CA"/>
    <w:rsid w:val="00D61C57"/>
    <w:rsid w:val="00D7008F"/>
    <w:rsid w:val="00D9132C"/>
    <w:rsid w:val="00D91C71"/>
    <w:rsid w:val="00D9485F"/>
    <w:rsid w:val="00DA336E"/>
    <w:rsid w:val="00DA593A"/>
    <w:rsid w:val="00DC2966"/>
    <w:rsid w:val="00DC5A36"/>
    <w:rsid w:val="00DE34E1"/>
    <w:rsid w:val="00DF3DB6"/>
    <w:rsid w:val="00DF42CD"/>
    <w:rsid w:val="00DF4FF5"/>
    <w:rsid w:val="00DF7760"/>
    <w:rsid w:val="00E03C28"/>
    <w:rsid w:val="00E06BDF"/>
    <w:rsid w:val="00E1062A"/>
    <w:rsid w:val="00E22847"/>
    <w:rsid w:val="00E37A6B"/>
    <w:rsid w:val="00E547EC"/>
    <w:rsid w:val="00E56451"/>
    <w:rsid w:val="00E564F6"/>
    <w:rsid w:val="00E638FC"/>
    <w:rsid w:val="00E65884"/>
    <w:rsid w:val="00E67664"/>
    <w:rsid w:val="00E703FD"/>
    <w:rsid w:val="00E744D7"/>
    <w:rsid w:val="00E74B6A"/>
    <w:rsid w:val="00E77C74"/>
    <w:rsid w:val="00E81CE2"/>
    <w:rsid w:val="00E83728"/>
    <w:rsid w:val="00E84A18"/>
    <w:rsid w:val="00E87217"/>
    <w:rsid w:val="00E901B2"/>
    <w:rsid w:val="00E970DF"/>
    <w:rsid w:val="00EB1A48"/>
    <w:rsid w:val="00EB3093"/>
    <w:rsid w:val="00ED0794"/>
    <w:rsid w:val="00ED5F07"/>
    <w:rsid w:val="00EE0220"/>
    <w:rsid w:val="00EE1BDC"/>
    <w:rsid w:val="00EE36F9"/>
    <w:rsid w:val="00EE7309"/>
    <w:rsid w:val="00F00207"/>
    <w:rsid w:val="00F06633"/>
    <w:rsid w:val="00F47D73"/>
    <w:rsid w:val="00F54A1E"/>
    <w:rsid w:val="00F64019"/>
    <w:rsid w:val="00F66E5D"/>
    <w:rsid w:val="00F71EBC"/>
    <w:rsid w:val="00F815C1"/>
    <w:rsid w:val="00F85321"/>
    <w:rsid w:val="00F95333"/>
    <w:rsid w:val="00FA2DC0"/>
    <w:rsid w:val="00FA6E70"/>
    <w:rsid w:val="00FC2E98"/>
    <w:rsid w:val="00FC638D"/>
    <w:rsid w:val="00FD22CC"/>
    <w:rsid w:val="00FD30F2"/>
    <w:rsid w:val="00FF298C"/>
    <w:rsid w:val="00FF7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A138"/>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0DF"/>
  </w:style>
  <w:style w:type="paragraph" w:styleId="Footer">
    <w:name w:val="footer"/>
    <w:basedOn w:val="Normal"/>
    <w:link w:val="FooterChar"/>
    <w:uiPriority w:val="99"/>
    <w:unhideWhenUsed/>
    <w:rsid w:val="00E9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0DF"/>
  </w:style>
  <w:style w:type="paragraph" w:styleId="BalloonText">
    <w:name w:val="Balloon Text"/>
    <w:basedOn w:val="Normal"/>
    <w:link w:val="BalloonTextChar"/>
    <w:uiPriority w:val="99"/>
    <w:semiHidden/>
    <w:unhideWhenUsed/>
    <w:rsid w:val="00E658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58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740C"/>
    <w:rPr>
      <w:sz w:val="18"/>
      <w:szCs w:val="18"/>
    </w:rPr>
  </w:style>
  <w:style w:type="paragraph" w:styleId="CommentText">
    <w:name w:val="annotation text"/>
    <w:basedOn w:val="Normal"/>
    <w:link w:val="CommentTextChar"/>
    <w:uiPriority w:val="99"/>
    <w:semiHidden/>
    <w:unhideWhenUsed/>
    <w:rsid w:val="0084740C"/>
    <w:pPr>
      <w:spacing w:line="240" w:lineRule="auto"/>
    </w:pPr>
    <w:rPr>
      <w:sz w:val="24"/>
      <w:szCs w:val="24"/>
    </w:rPr>
  </w:style>
  <w:style w:type="character" w:customStyle="1" w:styleId="CommentTextChar">
    <w:name w:val="Comment Text Char"/>
    <w:basedOn w:val="DefaultParagraphFont"/>
    <w:link w:val="CommentText"/>
    <w:uiPriority w:val="99"/>
    <w:semiHidden/>
    <w:rsid w:val="0084740C"/>
    <w:rPr>
      <w:sz w:val="24"/>
      <w:szCs w:val="24"/>
    </w:rPr>
  </w:style>
  <w:style w:type="paragraph" w:styleId="CommentSubject">
    <w:name w:val="annotation subject"/>
    <w:basedOn w:val="CommentText"/>
    <w:next w:val="CommentText"/>
    <w:link w:val="CommentSubjectChar"/>
    <w:uiPriority w:val="99"/>
    <w:semiHidden/>
    <w:unhideWhenUsed/>
    <w:rsid w:val="0084740C"/>
    <w:rPr>
      <w:b/>
      <w:bCs/>
      <w:sz w:val="20"/>
      <w:szCs w:val="20"/>
    </w:rPr>
  </w:style>
  <w:style w:type="character" w:customStyle="1" w:styleId="CommentSubjectChar">
    <w:name w:val="Comment Subject Char"/>
    <w:basedOn w:val="CommentTextChar"/>
    <w:link w:val="CommentSubject"/>
    <w:uiPriority w:val="99"/>
    <w:semiHidden/>
    <w:rsid w:val="0084740C"/>
    <w:rPr>
      <w:b/>
      <w:bCs/>
      <w:sz w:val="20"/>
      <w:szCs w:val="20"/>
    </w:rPr>
  </w:style>
  <w:style w:type="character" w:styleId="Hyperlink">
    <w:name w:val="Hyperlink"/>
    <w:basedOn w:val="DefaultParagraphFont"/>
    <w:uiPriority w:val="99"/>
    <w:unhideWhenUsed/>
    <w:rsid w:val="00D91C71"/>
    <w:rPr>
      <w:color w:val="0563C1" w:themeColor="hyperlink"/>
      <w:u w:val="single"/>
    </w:rPr>
  </w:style>
  <w:style w:type="paragraph" w:styleId="NormalWeb">
    <w:name w:val="Normal (Web)"/>
    <w:basedOn w:val="Normal"/>
    <w:uiPriority w:val="99"/>
    <w:unhideWhenUsed/>
    <w:rsid w:val="000B1F6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80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312535-A64F-054F-9354-FE88B87BDBF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C047CF-2BB8-478E-9C58-6CD0277C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4</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Sara Smith</cp:lastModifiedBy>
  <cp:revision>5</cp:revision>
  <dcterms:created xsi:type="dcterms:W3CDTF">2022-10-27T15:46:00Z</dcterms:created>
  <dcterms:modified xsi:type="dcterms:W3CDTF">2022-10-28T16:37:00Z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documentId_4465</vt:lpwstr>
  </property>
  <property fmtid="{D5CDD505-2E9C-101B-9397-08002B2CF9AE}" pid="3" name="grammarly_documentContext">
    <vt:lpwstr>{"goals":[],"domain":"general","emotions":[],"dialect":"american"}</vt:lpwstr>
  </property>
</Properties>
</file>