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072394"/>
        <w:docPartObj>
          <w:docPartGallery w:val="Cover Pages"/>
          <w:docPartUnique/>
        </w:docPartObj>
      </w:sdtPr>
      <w:sdtEndPr>
        <w:rPr>
          <w:rFonts w:ascii="Times New Roman" w:hAnsi="Times New Roman" w:cs="Times New Roman"/>
          <w:b/>
          <w:sz w:val="28"/>
          <w:szCs w:val="28"/>
          <w:u w:val="single"/>
        </w:rPr>
      </w:sdtEndPr>
      <w:sdtContent>
        <w:p w14:paraId="7BEBBCA0" w14:textId="15CD8CAF" w:rsidR="006D3885" w:rsidRPr="005F4853" w:rsidRDefault="005F4853" w:rsidP="006D3885">
          <w:r>
            <w:rPr>
              <w:rFonts w:ascii="Times New Roman" w:hAnsi="Times New Roman" w:cs="Times New Roman"/>
              <w:b/>
              <w:noProof/>
              <w:sz w:val="28"/>
              <w:szCs w:val="28"/>
              <w:u w:val="single"/>
            </w:rPr>
            <w:drawing>
              <wp:anchor distT="0" distB="0" distL="114300" distR="114300" simplePos="0" relativeHeight="251658240" behindDoc="0" locked="0" layoutInCell="1" allowOverlap="1" wp14:anchorId="099ADB56" wp14:editId="0F5A1A9F">
                <wp:simplePos x="0" y="0"/>
                <wp:positionH relativeFrom="margin">
                  <wp:align>center</wp:align>
                </wp:positionH>
                <wp:positionV relativeFrom="margin">
                  <wp:align>center</wp:align>
                </wp:positionV>
                <wp:extent cx="6511290" cy="84264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1347" cy="8426450"/>
                        </a:xfrm>
                        <a:prstGeom prst="rect">
                          <a:avLst/>
                        </a:prstGeom>
                      </pic:spPr>
                    </pic:pic>
                  </a:graphicData>
                </a:graphic>
                <wp14:sizeRelH relativeFrom="margin">
                  <wp14:pctWidth>0</wp14:pctWidth>
                </wp14:sizeRelH>
                <wp14:sizeRelV relativeFrom="margin">
                  <wp14:pctHeight>0</wp14:pctHeight>
                </wp14:sizeRelV>
              </wp:anchor>
            </w:drawing>
          </w:r>
          <w:r w:rsidR="001F3748" w:rsidRPr="00D54578">
            <w:rPr>
              <w:rFonts w:ascii="Times New Roman" w:hAnsi="Times New Roman" w:cs="Times New Roman"/>
              <w:b/>
              <w:sz w:val="28"/>
              <w:szCs w:val="28"/>
              <w:u w:val="single"/>
            </w:rPr>
            <w:br w:type="page"/>
          </w:r>
        </w:p>
      </w:sdtContent>
    </w:sdt>
    <w:p w14:paraId="2B5D98DC" w14:textId="77777777" w:rsidR="001D3A7F" w:rsidRDefault="001D3A7F" w:rsidP="001D3A7F">
      <w:pPr>
        <w:pStyle w:val="TitlePage-Author"/>
        <w:jc w:val="center"/>
      </w:pPr>
    </w:p>
    <w:p w14:paraId="40BDFF45" w14:textId="77777777" w:rsidR="001D3A7F" w:rsidRPr="0046414A" w:rsidRDefault="001D3A7F" w:rsidP="001D3A7F">
      <w:pPr>
        <w:pStyle w:val="TitlePage-Author"/>
        <w:jc w:val="center"/>
        <w:rPr>
          <w:sz w:val="60"/>
          <w:szCs w:val="60"/>
        </w:rPr>
      </w:pPr>
      <w:r w:rsidRPr="0046414A">
        <w:rPr>
          <w:sz w:val="60"/>
          <w:szCs w:val="60"/>
        </w:rPr>
        <w:t>A Treatise of Wyoming</w:t>
      </w:r>
    </w:p>
    <w:p w14:paraId="53F6E19E" w14:textId="77777777" w:rsidR="001D3A7F" w:rsidRPr="001D3A7F" w:rsidRDefault="001D3A7F" w:rsidP="001D3A7F">
      <w:pPr>
        <w:pStyle w:val="TitlePage-Author"/>
        <w:jc w:val="center"/>
        <w:rPr>
          <w:sz w:val="48"/>
          <w:szCs w:val="48"/>
        </w:rPr>
      </w:pPr>
      <w:r w:rsidRPr="0046414A">
        <w:rPr>
          <w:sz w:val="60"/>
          <w:szCs w:val="60"/>
        </w:rPr>
        <w:t>Workers’ Compensation Law</w:t>
      </w:r>
    </w:p>
    <w:p w14:paraId="413A4549" w14:textId="77777777" w:rsidR="001D3A7F" w:rsidRPr="001D3A7F" w:rsidRDefault="001D3A7F" w:rsidP="001D3A7F">
      <w:pPr>
        <w:pStyle w:val="TitlePage-Author"/>
        <w:jc w:val="center"/>
        <w:rPr>
          <w:sz w:val="48"/>
          <w:szCs w:val="48"/>
        </w:rPr>
      </w:pPr>
    </w:p>
    <w:p w14:paraId="731E1F92" w14:textId="7A4139EE" w:rsidR="00B8681A" w:rsidRPr="001D3A7F" w:rsidRDefault="006256AD" w:rsidP="001D3A7F">
      <w:pPr>
        <w:pStyle w:val="TitlePage-Author"/>
        <w:jc w:val="center"/>
        <w:rPr>
          <w:sz w:val="48"/>
          <w:szCs w:val="48"/>
        </w:rPr>
      </w:pPr>
      <w:r>
        <w:rPr>
          <w:sz w:val="48"/>
          <w:szCs w:val="48"/>
        </w:rPr>
        <w:t>Second</w:t>
      </w:r>
      <w:r w:rsidR="001D3A7F" w:rsidRPr="001D3A7F">
        <w:rPr>
          <w:sz w:val="48"/>
          <w:szCs w:val="48"/>
        </w:rPr>
        <w:t xml:space="preserve"> Edition</w:t>
      </w:r>
    </w:p>
    <w:p w14:paraId="65AE0EE3" w14:textId="77777777" w:rsidR="00B8681A" w:rsidRDefault="00B8681A" w:rsidP="001D3A7F">
      <w:pPr>
        <w:pStyle w:val="TitlePage-Author"/>
      </w:pPr>
    </w:p>
    <w:p w14:paraId="617DF534" w14:textId="77777777" w:rsidR="00B8681A" w:rsidRPr="00576ED7" w:rsidRDefault="00B8681A" w:rsidP="001D3A7F">
      <w:pPr>
        <w:pStyle w:val="TitlePage-Author"/>
      </w:pPr>
    </w:p>
    <w:p w14:paraId="3834A475" w14:textId="77777777" w:rsidR="00B8681A" w:rsidRPr="00576ED7" w:rsidRDefault="00B8681A" w:rsidP="001D3A7F">
      <w:pPr>
        <w:pStyle w:val="TitlePage-Author"/>
      </w:pPr>
    </w:p>
    <w:p w14:paraId="5695EACE" w14:textId="77777777" w:rsidR="00B8681A" w:rsidRPr="00576ED7" w:rsidRDefault="00B8681A" w:rsidP="001D3A7F">
      <w:pPr>
        <w:pStyle w:val="TitlePage-Author"/>
      </w:pPr>
    </w:p>
    <w:p w14:paraId="505DB38E" w14:textId="77777777" w:rsidR="00B8681A" w:rsidRPr="00576ED7" w:rsidRDefault="00B8681A" w:rsidP="001D3A7F">
      <w:pPr>
        <w:pStyle w:val="TitlePage-Author"/>
      </w:pPr>
    </w:p>
    <w:p w14:paraId="35BE3CCE" w14:textId="77777777" w:rsidR="00B8681A" w:rsidRPr="00576ED7" w:rsidRDefault="00B8681A" w:rsidP="001D3A7F">
      <w:pPr>
        <w:pStyle w:val="TitlePage-Author"/>
      </w:pPr>
    </w:p>
    <w:p w14:paraId="5E2F8C17" w14:textId="77777777" w:rsidR="00B8681A" w:rsidRPr="00576ED7" w:rsidRDefault="00B8681A" w:rsidP="001D3A7F">
      <w:pPr>
        <w:pStyle w:val="TitlePage-Author"/>
      </w:pPr>
    </w:p>
    <w:p w14:paraId="70466A47" w14:textId="77777777" w:rsidR="00453AE5" w:rsidRDefault="00453AE5" w:rsidP="001D3A7F">
      <w:pPr>
        <w:pStyle w:val="TitlePage-Author"/>
      </w:pPr>
    </w:p>
    <w:p w14:paraId="2F2D31E2" w14:textId="77777777" w:rsidR="00453AE5" w:rsidRDefault="00453AE5" w:rsidP="001D3A7F">
      <w:pPr>
        <w:pStyle w:val="TitlePage-Author"/>
      </w:pPr>
    </w:p>
    <w:p w14:paraId="60A2C73B" w14:textId="77777777" w:rsidR="00453AE5" w:rsidRDefault="00453AE5" w:rsidP="001D3A7F">
      <w:pPr>
        <w:pStyle w:val="TitlePage-Author"/>
      </w:pPr>
    </w:p>
    <w:p w14:paraId="31CF45E5" w14:textId="77777777" w:rsidR="00453AE5" w:rsidRDefault="00453AE5" w:rsidP="001D3A7F">
      <w:pPr>
        <w:pStyle w:val="TitlePage-Author"/>
      </w:pPr>
    </w:p>
    <w:p w14:paraId="14A33A39" w14:textId="77777777" w:rsidR="00453AE5" w:rsidRDefault="00453AE5" w:rsidP="001D3A7F">
      <w:pPr>
        <w:pStyle w:val="TitlePage-Author"/>
      </w:pPr>
    </w:p>
    <w:p w14:paraId="611E45B7" w14:textId="56974CBF" w:rsidR="00B8681A" w:rsidRPr="001D3A7F" w:rsidRDefault="00B8681A" w:rsidP="001B5D07">
      <w:pPr>
        <w:pStyle w:val="TitlePage-Author"/>
      </w:pPr>
      <w:r w:rsidRPr="001D3A7F">
        <w:t>Michael C. Duff</w:t>
      </w:r>
    </w:p>
    <w:p w14:paraId="4921CD40" w14:textId="77777777" w:rsidR="001B5D07" w:rsidRDefault="006256AD" w:rsidP="001B5D07">
      <w:pPr>
        <w:pStyle w:val="Body"/>
        <w:spacing w:after="0"/>
        <w:rPr>
          <w:rFonts w:ascii="Times New Roman" w:hAnsi="Times New Roman"/>
          <w:sz w:val="32"/>
          <w:szCs w:val="32"/>
        </w:rPr>
      </w:pPr>
      <w:r>
        <w:rPr>
          <w:rFonts w:ascii="Times New Roman" w:hAnsi="Times New Roman"/>
          <w:sz w:val="32"/>
          <w:szCs w:val="32"/>
        </w:rPr>
        <w:t xml:space="preserve">Winston S. Howard Distinguished </w:t>
      </w:r>
      <w:r w:rsidR="00B8681A" w:rsidRPr="000A47C6">
        <w:rPr>
          <w:rFonts w:ascii="Times New Roman" w:hAnsi="Times New Roman"/>
          <w:sz w:val="32"/>
          <w:szCs w:val="32"/>
        </w:rPr>
        <w:t>Professor of Law</w:t>
      </w:r>
    </w:p>
    <w:p w14:paraId="09DBFF0E" w14:textId="30CBEAFD" w:rsidR="00B8681A" w:rsidRPr="000A47C6" w:rsidRDefault="00B8681A" w:rsidP="001B5D07">
      <w:pPr>
        <w:pStyle w:val="Body"/>
        <w:spacing w:after="0"/>
        <w:rPr>
          <w:rFonts w:ascii="Times New Roman" w:hAnsi="Times New Roman"/>
          <w:sz w:val="32"/>
          <w:szCs w:val="32"/>
        </w:rPr>
      </w:pPr>
      <w:r>
        <w:rPr>
          <w:rFonts w:ascii="Times New Roman" w:hAnsi="Times New Roman"/>
          <w:sz w:val="32"/>
          <w:szCs w:val="32"/>
        </w:rPr>
        <w:t>University of Wyoming College of Law</w:t>
      </w:r>
    </w:p>
    <w:p w14:paraId="57D48477" w14:textId="77777777" w:rsidR="00B8681A" w:rsidRPr="00576ED7" w:rsidRDefault="00B8681A" w:rsidP="001D3A7F">
      <w:pPr>
        <w:pStyle w:val="TitlePage-Author"/>
      </w:pPr>
    </w:p>
    <w:p w14:paraId="0EEAB4E8" w14:textId="77777777" w:rsidR="00B8681A" w:rsidRPr="00576ED7" w:rsidRDefault="00B8681A" w:rsidP="001D3A7F">
      <w:pPr>
        <w:pStyle w:val="TitlePage-Author"/>
      </w:pPr>
    </w:p>
    <w:p w14:paraId="5D2ADC6E" w14:textId="77777777" w:rsidR="00B8681A" w:rsidRPr="00576ED7" w:rsidRDefault="00B8681A" w:rsidP="001D3A7F">
      <w:pPr>
        <w:pStyle w:val="TitlePage-Author"/>
      </w:pPr>
    </w:p>
    <w:p w14:paraId="505751FC" w14:textId="5F079DC3" w:rsidR="00B8681A" w:rsidRPr="000A47C6" w:rsidRDefault="00B8681A" w:rsidP="001D3A7F">
      <w:pPr>
        <w:pStyle w:val="TitlePage-Author"/>
      </w:pPr>
      <w:r w:rsidRPr="000A47C6">
        <w:t>CALI eLangdell</w:t>
      </w:r>
      <w:r w:rsidR="00F71FC9" w:rsidRPr="00F71FC9">
        <w:rPr>
          <w:sz w:val="24"/>
          <w:szCs w:val="24"/>
        </w:rPr>
        <w:t xml:space="preserve">® </w:t>
      </w:r>
      <w:r w:rsidRPr="000A47C6">
        <w:t>Press 20</w:t>
      </w:r>
      <w:r w:rsidR="006256AD">
        <w:t>21</w:t>
      </w:r>
    </w:p>
    <w:p w14:paraId="3E536FA4" w14:textId="77777777" w:rsidR="002B79AB" w:rsidRDefault="002B79AB" w:rsidP="006D3885">
      <w:pPr>
        <w:sectPr w:rsidR="002B79AB" w:rsidSect="002B79AB">
          <w:footerReference w:type="first" r:id="rId10"/>
          <w:endnotePr>
            <w:numFmt w:val="decimal"/>
          </w:endnotePr>
          <w:pgSz w:w="12240" w:h="15840"/>
          <w:pgMar w:top="1440" w:right="2160" w:bottom="1440" w:left="2160" w:header="720" w:footer="720" w:gutter="0"/>
          <w:pgNumType w:fmt="lowerRoman" w:start="0"/>
          <w:cols w:space="720"/>
          <w:titlePg/>
          <w:docGrid w:linePitch="360"/>
        </w:sectPr>
      </w:pPr>
    </w:p>
    <w:p w14:paraId="28E6C553" w14:textId="31F044E1" w:rsidR="00453AE5" w:rsidRPr="00CA6C8C" w:rsidRDefault="00453AE5" w:rsidP="00453AE5">
      <w:pPr>
        <w:pStyle w:val="Heading1"/>
        <w:numPr>
          <w:ilvl w:val="0"/>
          <w:numId w:val="0"/>
        </w:numPr>
        <w:rPr>
          <w:rFonts w:ascii="Times New Roman" w:hAnsi="Times New Roman" w:cs="Times New Roman"/>
          <w:b/>
          <w:color w:val="auto"/>
        </w:rPr>
      </w:pPr>
      <w:bookmarkStart w:id="0" w:name="_Toc75269330"/>
      <w:r>
        <w:rPr>
          <w:rFonts w:ascii="Times New Roman" w:hAnsi="Times New Roman" w:cs="Times New Roman"/>
          <w:b/>
          <w:color w:val="auto"/>
        </w:rPr>
        <w:lastRenderedPageBreak/>
        <w:t>About the Author</w:t>
      </w:r>
      <w:bookmarkEnd w:id="0"/>
      <w:r>
        <w:rPr>
          <w:rFonts w:ascii="Times New Roman" w:hAnsi="Times New Roman" w:cs="Times New Roman"/>
          <w:b/>
          <w:color w:val="auto"/>
        </w:rPr>
        <w:br/>
      </w:r>
    </w:p>
    <w:p w14:paraId="73171578" w14:textId="16786096" w:rsidR="001B5D07" w:rsidRPr="001B5D07" w:rsidRDefault="001B5D07" w:rsidP="001B5D07">
      <w:pPr>
        <w:jc w:val="both"/>
        <w:rPr>
          <w:rFonts w:ascii="Times New Roman" w:hAnsi="Times New Roman" w:cs="Times New Roman"/>
          <w:sz w:val="24"/>
          <w:szCs w:val="24"/>
        </w:rPr>
      </w:pPr>
      <w:r w:rsidRPr="001B5D07">
        <w:rPr>
          <w:rFonts w:ascii="Times New Roman" w:hAnsi="Times New Roman" w:cs="Times New Roman"/>
          <w:sz w:val="24"/>
          <w:szCs w:val="24"/>
        </w:rPr>
        <w:t>Michael C. Duff, a Professor at the College of Law since 2006, is a scholar-member of the Center for Progressive Reform and a member of the National Academy of Social Insurance. He is also a fellow of both the American Bar Foundation and the Pound Civil Justice Institute.</w:t>
      </w:r>
    </w:p>
    <w:p w14:paraId="1EAB8E2D" w14:textId="7DA3F845" w:rsidR="001B5D07" w:rsidRPr="001B5D07" w:rsidRDefault="001B5D07" w:rsidP="001B5D07">
      <w:pPr>
        <w:jc w:val="both"/>
        <w:rPr>
          <w:rFonts w:ascii="Times New Roman" w:hAnsi="Times New Roman" w:cs="Times New Roman"/>
          <w:sz w:val="24"/>
          <w:szCs w:val="24"/>
        </w:rPr>
      </w:pPr>
      <w:r w:rsidRPr="001B5D07">
        <w:rPr>
          <w:rFonts w:ascii="Times New Roman" w:hAnsi="Times New Roman" w:cs="Times New Roman"/>
          <w:sz w:val="24"/>
          <w:szCs w:val="24"/>
        </w:rPr>
        <w:t>Professor Duff is widely considered a national expert on workers’ compensation law and on the National Labor Relations Act. He has written extensively on various complex labor and employment matters and has been quoted frequently on such matters in various national publications including the Associated Press, the Guardian, Bloomberg Law, the Huffington Post, the Nation, ThinkProgress, In These Times, WorkCompCentral, Law 360, Moyers on Democracy, and Politico. Professor Duff  is the author of a workers’ compensation textbook and the co-author of a labor law textbook, each published by Carolina Academic Press. He is also the author of the only treatise on Wyoming Workers’ Compensation Law (published by CALI eLangdell Press). Professor Duff is founder and co-editor of the highly-regarded Workers’ Compensation Law Professors’ Blog, which was cited in a 2018 Rand Corporation study on workers’ compensation.</w:t>
      </w:r>
    </w:p>
    <w:p w14:paraId="03E10BF0" w14:textId="760A2114" w:rsidR="001B5D07" w:rsidRPr="001B5D07" w:rsidRDefault="001B5D07" w:rsidP="001B5D07">
      <w:pPr>
        <w:jc w:val="both"/>
        <w:rPr>
          <w:rFonts w:ascii="Times New Roman" w:hAnsi="Times New Roman" w:cs="Times New Roman"/>
          <w:sz w:val="24"/>
          <w:szCs w:val="24"/>
        </w:rPr>
      </w:pPr>
      <w:r w:rsidRPr="001B5D07">
        <w:rPr>
          <w:rFonts w:ascii="Times New Roman" w:hAnsi="Times New Roman" w:cs="Times New Roman"/>
          <w:sz w:val="24"/>
          <w:szCs w:val="24"/>
        </w:rPr>
        <w:t>Professor Duff teaches the College of Law’s courses in Torts, Labor Law, Workers’ Compensation Law, and Evidence. He has also taught Bankruptcy, Employee Benefits Law, Administrative Law, Alternative Dispute Resolution in the Workplace, and Introduction to Law. In 2020, students selected Professor Duff “Most Outstanding Faculty.”</w:t>
      </w:r>
    </w:p>
    <w:p w14:paraId="1C0E82DA" w14:textId="231E152A" w:rsidR="001B5D07" w:rsidRPr="001B5D07" w:rsidRDefault="001B5D07" w:rsidP="001B5D07">
      <w:pPr>
        <w:jc w:val="both"/>
        <w:rPr>
          <w:rFonts w:ascii="Times New Roman" w:hAnsi="Times New Roman" w:cs="Times New Roman"/>
          <w:sz w:val="24"/>
          <w:szCs w:val="24"/>
        </w:rPr>
      </w:pPr>
      <w:r w:rsidRPr="001B5D07">
        <w:rPr>
          <w:rFonts w:ascii="Times New Roman" w:hAnsi="Times New Roman" w:cs="Times New Roman"/>
          <w:sz w:val="24"/>
          <w:szCs w:val="24"/>
        </w:rPr>
        <w:t>An experienced legal practitioner, Professor Duff spent nearly a decade working as an attorney, adjudicative official, and investigator in various National Labor Relations Board offices immediately prior to joining the College of Law’s faculty. Before engaging in federal government law practice, Professor Duff worked for two years as an associate attorney in a high-volume, progressive law firm in Maine—McTeague, Higbee &amp; MacAdam—where he represented injured workers and labor unions. In his work life preceding the study of the law, Professor Duff was for eleven years a Teamsters shop steward and blue-collar ramp service worker in the airline industry, leaving that occupation in 1992 to study labor law at the Harvard Law School.</w:t>
      </w:r>
    </w:p>
    <w:p w14:paraId="02F66CB3" w14:textId="541EA859" w:rsidR="00C43B3E" w:rsidRPr="00C43B3E" w:rsidRDefault="001B5D07" w:rsidP="001B5D07">
      <w:pPr>
        <w:jc w:val="both"/>
        <w:rPr>
          <w:rFonts w:ascii="Times New Roman" w:hAnsi="Times New Roman" w:cs="Times New Roman"/>
          <w:sz w:val="24"/>
          <w:szCs w:val="24"/>
        </w:rPr>
      </w:pPr>
      <w:r w:rsidRPr="001B5D07">
        <w:rPr>
          <w:rFonts w:ascii="Times New Roman" w:hAnsi="Times New Roman" w:cs="Times New Roman"/>
          <w:sz w:val="24"/>
          <w:szCs w:val="24"/>
        </w:rPr>
        <w:t>Professor Duff enjoys playing his Martin and Gretsch guitars but should have listened more closely to his late dad (a jazz guitarist) about the virtues of maintaining technically precise hand positions.</w:t>
      </w:r>
    </w:p>
    <w:p w14:paraId="0B35EB93" w14:textId="77777777" w:rsidR="00C43B3E" w:rsidRDefault="00C43B3E" w:rsidP="00C43B3E">
      <w:pPr>
        <w:jc w:val="both"/>
        <w:rPr>
          <w:rFonts w:ascii="Times New Roman" w:hAnsi="Times New Roman" w:cs="Times New Roman"/>
          <w:b/>
          <w:bCs/>
          <w:sz w:val="32"/>
          <w:szCs w:val="32"/>
        </w:rPr>
      </w:pPr>
    </w:p>
    <w:p w14:paraId="5DE5BF0A" w14:textId="6F5E610D" w:rsidR="00453AE5" w:rsidRPr="008F5698" w:rsidRDefault="00453AE5" w:rsidP="00453AE5">
      <w:pPr>
        <w:pStyle w:val="Heading1"/>
        <w:numPr>
          <w:ilvl w:val="0"/>
          <w:numId w:val="0"/>
        </w:numPr>
        <w:rPr>
          <w:rFonts w:ascii="Times New Roman" w:hAnsi="Times New Roman" w:cs="Times New Roman"/>
          <w:b/>
          <w:bCs/>
          <w:color w:val="auto"/>
        </w:rPr>
      </w:pPr>
      <w:bookmarkStart w:id="1" w:name="_Toc75269331"/>
      <w:r>
        <w:rPr>
          <w:rFonts w:ascii="Times New Roman" w:hAnsi="Times New Roman" w:cs="Times New Roman"/>
          <w:b/>
          <w:bCs/>
          <w:color w:val="auto"/>
        </w:rPr>
        <w:lastRenderedPageBreak/>
        <w:t>Notices</w:t>
      </w:r>
      <w:bookmarkEnd w:id="1"/>
      <w:r>
        <w:rPr>
          <w:rFonts w:ascii="Times New Roman" w:hAnsi="Times New Roman" w:cs="Times New Roman"/>
          <w:b/>
          <w:bCs/>
          <w:color w:val="auto"/>
        </w:rPr>
        <w:br/>
      </w:r>
    </w:p>
    <w:p w14:paraId="150F1343" w14:textId="326C153D" w:rsidR="006D3885" w:rsidRPr="00A61D86" w:rsidRDefault="006D3885" w:rsidP="00C43B3E">
      <w:pPr>
        <w:jc w:val="both"/>
        <w:rPr>
          <w:rFonts w:ascii="Times New Roman" w:hAnsi="Times New Roman" w:cs="Times New Roman"/>
          <w:sz w:val="24"/>
          <w:szCs w:val="24"/>
        </w:rPr>
      </w:pPr>
      <w:r w:rsidRPr="00B8681A">
        <w:rPr>
          <w:rFonts w:ascii="Times New Roman" w:hAnsi="Times New Roman" w:cs="Times New Roman"/>
          <w:sz w:val="24"/>
          <w:szCs w:val="24"/>
        </w:rPr>
        <w:t xml:space="preserve">This is the </w:t>
      </w:r>
      <w:r w:rsidR="006256AD">
        <w:rPr>
          <w:rFonts w:ascii="Times New Roman" w:hAnsi="Times New Roman" w:cs="Times New Roman"/>
          <w:sz w:val="24"/>
          <w:szCs w:val="24"/>
        </w:rPr>
        <w:t>second</w:t>
      </w:r>
      <w:r w:rsidRPr="00B8681A">
        <w:rPr>
          <w:rFonts w:ascii="Times New Roman" w:hAnsi="Times New Roman" w:cs="Times New Roman"/>
          <w:sz w:val="24"/>
          <w:szCs w:val="24"/>
        </w:rPr>
        <w:t xml:space="preserve"> edition of </w:t>
      </w:r>
      <w:r w:rsidR="00F71FC9" w:rsidRPr="00B8681A">
        <w:rPr>
          <w:rFonts w:ascii="Times New Roman" w:hAnsi="Times New Roman" w:cs="Times New Roman"/>
          <w:sz w:val="24"/>
          <w:szCs w:val="24"/>
        </w:rPr>
        <w:t>A Treatise of Wyoming Workers’ Compensation Law</w:t>
      </w:r>
      <w:r w:rsidR="00B8681A">
        <w:rPr>
          <w:rFonts w:ascii="Times New Roman" w:hAnsi="Times New Roman" w:cs="Times New Roman"/>
          <w:sz w:val="24"/>
          <w:szCs w:val="24"/>
        </w:rPr>
        <w:t>,</w:t>
      </w:r>
      <w:r w:rsidRPr="00B8681A">
        <w:rPr>
          <w:rFonts w:ascii="Times New Roman" w:hAnsi="Times New Roman" w:cs="Times New Roman"/>
          <w:sz w:val="24"/>
          <w:szCs w:val="24"/>
        </w:rPr>
        <w:t xml:space="preserve"> updated </w:t>
      </w:r>
      <w:r w:rsidR="006256AD">
        <w:rPr>
          <w:rFonts w:ascii="Times New Roman" w:hAnsi="Times New Roman" w:cs="Times New Roman"/>
          <w:sz w:val="24"/>
          <w:szCs w:val="24"/>
        </w:rPr>
        <w:t>June</w:t>
      </w:r>
      <w:r w:rsidR="00B8681A">
        <w:rPr>
          <w:rFonts w:ascii="Times New Roman" w:hAnsi="Times New Roman" w:cs="Times New Roman"/>
          <w:sz w:val="24"/>
          <w:szCs w:val="24"/>
        </w:rPr>
        <w:t>, 20</w:t>
      </w:r>
      <w:r w:rsidR="006256AD">
        <w:rPr>
          <w:rFonts w:ascii="Times New Roman" w:hAnsi="Times New Roman" w:cs="Times New Roman"/>
          <w:sz w:val="24"/>
          <w:szCs w:val="24"/>
        </w:rPr>
        <w:t>21</w:t>
      </w:r>
      <w:r w:rsidR="00B8681A">
        <w:rPr>
          <w:rFonts w:ascii="Times New Roman" w:hAnsi="Times New Roman" w:cs="Times New Roman"/>
          <w:sz w:val="24"/>
          <w:szCs w:val="24"/>
        </w:rPr>
        <w:t xml:space="preserve">. </w:t>
      </w:r>
      <w:r w:rsidRPr="00B8681A">
        <w:rPr>
          <w:rFonts w:ascii="Times New Roman" w:hAnsi="Times New Roman" w:cs="Times New Roman"/>
          <w:sz w:val="24"/>
          <w:szCs w:val="24"/>
        </w:rPr>
        <w:t xml:space="preserve">Visit </w:t>
      </w:r>
      <w:hyperlink r:id="rId11" w:history="1">
        <w:r w:rsidR="00F71FC9" w:rsidRPr="00F71FC9">
          <w:rPr>
            <w:rStyle w:val="Hyperlink"/>
            <w:rFonts w:ascii="Times New Roman" w:hAnsi="Times New Roman" w:cs="Times New Roman"/>
            <w:color w:val="auto"/>
            <w:sz w:val="24"/>
            <w:szCs w:val="24"/>
          </w:rPr>
          <w:t>https://www.cali.org/the-elangdell-bookstore</w:t>
        </w:r>
      </w:hyperlink>
      <w:r w:rsidR="00F71FC9" w:rsidRPr="00F71FC9">
        <w:rPr>
          <w:rFonts w:ascii="Times New Roman" w:hAnsi="Times New Roman" w:cs="Times New Roman"/>
          <w:sz w:val="24"/>
          <w:szCs w:val="24"/>
        </w:rPr>
        <w:t xml:space="preserve"> </w:t>
      </w:r>
      <w:r w:rsidRPr="00B8681A">
        <w:rPr>
          <w:rFonts w:ascii="Times New Roman" w:hAnsi="Times New Roman" w:cs="Times New Roman"/>
          <w:sz w:val="24"/>
          <w:szCs w:val="24"/>
        </w:rPr>
        <w:t xml:space="preserve">for </w:t>
      </w:r>
      <w:r w:rsidRPr="00A61D86">
        <w:rPr>
          <w:rFonts w:ascii="Times New Roman" w:hAnsi="Times New Roman" w:cs="Times New Roman"/>
          <w:sz w:val="24"/>
          <w:szCs w:val="24"/>
        </w:rPr>
        <w:t>the latest version and for revision history.</w:t>
      </w:r>
    </w:p>
    <w:p w14:paraId="7E62BE70" w14:textId="4FA19538" w:rsidR="006D3885" w:rsidRPr="00B8681A" w:rsidRDefault="006D3885" w:rsidP="00A61D86">
      <w:pPr>
        <w:jc w:val="both"/>
        <w:rPr>
          <w:rFonts w:ascii="Times New Roman" w:hAnsi="Times New Roman" w:cs="Times New Roman"/>
          <w:sz w:val="24"/>
          <w:szCs w:val="24"/>
        </w:rPr>
      </w:pPr>
      <w:r w:rsidRPr="00A61D86">
        <w:rPr>
          <w:rFonts w:ascii="Times New Roman" w:hAnsi="Times New Roman" w:cs="Times New Roman"/>
          <w:sz w:val="24"/>
          <w:szCs w:val="24"/>
        </w:rPr>
        <w:t xml:space="preserve">This work by </w:t>
      </w:r>
      <w:r w:rsidR="00B8681A" w:rsidRPr="00A61D86">
        <w:rPr>
          <w:rFonts w:ascii="Times New Roman" w:hAnsi="Times New Roman" w:cs="Times New Roman"/>
          <w:sz w:val="24"/>
          <w:szCs w:val="24"/>
        </w:rPr>
        <w:t xml:space="preserve">Michael C. Duff </w:t>
      </w:r>
      <w:r w:rsidRPr="00A61D86">
        <w:rPr>
          <w:rFonts w:ascii="Times New Roman" w:hAnsi="Times New Roman" w:cs="Times New Roman"/>
          <w:sz w:val="24"/>
          <w:szCs w:val="24"/>
        </w:rPr>
        <w:t xml:space="preserve">is licensed and published by </w:t>
      </w:r>
      <w:hyperlink r:id="rId12" w:history="1">
        <w:r w:rsidRPr="00A61D86">
          <w:rPr>
            <w:rStyle w:val="Hyperlink"/>
            <w:rFonts w:ascii="Times New Roman" w:hAnsi="Times New Roman" w:cs="Times New Roman"/>
            <w:color w:val="auto"/>
            <w:sz w:val="24"/>
            <w:szCs w:val="24"/>
          </w:rPr>
          <w:t>CALI eLangdell Press</w:t>
        </w:r>
      </w:hyperlink>
      <w:r w:rsidRPr="00A61D86">
        <w:rPr>
          <w:rFonts w:ascii="Times New Roman" w:hAnsi="Times New Roman" w:cs="Times New Roman"/>
          <w:sz w:val="24"/>
          <w:szCs w:val="24"/>
        </w:rPr>
        <w:t xml:space="preserve"> under a </w:t>
      </w:r>
      <w:hyperlink r:id="rId13" w:history="1">
        <w:r w:rsidRPr="00A61D86">
          <w:rPr>
            <w:rStyle w:val="Hyperlink"/>
            <w:rFonts w:ascii="Times New Roman" w:hAnsi="Times New Roman" w:cs="Times New Roman"/>
            <w:color w:val="auto"/>
            <w:sz w:val="24"/>
            <w:szCs w:val="24"/>
          </w:rPr>
          <w:t xml:space="preserve">Creative Commons </w:t>
        </w:r>
        <w:r w:rsidR="00F71FC9" w:rsidRPr="00A61D86">
          <w:rPr>
            <w:rStyle w:val="Hyperlink"/>
            <w:rFonts w:ascii="Times New Roman" w:hAnsi="Times New Roman" w:cs="Times New Roman"/>
            <w:color w:val="auto"/>
            <w:sz w:val="24"/>
            <w:szCs w:val="24"/>
          </w:rPr>
          <w:t>Attribution-NonCommercial-ShareAlike 4.0 International (CC BY-NC-SA 4.0)</w:t>
        </w:r>
      </w:hyperlink>
      <w:r w:rsidRPr="00A61D86">
        <w:rPr>
          <w:rFonts w:ascii="Times New Roman" w:hAnsi="Times New Roman" w:cs="Times New Roman"/>
          <w:sz w:val="24"/>
          <w:szCs w:val="24"/>
        </w:rPr>
        <w:t xml:space="preserve">. </w:t>
      </w:r>
      <w:r w:rsidR="00A61D86" w:rsidRPr="00A61D86">
        <w:rPr>
          <w:rFonts w:ascii="Times New Roman" w:hAnsi="Times New Roman" w:cs="Times New Roman"/>
          <w:sz w:val="24"/>
          <w:szCs w:val="24"/>
        </w:rPr>
        <w:t xml:space="preserve">CALI and CALI eLangdell Press do not assert copyright in US Government works or other public domain material included herein. Permissions beyond the scope of this license may be available through </w:t>
      </w:r>
      <w:hyperlink r:id="rId14" w:history="1">
        <w:r w:rsidR="00A61D86" w:rsidRPr="00A61D86">
          <w:rPr>
            <w:rStyle w:val="Hyperlink"/>
            <w:rFonts w:ascii="Times New Roman" w:hAnsi="Times New Roman" w:cs="Times New Roman"/>
            <w:color w:val="auto"/>
            <w:sz w:val="24"/>
            <w:szCs w:val="24"/>
          </w:rPr>
          <w:t>feedback@cali.org</w:t>
        </w:r>
      </w:hyperlink>
      <w:r w:rsidR="00A61D86">
        <w:rPr>
          <w:rFonts w:ascii="Times New Roman" w:hAnsi="Times New Roman" w:cs="Times New Roman"/>
          <w:sz w:val="24"/>
          <w:szCs w:val="24"/>
        </w:rPr>
        <w:t xml:space="preserve">. </w:t>
      </w:r>
    </w:p>
    <w:p w14:paraId="2D30CB5F" w14:textId="6CC54110" w:rsidR="006D3885" w:rsidRDefault="006D3885" w:rsidP="00C43B3E">
      <w:pPr>
        <w:jc w:val="both"/>
        <w:rPr>
          <w:rFonts w:ascii="Times New Roman" w:hAnsi="Times New Roman" w:cs="Times New Roman"/>
          <w:sz w:val="24"/>
          <w:szCs w:val="24"/>
        </w:rPr>
      </w:pPr>
      <w:r w:rsidRPr="00B8681A">
        <w:rPr>
          <w:rFonts w:ascii="Times New Roman" w:hAnsi="Times New Roman" w:cs="Times New Roman"/>
          <w:sz w:val="24"/>
          <w:szCs w:val="24"/>
        </w:rPr>
        <w:t>In brief, the terms of that license are that you may copy, distribute, and display this work, or make derivative works, so long as</w:t>
      </w:r>
    </w:p>
    <w:p w14:paraId="40391BAE" w14:textId="41934977" w:rsidR="0054392B" w:rsidRPr="0054392B" w:rsidRDefault="0054392B" w:rsidP="0054392B">
      <w:pPr>
        <w:pStyle w:val="Body"/>
        <w:numPr>
          <w:ilvl w:val="0"/>
          <w:numId w:val="24"/>
        </w:numPr>
        <w:rPr>
          <w:rFonts w:ascii="Times New Roman" w:hAnsi="Times New Roman"/>
          <w:szCs w:val="24"/>
        </w:rPr>
      </w:pPr>
      <w:r w:rsidRPr="0054392B">
        <w:rPr>
          <w:rFonts w:ascii="Times New Roman" w:hAnsi="Times New Roman"/>
          <w:szCs w:val="24"/>
        </w:rPr>
        <w:t>you give CALI eLangdell Press and the author credit;</w:t>
      </w:r>
    </w:p>
    <w:p w14:paraId="3E2EB095" w14:textId="015090BE" w:rsidR="0054392B" w:rsidRPr="0054392B" w:rsidRDefault="0054392B" w:rsidP="0054392B">
      <w:pPr>
        <w:pStyle w:val="Body"/>
        <w:numPr>
          <w:ilvl w:val="0"/>
          <w:numId w:val="24"/>
        </w:numPr>
        <w:rPr>
          <w:rFonts w:ascii="Times New Roman" w:hAnsi="Times New Roman"/>
          <w:szCs w:val="24"/>
        </w:rPr>
      </w:pPr>
      <w:r w:rsidRPr="0054392B">
        <w:rPr>
          <w:rFonts w:ascii="Times New Roman" w:hAnsi="Times New Roman"/>
          <w:szCs w:val="24"/>
        </w:rPr>
        <w:t>you do not use this work for commercial purposes; and</w:t>
      </w:r>
    </w:p>
    <w:p w14:paraId="0864A9B8" w14:textId="77777777" w:rsidR="0054392B" w:rsidRPr="0054392B" w:rsidRDefault="0054392B" w:rsidP="0054392B">
      <w:pPr>
        <w:pStyle w:val="ListParagraph"/>
        <w:numPr>
          <w:ilvl w:val="0"/>
          <w:numId w:val="24"/>
        </w:numPr>
        <w:spacing w:after="120" w:line="276" w:lineRule="auto"/>
        <w:jc w:val="both"/>
        <w:rPr>
          <w:rFonts w:ascii="Times New Roman" w:hAnsi="Times New Roman" w:cs="Times New Roman"/>
          <w:sz w:val="24"/>
          <w:szCs w:val="24"/>
        </w:rPr>
      </w:pPr>
      <w:r w:rsidRPr="0054392B">
        <w:rPr>
          <w:rFonts w:ascii="Times New Roman" w:hAnsi="Times New Roman" w:cs="Times New Roman"/>
          <w:sz w:val="24"/>
          <w:szCs w:val="24"/>
        </w:rPr>
        <w:t>you distribute any works derived from this one under the same licensing terms as this.</w:t>
      </w:r>
    </w:p>
    <w:p w14:paraId="1F636893" w14:textId="77777777" w:rsidR="006D3885" w:rsidRPr="00B8681A" w:rsidRDefault="006D3885" w:rsidP="00C43B3E">
      <w:pPr>
        <w:jc w:val="both"/>
        <w:rPr>
          <w:rFonts w:ascii="Times New Roman" w:hAnsi="Times New Roman" w:cs="Times New Roman"/>
          <w:sz w:val="24"/>
          <w:szCs w:val="24"/>
        </w:rPr>
      </w:pPr>
      <w:r w:rsidRPr="00B8681A">
        <w:rPr>
          <w:rFonts w:ascii="Times New Roman" w:hAnsi="Times New Roman" w:cs="Times New Roman"/>
          <w:sz w:val="24"/>
          <w:szCs w:val="24"/>
        </w:rPr>
        <w:t>Suggested attribution format for original work:</w:t>
      </w:r>
    </w:p>
    <w:p w14:paraId="43AF856D" w14:textId="46D2B0DD" w:rsidR="006D3885" w:rsidRPr="00B8681A" w:rsidRDefault="00B8681A" w:rsidP="00A61D86">
      <w:pPr>
        <w:jc w:val="both"/>
        <w:rPr>
          <w:rFonts w:ascii="Times New Roman" w:hAnsi="Times New Roman" w:cs="Times New Roman"/>
          <w:sz w:val="24"/>
          <w:szCs w:val="24"/>
        </w:rPr>
      </w:pPr>
      <w:r w:rsidRPr="00B8681A">
        <w:rPr>
          <w:rFonts w:ascii="Times New Roman" w:hAnsi="Times New Roman" w:cs="Times New Roman"/>
          <w:sz w:val="24"/>
          <w:szCs w:val="24"/>
        </w:rPr>
        <w:t>Michael C. Duff</w:t>
      </w:r>
      <w:r w:rsidR="006D3885" w:rsidRPr="00B8681A">
        <w:rPr>
          <w:rFonts w:ascii="Times New Roman" w:hAnsi="Times New Roman" w:cs="Times New Roman"/>
          <w:sz w:val="24"/>
          <w:szCs w:val="24"/>
        </w:rPr>
        <w:t xml:space="preserve">, </w:t>
      </w:r>
      <w:r w:rsidRPr="00A61D86">
        <w:rPr>
          <w:rFonts w:ascii="Times New Roman" w:hAnsi="Times New Roman" w:cs="Times New Roman"/>
          <w:i/>
          <w:iCs/>
          <w:sz w:val="24"/>
          <w:szCs w:val="24"/>
        </w:rPr>
        <w:t>A Treatise of Wyoming Workers’ Compensation Law</w:t>
      </w:r>
      <w:r w:rsidR="006D3885" w:rsidRPr="00B8681A">
        <w:rPr>
          <w:rFonts w:ascii="Times New Roman" w:hAnsi="Times New Roman" w:cs="Times New Roman"/>
          <w:sz w:val="24"/>
          <w:szCs w:val="24"/>
        </w:rPr>
        <w:t xml:space="preserve">, </w:t>
      </w:r>
      <w:r w:rsidR="00A61D86" w:rsidRPr="00A61D86">
        <w:rPr>
          <w:rFonts w:ascii="Times New Roman" w:hAnsi="Times New Roman" w:cs="Times New Roman"/>
          <w:sz w:val="24"/>
          <w:szCs w:val="24"/>
        </w:rPr>
        <w:t>Published by</w:t>
      </w:r>
      <w:r w:rsidR="00A61D86">
        <w:rPr>
          <w:rFonts w:ascii="Times New Roman" w:hAnsi="Times New Roman" w:cs="Times New Roman"/>
          <w:sz w:val="24"/>
          <w:szCs w:val="24"/>
        </w:rPr>
        <w:t xml:space="preserve"> </w:t>
      </w:r>
      <w:r w:rsidR="00A61D86" w:rsidRPr="00A61D86">
        <w:rPr>
          <w:rFonts w:ascii="Times New Roman" w:hAnsi="Times New Roman" w:cs="Times New Roman"/>
          <w:sz w:val="24"/>
          <w:szCs w:val="24"/>
        </w:rPr>
        <w:t>CALI eLangdell Press. Available under a Creative Commons BY-NC-SA 4.0 License.</w:t>
      </w:r>
    </w:p>
    <w:p w14:paraId="644D50A2" w14:textId="6C1E2331" w:rsidR="00F71FC9" w:rsidRDefault="00F71FC9" w:rsidP="00C43B3E">
      <w:pPr>
        <w:jc w:val="both"/>
        <w:rPr>
          <w:rFonts w:ascii="Times New Roman" w:hAnsi="Times New Roman" w:cs="Times New Roman"/>
          <w:sz w:val="24"/>
          <w:szCs w:val="24"/>
        </w:rPr>
      </w:pPr>
      <w:r w:rsidRPr="00F71FC9">
        <w:rPr>
          <w:rFonts w:ascii="Times New Roman" w:hAnsi="Times New Roman" w:cs="Times New Roman"/>
          <w:sz w:val="24"/>
          <w:szCs w:val="24"/>
        </w:rPr>
        <w:t>CALI® and eLangdell® are United States federally registered trademarks owned by the Center for Computer-Assisted Legal Instruction. The cover art design is a copyrighted work of CALI, all rights reserved. The CALI graphical logo is a trademark. Should you create derivative works based on the text of this book or other Creative Commons materials therein, you may use this book’s cover art and the aforementioned logos, as long as your use does not imply endorsement by CALI. For all other uses beyond the scope of this license, please request written permission from CALI.</w:t>
      </w:r>
    </w:p>
    <w:p w14:paraId="5B38F0A8" w14:textId="511CA5F0" w:rsidR="00F71FC9" w:rsidRPr="00F71FC9" w:rsidRDefault="00F71FC9" w:rsidP="00C43B3E">
      <w:pPr>
        <w:jc w:val="both"/>
        <w:rPr>
          <w:rFonts w:ascii="Times New Roman" w:hAnsi="Times New Roman" w:cs="Times New Roman"/>
          <w:sz w:val="24"/>
          <w:szCs w:val="24"/>
        </w:rPr>
      </w:pPr>
      <w:r w:rsidRPr="00F71FC9">
        <w:rPr>
          <w:rFonts w:ascii="Times New Roman" w:hAnsi="Times New Roman" w:cs="Times New Roman"/>
          <w:sz w:val="24"/>
          <w:szCs w:val="24"/>
        </w:rPr>
        <w:t>This material does not contain nor is intended to be legal advice. Users seeking legal advice should consult with a licensed attorney in their jurisdiction. The editors have endeavored to provide complete and accurate information in this book. However, CALI does not warrant that the information provided is complete and accurate. CALI disclaims all liability to any person for any loss caused by errors or omissions in this collection of information.</w:t>
      </w:r>
    </w:p>
    <w:p w14:paraId="12DA878A" w14:textId="0E0B863D" w:rsidR="00453AE5" w:rsidRPr="00453AE5" w:rsidRDefault="00453AE5" w:rsidP="00453AE5">
      <w:pPr>
        <w:pStyle w:val="Heading1"/>
        <w:numPr>
          <w:ilvl w:val="0"/>
          <w:numId w:val="0"/>
        </w:numPr>
        <w:rPr>
          <w:rFonts w:ascii="Times New Roman" w:hAnsi="Times New Roman" w:cs="Times New Roman"/>
          <w:b/>
          <w:bCs/>
          <w:color w:val="auto"/>
        </w:rPr>
      </w:pPr>
      <w:bookmarkStart w:id="2" w:name="_Toc75269332"/>
      <w:r>
        <w:rPr>
          <w:rFonts w:ascii="Times New Roman" w:hAnsi="Times New Roman" w:cs="Times New Roman"/>
          <w:b/>
          <w:bCs/>
          <w:color w:val="auto"/>
        </w:rPr>
        <w:lastRenderedPageBreak/>
        <w:t>About CALI eLangdell Press</w:t>
      </w:r>
      <w:bookmarkEnd w:id="2"/>
      <w:r>
        <w:rPr>
          <w:rFonts w:ascii="Times New Roman" w:hAnsi="Times New Roman" w:cs="Times New Roman"/>
          <w:b/>
          <w:bCs/>
          <w:color w:val="auto"/>
        </w:rPr>
        <w:br/>
      </w:r>
    </w:p>
    <w:p w14:paraId="532D69E3" w14:textId="77777777" w:rsidR="006D3885" w:rsidRPr="00B8681A" w:rsidRDefault="00E655A9" w:rsidP="006D3885">
      <w:pPr>
        <w:pStyle w:val="Body"/>
        <w:rPr>
          <w:rFonts w:ascii="Times New Roman" w:hAnsi="Times New Roman"/>
          <w:color w:val="auto"/>
          <w:szCs w:val="24"/>
        </w:rPr>
      </w:pPr>
      <w:hyperlink r:id="rId15" w:history="1">
        <w:r w:rsidR="006D3885" w:rsidRPr="00B8681A">
          <w:rPr>
            <w:rStyle w:val="Hyperlink"/>
            <w:rFonts w:ascii="Times New Roman" w:hAnsi="Times New Roman"/>
            <w:color w:val="auto"/>
            <w:szCs w:val="24"/>
          </w:rPr>
          <w:t>The Center for Computer-Assisted Legal Instruction</w:t>
        </w:r>
      </w:hyperlink>
      <w:r w:rsidR="006D3885" w:rsidRPr="00B8681A">
        <w:rPr>
          <w:rFonts w:ascii="Times New Roman" w:hAnsi="Times New Roman"/>
          <w:color w:val="auto"/>
          <w:szCs w:val="24"/>
        </w:rPr>
        <w:t xml:space="preserve"> (CALI®) is: a nonprofit organization with over 200 member US law schools, an innovative force pushing legal education toward change for the better. There are </w:t>
      </w:r>
      <w:hyperlink r:id="rId16" w:history="1">
        <w:r w:rsidR="006D3885" w:rsidRPr="00B8681A">
          <w:rPr>
            <w:rStyle w:val="Hyperlink"/>
            <w:rFonts w:ascii="Times New Roman" w:hAnsi="Times New Roman"/>
            <w:color w:val="auto"/>
            <w:szCs w:val="24"/>
          </w:rPr>
          <w:t>benefits to CALI membership</w:t>
        </w:r>
      </w:hyperlink>
      <w:r w:rsidR="006D3885" w:rsidRPr="00B8681A">
        <w:rPr>
          <w:rFonts w:ascii="Times New Roman" w:hAnsi="Times New Roman"/>
          <w:color w:val="auto"/>
          <w:szCs w:val="24"/>
        </w:rPr>
        <w:t xml:space="preserve"> for your school, firm, or organization. </w:t>
      </w:r>
      <w:hyperlink r:id="rId17" w:history="1">
        <w:r w:rsidR="006D3885" w:rsidRPr="00B8681A">
          <w:rPr>
            <w:rStyle w:val="Hyperlink"/>
            <w:rFonts w:ascii="Times New Roman" w:hAnsi="Times New Roman"/>
            <w:color w:val="auto"/>
            <w:szCs w:val="24"/>
          </w:rPr>
          <w:t>ELangdell</w:t>
        </w:r>
      </w:hyperlink>
      <w:r w:rsidR="006D3885" w:rsidRPr="00B8681A">
        <w:rPr>
          <w:rFonts w:ascii="Times New Roman" w:hAnsi="Times New Roman"/>
          <w:color w:val="auto"/>
          <w:szCs w:val="24"/>
        </w:rPr>
        <w:t xml:space="preserve">® is our electronic press with a mission to publish more open books for legal education. </w:t>
      </w:r>
    </w:p>
    <w:p w14:paraId="1044033B" w14:textId="310BB483" w:rsidR="006D3885" w:rsidRDefault="006D3885" w:rsidP="006D3885">
      <w:pPr>
        <w:pStyle w:val="Body"/>
        <w:rPr>
          <w:rFonts w:ascii="Times New Roman" w:hAnsi="Times New Roman"/>
          <w:color w:val="auto"/>
          <w:szCs w:val="24"/>
        </w:rPr>
      </w:pPr>
      <w:r w:rsidRPr="00B8681A">
        <w:rPr>
          <w:rFonts w:ascii="Times New Roman" w:hAnsi="Times New Roman"/>
          <w:color w:val="auto"/>
          <w:szCs w:val="24"/>
        </w:rPr>
        <w:t xml:space="preserve">How do we define "open?" </w:t>
      </w:r>
    </w:p>
    <w:p w14:paraId="1C3CB924" w14:textId="77777777" w:rsidR="006D3885" w:rsidRPr="00B8681A" w:rsidRDefault="006D3885" w:rsidP="006D3885">
      <w:pPr>
        <w:pStyle w:val="Body"/>
        <w:numPr>
          <w:ilvl w:val="0"/>
          <w:numId w:val="24"/>
        </w:numPr>
        <w:rPr>
          <w:rFonts w:ascii="Times New Roman" w:hAnsi="Times New Roman"/>
          <w:color w:val="auto"/>
          <w:szCs w:val="24"/>
        </w:rPr>
      </w:pPr>
      <w:r w:rsidRPr="00B8681A">
        <w:rPr>
          <w:rFonts w:ascii="Times New Roman" w:hAnsi="Times New Roman"/>
          <w:color w:val="auto"/>
          <w:szCs w:val="24"/>
        </w:rPr>
        <w:t>Compatibility with devices like smartphones, tablets, and e-readers; as well as print.</w:t>
      </w:r>
    </w:p>
    <w:p w14:paraId="60975139" w14:textId="77777777" w:rsidR="006D3885" w:rsidRPr="00B8681A" w:rsidRDefault="006D3885" w:rsidP="006D3885">
      <w:pPr>
        <w:pStyle w:val="Body"/>
        <w:numPr>
          <w:ilvl w:val="0"/>
          <w:numId w:val="24"/>
        </w:numPr>
        <w:rPr>
          <w:rFonts w:ascii="Times New Roman" w:hAnsi="Times New Roman"/>
          <w:color w:val="auto"/>
          <w:szCs w:val="24"/>
        </w:rPr>
      </w:pPr>
      <w:r w:rsidRPr="00B8681A">
        <w:rPr>
          <w:rFonts w:ascii="Times New Roman" w:hAnsi="Times New Roman"/>
          <w:color w:val="auto"/>
          <w:szCs w:val="24"/>
        </w:rPr>
        <w:t>The right for educators to remix the materials through more lenient copyright policies.</w:t>
      </w:r>
    </w:p>
    <w:p w14:paraId="2813EBEC" w14:textId="77777777" w:rsidR="006D3885" w:rsidRPr="00B8681A" w:rsidRDefault="006D3885" w:rsidP="006D3885">
      <w:pPr>
        <w:pStyle w:val="Body"/>
        <w:numPr>
          <w:ilvl w:val="0"/>
          <w:numId w:val="24"/>
        </w:numPr>
        <w:rPr>
          <w:rFonts w:ascii="Times New Roman" w:hAnsi="Times New Roman"/>
          <w:color w:val="auto"/>
          <w:szCs w:val="24"/>
        </w:rPr>
      </w:pPr>
      <w:r w:rsidRPr="00B8681A">
        <w:rPr>
          <w:rFonts w:ascii="Times New Roman" w:hAnsi="Times New Roman"/>
          <w:color w:val="auto"/>
          <w:szCs w:val="24"/>
        </w:rPr>
        <w:t>The ability for educators and students to adopt the materials for free.</w:t>
      </w:r>
    </w:p>
    <w:p w14:paraId="1F4E8C03" w14:textId="1BD7D672" w:rsidR="006D3885" w:rsidRPr="00B8681A" w:rsidRDefault="006D3885" w:rsidP="006D3885">
      <w:pPr>
        <w:pStyle w:val="Body"/>
        <w:rPr>
          <w:rFonts w:ascii="Times New Roman" w:hAnsi="Times New Roman"/>
          <w:color w:val="auto"/>
          <w:szCs w:val="24"/>
        </w:rPr>
      </w:pPr>
      <w:r w:rsidRPr="00B8681A">
        <w:rPr>
          <w:rFonts w:ascii="Times New Roman" w:hAnsi="Times New Roman"/>
          <w:color w:val="auto"/>
          <w:szCs w:val="24"/>
        </w:rPr>
        <w:t xml:space="preserve">Find available and upcoming eLangdell titles at </w:t>
      </w:r>
      <w:hyperlink r:id="rId18" w:history="1">
        <w:r w:rsidRPr="00B8681A">
          <w:rPr>
            <w:rStyle w:val="Hyperlink"/>
            <w:rFonts w:ascii="Times New Roman" w:hAnsi="Times New Roman"/>
            <w:color w:val="auto"/>
            <w:szCs w:val="24"/>
          </w:rPr>
          <w:t>elangdell.cali.org</w:t>
        </w:r>
      </w:hyperlink>
      <w:r w:rsidRPr="00B8681A">
        <w:rPr>
          <w:rFonts w:ascii="Times New Roman" w:hAnsi="Times New Roman"/>
          <w:color w:val="auto"/>
          <w:szCs w:val="24"/>
        </w:rPr>
        <w:t xml:space="preserve">. Show support for CALI by following us on </w:t>
      </w:r>
      <w:hyperlink r:id="rId19" w:history="1">
        <w:r w:rsidRPr="00B8681A">
          <w:rPr>
            <w:rStyle w:val="Hyperlink"/>
            <w:rFonts w:ascii="Times New Roman" w:hAnsi="Times New Roman"/>
            <w:color w:val="auto"/>
            <w:szCs w:val="24"/>
          </w:rPr>
          <w:t>Twitter</w:t>
        </w:r>
      </w:hyperlink>
      <w:r w:rsidRPr="00B8681A">
        <w:rPr>
          <w:rFonts w:ascii="Times New Roman" w:hAnsi="Times New Roman"/>
          <w:color w:val="auto"/>
          <w:szCs w:val="24"/>
        </w:rPr>
        <w:t>, and by telling your friends and colleagues where you received your free book.</w:t>
      </w:r>
    </w:p>
    <w:p w14:paraId="235E0950" w14:textId="77777777" w:rsidR="006D3885" w:rsidRPr="00B8681A" w:rsidRDefault="006D3885" w:rsidP="006D3885">
      <w:pPr>
        <w:rPr>
          <w:rFonts w:ascii="Times New Roman" w:eastAsia="ヒラギノ角ゴ Pro W3" w:hAnsi="Times New Roman" w:cs="Times New Roman"/>
          <w:sz w:val="24"/>
          <w:szCs w:val="24"/>
        </w:rPr>
      </w:pPr>
      <w:r w:rsidRPr="00B8681A">
        <w:rPr>
          <w:rFonts w:ascii="Times New Roman" w:hAnsi="Times New Roman" w:cs="Times New Roman"/>
          <w:sz w:val="24"/>
          <w:szCs w:val="24"/>
        </w:rPr>
        <w:br w:type="page"/>
      </w:r>
    </w:p>
    <w:p w14:paraId="3FB8D32E" w14:textId="5EDDED46" w:rsidR="00B8681A" w:rsidRPr="00A61D86" w:rsidRDefault="00A61D86" w:rsidP="00A61D86">
      <w:pPr>
        <w:pStyle w:val="Heading1"/>
        <w:numPr>
          <w:ilvl w:val="0"/>
          <w:numId w:val="0"/>
        </w:numPr>
        <w:rPr>
          <w:rFonts w:ascii="Times New Roman" w:hAnsi="Times New Roman" w:cs="Times New Roman"/>
          <w:b/>
          <w:bCs/>
          <w:color w:val="auto"/>
        </w:rPr>
      </w:pPr>
      <w:bookmarkStart w:id="3" w:name="_Toc75269333"/>
      <w:r>
        <w:rPr>
          <w:rFonts w:ascii="Times New Roman" w:hAnsi="Times New Roman" w:cs="Times New Roman"/>
          <w:b/>
          <w:bCs/>
          <w:color w:val="auto"/>
        </w:rPr>
        <w:lastRenderedPageBreak/>
        <w:t>Acknowledgements</w:t>
      </w:r>
      <w:bookmarkEnd w:id="3"/>
      <w:r>
        <w:rPr>
          <w:rFonts w:ascii="Times New Roman" w:hAnsi="Times New Roman" w:cs="Times New Roman"/>
          <w:b/>
          <w:bCs/>
          <w:color w:val="auto"/>
        </w:rPr>
        <w:br/>
      </w:r>
    </w:p>
    <w:p w14:paraId="60A4CE96" w14:textId="075EDADD" w:rsidR="00B8681A" w:rsidRPr="00A61D86" w:rsidRDefault="00B8681A" w:rsidP="00B8681A">
      <w:pPr>
        <w:spacing w:after="120" w:line="276" w:lineRule="auto"/>
        <w:jc w:val="both"/>
        <w:rPr>
          <w:rFonts w:ascii="Times New Roman" w:hAnsi="Times New Roman" w:cs="Times New Roman"/>
          <w:b/>
          <w:bCs/>
          <w:sz w:val="24"/>
          <w:szCs w:val="24"/>
        </w:rPr>
      </w:pPr>
      <w:r w:rsidRPr="00A61D86">
        <w:rPr>
          <w:rFonts w:ascii="Times New Roman" w:hAnsi="Times New Roman" w:cs="Times New Roman"/>
          <w:b/>
          <w:bCs/>
          <w:sz w:val="24"/>
          <w:szCs w:val="24"/>
        </w:rPr>
        <w:t>To: My beloved family: Victoria, Isabel, and Daniel</w:t>
      </w:r>
    </w:p>
    <w:p w14:paraId="1F6F6DAF" w14:textId="5C2FC062" w:rsidR="00B8681A" w:rsidRPr="00B8681A" w:rsidRDefault="00B8681A" w:rsidP="00B8681A">
      <w:pPr>
        <w:spacing w:after="120" w:line="276" w:lineRule="auto"/>
        <w:jc w:val="both"/>
        <w:rPr>
          <w:rFonts w:ascii="Times New Roman" w:hAnsi="Times New Roman" w:cs="Times New Roman"/>
          <w:sz w:val="24"/>
          <w:szCs w:val="24"/>
        </w:rPr>
      </w:pPr>
      <w:r w:rsidRPr="00B8681A">
        <w:rPr>
          <w:rFonts w:ascii="Times New Roman" w:hAnsi="Times New Roman" w:cs="Times New Roman"/>
          <w:sz w:val="24"/>
          <w:szCs w:val="24"/>
        </w:rPr>
        <w:t>With respect to the creation of th</w:t>
      </w:r>
      <w:r w:rsidR="006256AD">
        <w:rPr>
          <w:rFonts w:ascii="Times New Roman" w:hAnsi="Times New Roman" w:cs="Times New Roman"/>
          <w:sz w:val="24"/>
          <w:szCs w:val="24"/>
        </w:rPr>
        <w:t>e original</w:t>
      </w:r>
      <w:r w:rsidRPr="00B8681A">
        <w:rPr>
          <w:rFonts w:ascii="Times New Roman" w:hAnsi="Times New Roman" w:cs="Times New Roman"/>
          <w:sz w:val="24"/>
          <w:szCs w:val="24"/>
        </w:rPr>
        <w:t xml:space="preserve"> volume, I want to acknowledge the excellent and hard work</w:t>
      </w:r>
      <w:r>
        <w:rPr>
          <w:rFonts w:ascii="Times New Roman" w:hAnsi="Times New Roman" w:cs="Times New Roman"/>
          <w:sz w:val="24"/>
          <w:szCs w:val="24"/>
        </w:rPr>
        <w:t xml:space="preserve"> </w:t>
      </w:r>
      <w:r w:rsidRPr="00B8681A">
        <w:rPr>
          <w:rFonts w:ascii="Times New Roman" w:hAnsi="Times New Roman" w:cs="Times New Roman"/>
          <w:sz w:val="24"/>
          <w:szCs w:val="24"/>
        </w:rPr>
        <w:t>of my principal student research assistants, John Hornbaker IV and Jeremy Meerkreebs, who</w:t>
      </w:r>
      <w:r>
        <w:rPr>
          <w:rFonts w:ascii="Times New Roman" w:hAnsi="Times New Roman" w:cs="Times New Roman"/>
          <w:sz w:val="24"/>
          <w:szCs w:val="24"/>
        </w:rPr>
        <w:t xml:space="preserve"> </w:t>
      </w:r>
      <w:r w:rsidR="006256AD">
        <w:rPr>
          <w:rFonts w:ascii="Times New Roman" w:hAnsi="Times New Roman" w:cs="Times New Roman"/>
          <w:sz w:val="24"/>
          <w:szCs w:val="24"/>
        </w:rPr>
        <w:t>have since embarked on their journey as</w:t>
      </w:r>
      <w:r w:rsidRPr="00B8681A">
        <w:rPr>
          <w:rFonts w:ascii="Times New Roman" w:hAnsi="Times New Roman" w:cs="Times New Roman"/>
          <w:sz w:val="24"/>
          <w:szCs w:val="24"/>
        </w:rPr>
        <w:t xml:space="preserve"> lawyers. Thanks are also due to my former students (and now lawyers)</w:t>
      </w:r>
      <w:r>
        <w:rPr>
          <w:rFonts w:ascii="Times New Roman" w:hAnsi="Times New Roman" w:cs="Times New Roman"/>
          <w:sz w:val="24"/>
          <w:szCs w:val="24"/>
        </w:rPr>
        <w:t xml:space="preserve"> </w:t>
      </w:r>
      <w:r w:rsidRPr="00B8681A">
        <w:rPr>
          <w:rFonts w:ascii="Times New Roman" w:hAnsi="Times New Roman" w:cs="Times New Roman"/>
          <w:sz w:val="24"/>
          <w:szCs w:val="24"/>
        </w:rPr>
        <w:t>Nathan Ridgway and Christopher Brennan, who performed important research on early chapter</w:t>
      </w:r>
      <w:r>
        <w:rPr>
          <w:rFonts w:ascii="Times New Roman" w:hAnsi="Times New Roman" w:cs="Times New Roman"/>
          <w:sz w:val="24"/>
          <w:szCs w:val="24"/>
        </w:rPr>
        <w:t xml:space="preserve"> </w:t>
      </w:r>
      <w:r w:rsidRPr="00B8681A">
        <w:rPr>
          <w:rFonts w:ascii="Times New Roman" w:hAnsi="Times New Roman" w:cs="Times New Roman"/>
          <w:sz w:val="24"/>
          <w:szCs w:val="24"/>
        </w:rPr>
        <w:t>drafts. I am also grateful for the help I have received along the way from a group of Wyoming</w:t>
      </w:r>
      <w:r>
        <w:rPr>
          <w:rFonts w:ascii="Times New Roman" w:hAnsi="Times New Roman" w:cs="Times New Roman"/>
          <w:sz w:val="24"/>
          <w:szCs w:val="24"/>
        </w:rPr>
        <w:t xml:space="preserve"> </w:t>
      </w:r>
      <w:r w:rsidRPr="00B8681A">
        <w:rPr>
          <w:rFonts w:ascii="Times New Roman" w:hAnsi="Times New Roman" w:cs="Times New Roman"/>
          <w:sz w:val="24"/>
          <w:szCs w:val="24"/>
        </w:rPr>
        <w:t>practitioners, who are almost impossibly generous with their time in responding to my frequent</w:t>
      </w:r>
      <w:r>
        <w:rPr>
          <w:rFonts w:ascii="Times New Roman" w:hAnsi="Times New Roman" w:cs="Times New Roman"/>
          <w:sz w:val="24"/>
          <w:szCs w:val="24"/>
        </w:rPr>
        <w:t xml:space="preserve"> </w:t>
      </w:r>
      <w:r w:rsidRPr="00B8681A">
        <w:rPr>
          <w:rFonts w:ascii="Times New Roman" w:hAnsi="Times New Roman" w:cs="Times New Roman"/>
          <w:sz w:val="24"/>
          <w:szCs w:val="24"/>
        </w:rPr>
        <w:t>pinpoint practice questions. Nevertheless, in a work of this kind, there will doubtless be</w:t>
      </w:r>
      <w:r>
        <w:rPr>
          <w:rFonts w:ascii="Times New Roman" w:hAnsi="Times New Roman" w:cs="Times New Roman"/>
          <w:sz w:val="24"/>
          <w:szCs w:val="24"/>
        </w:rPr>
        <w:t xml:space="preserve"> </w:t>
      </w:r>
      <w:r w:rsidRPr="00B8681A">
        <w:rPr>
          <w:rFonts w:ascii="Times New Roman" w:hAnsi="Times New Roman" w:cs="Times New Roman"/>
          <w:sz w:val="24"/>
          <w:szCs w:val="24"/>
        </w:rPr>
        <w:t>errors—even when supported by such an outstanding team. And all errors are mine and mine</w:t>
      </w:r>
      <w:r>
        <w:rPr>
          <w:rFonts w:ascii="Times New Roman" w:hAnsi="Times New Roman" w:cs="Times New Roman"/>
          <w:sz w:val="24"/>
          <w:szCs w:val="24"/>
        </w:rPr>
        <w:t xml:space="preserve"> </w:t>
      </w:r>
      <w:r w:rsidRPr="00B8681A">
        <w:rPr>
          <w:rFonts w:ascii="Times New Roman" w:hAnsi="Times New Roman" w:cs="Times New Roman"/>
          <w:sz w:val="24"/>
          <w:szCs w:val="24"/>
        </w:rPr>
        <w:t>alone.</w:t>
      </w:r>
    </w:p>
    <w:p w14:paraId="46EE14D6" w14:textId="10CF8C59" w:rsidR="00B8681A" w:rsidRPr="00B8681A" w:rsidRDefault="00B8681A" w:rsidP="00B8681A">
      <w:pPr>
        <w:spacing w:after="120" w:line="276" w:lineRule="auto"/>
        <w:jc w:val="both"/>
        <w:rPr>
          <w:rFonts w:ascii="Times New Roman" w:hAnsi="Times New Roman" w:cs="Times New Roman"/>
          <w:sz w:val="24"/>
          <w:szCs w:val="24"/>
        </w:rPr>
      </w:pPr>
      <w:r w:rsidRPr="00B8681A">
        <w:rPr>
          <w:rFonts w:ascii="Times New Roman" w:hAnsi="Times New Roman" w:cs="Times New Roman"/>
          <w:sz w:val="24"/>
          <w:szCs w:val="24"/>
        </w:rPr>
        <w:t>MCD</w:t>
      </w:r>
    </w:p>
    <w:p w14:paraId="78550857" w14:textId="77777777" w:rsidR="006D3885" w:rsidRPr="00B8681A" w:rsidRDefault="006D3885" w:rsidP="006D3885">
      <w:pPr>
        <w:rPr>
          <w:rFonts w:ascii="Times New Roman" w:hAnsi="Times New Roman" w:cs="Times New Roman"/>
          <w:sz w:val="24"/>
          <w:szCs w:val="24"/>
        </w:rPr>
      </w:pPr>
    </w:p>
    <w:p w14:paraId="7895CB1B" w14:textId="615C654D" w:rsidR="006D3885" w:rsidRPr="00B8681A" w:rsidRDefault="006D3885" w:rsidP="006D3885">
      <w:pPr>
        <w:pStyle w:val="Body"/>
        <w:rPr>
          <w:rFonts w:ascii="Times New Roman" w:hAnsi="Times New Roman"/>
          <w:color w:val="auto"/>
          <w:szCs w:val="24"/>
        </w:rPr>
      </w:pPr>
    </w:p>
    <w:p w14:paraId="3256BA45" w14:textId="4434A502" w:rsidR="006D3885" w:rsidRPr="00B8681A" w:rsidRDefault="006D3885" w:rsidP="006D3885">
      <w:pPr>
        <w:rPr>
          <w:rFonts w:ascii="Times New Roman" w:hAnsi="Times New Roman" w:cs="Times New Roman"/>
          <w:sz w:val="24"/>
          <w:szCs w:val="24"/>
        </w:rPr>
      </w:pPr>
    </w:p>
    <w:p w14:paraId="32AB238E" w14:textId="6A7FD2A7" w:rsidR="006D3885" w:rsidRDefault="006D3885" w:rsidP="006D3885"/>
    <w:p w14:paraId="44C1493A" w14:textId="462319E0" w:rsidR="006D3885" w:rsidRDefault="006D3885" w:rsidP="006D3885"/>
    <w:p w14:paraId="4BA47E1E" w14:textId="00871347" w:rsidR="006D3885" w:rsidRDefault="006D3885" w:rsidP="006D3885"/>
    <w:p w14:paraId="58FB3E1E" w14:textId="398AEF00" w:rsidR="006D3885" w:rsidRDefault="006D3885" w:rsidP="006D3885"/>
    <w:p w14:paraId="33BBD417" w14:textId="490DDEDE" w:rsidR="006D3885" w:rsidRDefault="006D3885" w:rsidP="006D3885"/>
    <w:p w14:paraId="342BD6C5" w14:textId="77777777" w:rsidR="00453AE5" w:rsidRDefault="00453AE5" w:rsidP="006D3885"/>
    <w:p w14:paraId="17854254" w14:textId="6E4E500D" w:rsidR="006D3885" w:rsidRDefault="006D3885" w:rsidP="006D3885"/>
    <w:p w14:paraId="4D620420" w14:textId="44450DC6" w:rsidR="006D3885" w:rsidRDefault="006D3885" w:rsidP="006D3885"/>
    <w:p w14:paraId="35FFD34B" w14:textId="3B015ABF" w:rsidR="006D3885" w:rsidRDefault="006D3885" w:rsidP="006D3885"/>
    <w:p w14:paraId="02ED6835" w14:textId="68C363A9" w:rsidR="00C43B3E" w:rsidRDefault="00C43B3E" w:rsidP="006D3885"/>
    <w:p w14:paraId="2AD34342" w14:textId="43B47B24" w:rsidR="00C43B3E" w:rsidRDefault="00C43B3E" w:rsidP="006D3885"/>
    <w:p w14:paraId="7DE4F88E" w14:textId="77777777" w:rsidR="00EE58E9" w:rsidRDefault="00EE58E9" w:rsidP="006D3885"/>
    <w:p w14:paraId="4FF22F19" w14:textId="703A4F29" w:rsidR="006D3885" w:rsidRDefault="006D3885" w:rsidP="006D3885"/>
    <w:p w14:paraId="07FBBDBA" w14:textId="77777777" w:rsidR="00A61D86" w:rsidRDefault="00A61D86" w:rsidP="006D3885"/>
    <w:sdt>
      <w:sdtPr>
        <w:rPr>
          <w:rFonts w:asciiTheme="minorHAnsi" w:eastAsiaTheme="minorHAnsi" w:hAnsiTheme="minorHAnsi" w:cstheme="minorBidi"/>
          <w:color w:val="auto"/>
          <w:sz w:val="22"/>
          <w:szCs w:val="22"/>
        </w:rPr>
        <w:id w:val="2072316296"/>
        <w:docPartObj>
          <w:docPartGallery w:val="Table of Contents"/>
          <w:docPartUnique/>
        </w:docPartObj>
      </w:sdtPr>
      <w:sdtEndPr>
        <w:rPr>
          <w:b/>
          <w:bCs/>
          <w:noProof/>
        </w:rPr>
      </w:sdtEndPr>
      <w:sdtContent>
        <w:p w14:paraId="46082F86" w14:textId="54204FAE" w:rsidR="0074505E" w:rsidRDefault="0074505E">
          <w:pPr>
            <w:pStyle w:val="TOCHeading"/>
            <w:rPr>
              <w:rFonts w:ascii="Times New Roman" w:hAnsi="Times New Roman" w:cs="Times New Roman"/>
              <w:b/>
              <w:bCs/>
              <w:color w:val="auto"/>
            </w:rPr>
          </w:pPr>
          <w:r w:rsidRPr="00B20237">
            <w:rPr>
              <w:rFonts w:ascii="Times New Roman" w:hAnsi="Times New Roman" w:cs="Times New Roman"/>
              <w:b/>
              <w:bCs/>
              <w:color w:val="auto"/>
            </w:rPr>
            <w:t>Contents</w:t>
          </w:r>
        </w:p>
        <w:p w14:paraId="769D95DB" w14:textId="77777777" w:rsidR="00EE58E9" w:rsidRPr="00EE58E9" w:rsidRDefault="00EE58E9" w:rsidP="00EE58E9"/>
        <w:p w14:paraId="0BD959E5" w14:textId="62042736" w:rsidR="00EE58E9" w:rsidRPr="00EE58E9" w:rsidRDefault="0074505E" w:rsidP="00EE58E9">
          <w:pPr>
            <w:pStyle w:val="TOC1"/>
            <w:spacing w:before="0" w:line="360" w:lineRule="auto"/>
            <w:rPr>
              <w:color w:val="0563C1" w:themeColor="hyperlink"/>
              <w:sz w:val="22"/>
              <w:szCs w:val="22"/>
              <w:u w:val="single"/>
            </w:rPr>
          </w:pPr>
          <w:r w:rsidRPr="00EE58E9">
            <w:fldChar w:fldCharType="begin"/>
          </w:r>
          <w:r w:rsidRPr="00EE58E9">
            <w:instrText xml:space="preserve"> TOC \o "1-3" \h \z \u </w:instrText>
          </w:r>
          <w:r w:rsidRPr="00EE58E9">
            <w:fldChar w:fldCharType="separate"/>
          </w:r>
          <w:hyperlink w:anchor="_Toc75269330" w:history="1">
            <w:r w:rsidR="00EE58E9" w:rsidRPr="00EE58E9">
              <w:rPr>
                <w:rStyle w:val="Hyperlink"/>
                <w:sz w:val="22"/>
                <w:szCs w:val="22"/>
              </w:rPr>
              <w:t>About the Author</w:t>
            </w:r>
            <w:r w:rsidR="00EE58E9" w:rsidRPr="00EE58E9">
              <w:rPr>
                <w:webHidden/>
                <w:sz w:val="22"/>
                <w:szCs w:val="22"/>
              </w:rPr>
              <w:tab/>
            </w:r>
            <w:r w:rsidR="003016DE">
              <w:rPr>
                <w:caps w:val="0"/>
                <w:webHidden/>
                <w:sz w:val="22"/>
                <w:szCs w:val="22"/>
              </w:rPr>
              <w:t>I</w:t>
            </w:r>
          </w:hyperlink>
        </w:p>
        <w:p w14:paraId="4F964708" w14:textId="3EFE3367" w:rsidR="00EE58E9" w:rsidRPr="00EE58E9" w:rsidRDefault="00E655A9" w:rsidP="00EE58E9">
          <w:pPr>
            <w:pStyle w:val="TOC1"/>
            <w:spacing w:before="0" w:line="360" w:lineRule="auto"/>
            <w:rPr>
              <w:rFonts w:asciiTheme="minorHAnsi" w:eastAsiaTheme="minorEastAsia" w:hAnsiTheme="minorHAnsi" w:cstheme="minorBidi"/>
              <w:sz w:val="22"/>
              <w:szCs w:val="22"/>
            </w:rPr>
          </w:pPr>
          <w:hyperlink w:anchor="_Toc75269331" w:history="1">
            <w:r w:rsidR="00EE58E9" w:rsidRPr="00EE58E9">
              <w:rPr>
                <w:rStyle w:val="Hyperlink"/>
                <w:sz w:val="22"/>
                <w:szCs w:val="22"/>
              </w:rPr>
              <w:t>Notices</w:t>
            </w:r>
            <w:r w:rsidR="00EE58E9" w:rsidRPr="00EE58E9">
              <w:rPr>
                <w:webHidden/>
                <w:sz w:val="22"/>
                <w:szCs w:val="22"/>
              </w:rPr>
              <w:tab/>
            </w:r>
            <w:r w:rsidR="003016DE">
              <w:rPr>
                <w:caps w:val="0"/>
                <w:webHidden/>
                <w:sz w:val="22"/>
                <w:szCs w:val="22"/>
              </w:rPr>
              <w:t>II</w:t>
            </w:r>
          </w:hyperlink>
        </w:p>
        <w:p w14:paraId="532FE54E" w14:textId="17FC4C13" w:rsidR="00EE58E9" w:rsidRPr="00EE58E9" w:rsidRDefault="00E655A9" w:rsidP="00EE58E9">
          <w:pPr>
            <w:pStyle w:val="TOC1"/>
            <w:spacing w:before="0" w:line="360" w:lineRule="auto"/>
            <w:rPr>
              <w:rFonts w:asciiTheme="minorHAnsi" w:eastAsiaTheme="minorEastAsia" w:hAnsiTheme="minorHAnsi" w:cstheme="minorBidi"/>
              <w:sz w:val="22"/>
              <w:szCs w:val="22"/>
            </w:rPr>
          </w:pPr>
          <w:hyperlink w:anchor="_Toc75269332" w:history="1">
            <w:r w:rsidR="00EE58E9" w:rsidRPr="00EE58E9">
              <w:rPr>
                <w:rStyle w:val="Hyperlink"/>
                <w:sz w:val="22"/>
                <w:szCs w:val="22"/>
              </w:rPr>
              <w:t>About CALI eLangdell Press</w:t>
            </w:r>
            <w:r w:rsidR="00EE58E9" w:rsidRPr="00EE58E9">
              <w:rPr>
                <w:webHidden/>
                <w:sz w:val="22"/>
                <w:szCs w:val="22"/>
              </w:rPr>
              <w:tab/>
            </w:r>
            <w:r w:rsidR="00EE58E9" w:rsidRPr="00EE58E9">
              <w:rPr>
                <w:webHidden/>
                <w:sz w:val="22"/>
                <w:szCs w:val="22"/>
              </w:rPr>
              <w:fldChar w:fldCharType="begin"/>
            </w:r>
            <w:r w:rsidR="00EE58E9" w:rsidRPr="00EE58E9">
              <w:rPr>
                <w:webHidden/>
                <w:sz w:val="22"/>
                <w:szCs w:val="22"/>
              </w:rPr>
              <w:instrText xml:space="preserve"> PAGEREF _Toc75269332 \h </w:instrText>
            </w:r>
            <w:r w:rsidR="00EE58E9" w:rsidRPr="00EE58E9">
              <w:rPr>
                <w:webHidden/>
                <w:sz w:val="22"/>
                <w:szCs w:val="22"/>
              </w:rPr>
            </w:r>
            <w:r w:rsidR="00EE58E9" w:rsidRPr="00EE58E9">
              <w:rPr>
                <w:webHidden/>
                <w:sz w:val="22"/>
                <w:szCs w:val="22"/>
              </w:rPr>
              <w:fldChar w:fldCharType="separate"/>
            </w:r>
            <w:r w:rsidR="00587001">
              <w:rPr>
                <w:webHidden/>
                <w:sz w:val="22"/>
                <w:szCs w:val="22"/>
              </w:rPr>
              <w:t>iii</w:t>
            </w:r>
            <w:r w:rsidR="00EE58E9" w:rsidRPr="00EE58E9">
              <w:rPr>
                <w:webHidden/>
                <w:sz w:val="22"/>
                <w:szCs w:val="22"/>
              </w:rPr>
              <w:fldChar w:fldCharType="end"/>
            </w:r>
          </w:hyperlink>
        </w:p>
        <w:p w14:paraId="6F7CD4A6" w14:textId="3B64C723" w:rsidR="00EE58E9" w:rsidRPr="00EE58E9" w:rsidRDefault="00E655A9" w:rsidP="00EE58E9">
          <w:pPr>
            <w:pStyle w:val="TOC1"/>
            <w:spacing w:before="0" w:line="360" w:lineRule="auto"/>
            <w:rPr>
              <w:rFonts w:asciiTheme="minorHAnsi" w:eastAsiaTheme="minorEastAsia" w:hAnsiTheme="minorHAnsi" w:cstheme="minorBidi"/>
              <w:sz w:val="22"/>
              <w:szCs w:val="22"/>
            </w:rPr>
          </w:pPr>
          <w:hyperlink w:anchor="_Toc75269333" w:history="1">
            <w:r w:rsidR="00EE58E9" w:rsidRPr="00EE58E9">
              <w:rPr>
                <w:rStyle w:val="Hyperlink"/>
                <w:sz w:val="22"/>
                <w:szCs w:val="22"/>
              </w:rPr>
              <w:t>Acknowledgements</w:t>
            </w:r>
            <w:r w:rsidR="00EE58E9" w:rsidRPr="00EE58E9">
              <w:rPr>
                <w:webHidden/>
                <w:sz w:val="22"/>
                <w:szCs w:val="22"/>
              </w:rPr>
              <w:tab/>
            </w:r>
            <w:r w:rsidR="00EE58E9" w:rsidRPr="00EE58E9">
              <w:rPr>
                <w:webHidden/>
                <w:sz w:val="22"/>
                <w:szCs w:val="22"/>
              </w:rPr>
              <w:fldChar w:fldCharType="begin"/>
            </w:r>
            <w:r w:rsidR="00EE58E9" w:rsidRPr="00EE58E9">
              <w:rPr>
                <w:webHidden/>
                <w:sz w:val="22"/>
                <w:szCs w:val="22"/>
              </w:rPr>
              <w:instrText xml:space="preserve"> PAGEREF _Toc75269333 \h </w:instrText>
            </w:r>
            <w:r w:rsidR="00EE58E9" w:rsidRPr="00EE58E9">
              <w:rPr>
                <w:webHidden/>
                <w:sz w:val="22"/>
                <w:szCs w:val="22"/>
              </w:rPr>
            </w:r>
            <w:r w:rsidR="00EE58E9" w:rsidRPr="00EE58E9">
              <w:rPr>
                <w:webHidden/>
                <w:sz w:val="22"/>
                <w:szCs w:val="22"/>
              </w:rPr>
              <w:fldChar w:fldCharType="separate"/>
            </w:r>
            <w:r w:rsidR="00587001">
              <w:rPr>
                <w:webHidden/>
                <w:sz w:val="22"/>
                <w:szCs w:val="22"/>
              </w:rPr>
              <w:t>iv</w:t>
            </w:r>
            <w:r w:rsidR="00EE58E9" w:rsidRPr="00EE58E9">
              <w:rPr>
                <w:webHidden/>
                <w:sz w:val="22"/>
                <w:szCs w:val="22"/>
              </w:rPr>
              <w:fldChar w:fldCharType="end"/>
            </w:r>
          </w:hyperlink>
        </w:p>
        <w:p w14:paraId="22F6D30D" w14:textId="23E27E27" w:rsidR="00EE58E9" w:rsidRPr="00EE58E9" w:rsidRDefault="00E655A9" w:rsidP="00EE58E9">
          <w:pPr>
            <w:pStyle w:val="TOC1"/>
            <w:rPr>
              <w:rFonts w:asciiTheme="minorHAnsi" w:eastAsiaTheme="minorEastAsia" w:hAnsiTheme="minorHAnsi" w:cstheme="minorBidi"/>
            </w:rPr>
          </w:pPr>
          <w:hyperlink w:anchor="_Toc75269334" w:history="1">
            <w:r w:rsidR="00EE58E9" w:rsidRPr="00EE58E9">
              <w:rPr>
                <w:rStyle w:val="Hyperlink"/>
              </w:rPr>
              <w:t>1</w:t>
            </w:r>
            <w:r w:rsidR="00EE58E9" w:rsidRPr="00EE58E9">
              <w:rPr>
                <w:rFonts w:asciiTheme="minorHAnsi" w:eastAsiaTheme="minorEastAsia" w:hAnsiTheme="minorHAnsi" w:cstheme="minorBidi"/>
              </w:rPr>
              <w:tab/>
            </w:r>
            <w:r w:rsidR="00EE58E9" w:rsidRPr="00EE58E9">
              <w:rPr>
                <w:rStyle w:val="Hyperlink"/>
              </w:rPr>
              <w:t>INTRODUCTION TO THE WYOMING WORKERS’ COMPENSATION ACT</w:t>
            </w:r>
            <w:r w:rsidR="00EE58E9" w:rsidRPr="00EE58E9">
              <w:rPr>
                <w:webHidden/>
              </w:rPr>
              <w:tab/>
            </w:r>
            <w:r w:rsidR="00EE58E9" w:rsidRPr="00EE58E9">
              <w:rPr>
                <w:webHidden/>
              </w:rPr>
              <w:fldChar w:fldCharType="begin"/>
            </w:r>
            <w:r w:rsidR="00EE58E9" w:rsidRPr="00EE58E9">
              <w:rPr>
                <w:webHidden/>
              </w:rPr>
              <w:instrText xml:space="preserve"> PAGEREF _Toc75269334 \h </w:instrText>
            </w:r>
            <w:r w:rsidR="00EE58E9" w:rsidRPr="00EE58E9">
              <w:rPr>
                <w:webHidden/>
              </w:rPr>
            </w:r>
            <w:r w:rsidR="00EE58E9" w:rsidRPr="00EE58E9">
              <w:rPr>
                <w:webHidden/>
              </w:rPr>
              <w:fldChar w:fldCharType="separate"/>
            </w:r>
            <w:r w:rsidR="00587001">
              <w:rPr>
                <w:webHidden/>
              </w:rPr>
              <w:t>1</w:t>
            </w:r>
            <w:r w:rsidR="00EE58E9" w:rsidRPr="00EE58E9">
              <w:rPr>
                <w:webHidden/>
              </w:rPr>
              <w:fldChar w:fldCharType="end"/>
            </w:r>
          </w:hyperlink>
        </w:p>
        <w:p w14:paraId="720B5F2E" w14:textId="1CD3F9C3"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35" w:history="1">
            <w:r w:rsidR="00EE58E9" w:rsidRPr="00EE58E9">
              <w:rPr>
                <w:rStyle w:val="Hyperlink"/>
                <w:rFonts w:ascii="Times New Roman" w:hAnsi="Times New Roman" w:cs="Times New Roman"/>
                <w:noProof/>
                <w:sz w:val="22"/>
                <w:szCs w:val="22"/>
              </w:rPr>
              <w:t>1.1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History and Purpose of Workers’ Compensation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_Toc75269335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w:t>
            </w:r>
            <w:r w:rsidR="00EE58E9" w:rsidRPr="00EE58E9">
              <w:rPr>
                <w:noProof/>
                <w:webHidden/>
                <w:sz w:val="22"/>
                <w:szCs w:val="22"/>
              </w:rPr>
              <w:fldChar w:fldCharType="end"/>
            </w:r>
          </w:hyperlink>
        </w:p>
        <w:p w14:paraId="394F5029" w14:textId="1F1CFE5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36" w:history="1">
            <w:r w:rsidR="00EE58E9" w:rsidRPr="00EE58E9">
              <w:rPr>
                <w:rStyle w:val="Hyperlink"/>
                <w:rFonts w:ascii="Times New Roman" w:hAnsi="Times New Roman" w:cs="Times New Roman"/>
                <w:noProof/>
                <w:sz w:val="22"/>
                <w:szCs w:val="22"/>
              </w:rPr>
              <w:t>1.2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History and Purpose of Wyoming Workers’ Compensation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_Toc75269336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w:t>
            </w:r>
            <w:r w:rsidR="00EE58E9" w:rsidRPr="00EE58E9">
              <w:rPr>
                <w:noProof/>
                <w:webHidden/>
                <w:sz w:val="22"/>
                <w:szCs w:val="22"/>
              </w:rPr>
              <w:fldChar w:fldCharType="end"/>
            </w:r>
          </w:hyperlink>
        </w:p>
        <w:p w14:paraId="32C316D4" w14:textId="4ADBBB4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37" w:history="1">
            <w:r w:rsidR="00EE58E9" w:rsidRPr="00EE58E9">
              <w:rPr>
                <w:rStyle w:val="Hyperlink"/>
                <w:rFonts w:ascii="Times New Roman" w:hAnsi="Times New Roman" w:cs="Times New Roman"/>
                <w:noProof/>
                <w:sz w:val="22"/>
                <w:szCs w:val="22"/>
              </w:rPr>
              <w:t>1.3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Uniqueness of Wyoming’s Workers’ Compensation Statute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_Toc75269337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w:t>
            </w:r>
            <w:r w:rsidR="00EE58E9" w:rsidRPr="00EE58E9">
              <w:rPr>
                <w:noProof/>
                <w:webHidden/>
                <w:sz w:val="22"/>
                <w:szCs w:val="22"/>
              </w:rPr>
              <w:fldChar w:fldCharType="end"/>
            </w:r>
          </w:hyperlink>
        </w:p>
        <w:p w14:paraId="014F8601" w14:textId="04911393"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38" w:history="1">
            <w:r w:rsidR="00EE58E9" w:rsidRPr="00EE58E9">
              <w:rPr>
                <w:rStyle w:val="Hyperlink"/>
                <w:rFonts w:ascii="Times New Roman" w:hAnsi="Times New Roman" w:cs="Times New Roman"/>
                <w:noProof/>
                <w:sz w:val="22"/>
                <w:szCs w:val="22"/>
              </w:rPr>
              <w:t>1.4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Fault is Irrelevant Under Wyoming Statute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_Toc75269338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7</w:t>
            </w:r>
            <w:r w:rsidR="00EE58E9" w:rsidRPr="00EE58E9">
              <w:rPr>
                <w:noProof/>
                <w:webHidden/>
                <w:sz w:val="22"/>
                <w:szCs w:val="22"/>
              </w:rPr>
              <w:fldChar w:fldCharType="end"/>
            </w:r>
          </w:hyperlink>
        </w:p>
        <w:p w14:paraId="62D496AC" w14:textId="7AB3594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39" w:history="1">
            <w:r w:rsidR="00EE58E9" w:rsidRPr="00EE58E9">
              <w:rPr>
                <w:rStyle w:val="Hyperlink"/>
                <w:rFonts w:ascii="Times New Roman" w:hAnsi="Times New Roman" w:cs="Times New Roman"/>
                <w:noProof/>
                <w:sz w:val="22"/>
                <w:szCs w:val="22"/>
              </w:rPr>
              <w:t>1.5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Exclusive Remedy Rule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_Toc75269339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7</w:t>
            </w:r>
            <w:r w:rsidR="00EE58E9" w:rsidRPr="00EE58E9">
              <w:rPr>
                <w:noProof/>
                <w:webHidden/>
                <w:sz w:val="22"/>
                <w:szCs w:val="22"/>
              </w:rPr>
              <w:fldChar w:fldCharType="end"/>
            </w:r>
          </w:hyperlink>
        </w:p>
        <w:p w14:paraId="10A53B2D" w14:textId="2ADD6F7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0" w:history="1">
            <w:r w:rsidR="00EE58E9" w:rsidRPr="00EE58E9">
              <w:rPr>
                <w:rStyle w:val="Hyperlink"/>
                <w:rFonts w:ascii="Times New Roman" w:hAnsi="Times New Roman" w:cs="Times New Roman"/>
                <w:noProof/>
                <w:sz w:val="22"/>
                <w:szCs w:val="22"/>
              </w:rPr>
              <w:t>1.6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Exclusive Remedy Rule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8</w:t>
            </w:r>
            <w:r w:rsidR="00EE58E9" w:rsidRPr="00EE58E9">
              <w:rPr>
                <w:noProof/>
                <w:webHidden/>
                <w:sz w:val="22"/>
                <w:szCs w:val="22"/>
              </w:rPr>
              <w:fldChar w:fldCharType="end"/>
            </w:r>
          </w:hyperlink>
        </w:p>
        <w:p w14:paraId="2DDBE180" w14:textId="783D4FD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1" w:history="1">
            <w:r w:rsidR="00EE58E9" w:rsidRPr="00EE58E9">
              <w:rPr>
                <w:rStyle w:val="Hyperlink"/>
                <w:rFonts w:ascii="Times New Roman" w:hAnsi="Times New Roman" w:cs="Times New Roman"/>
                <w:noProof/>
                <w:sz w:val="22"/>
                <w:szCs w:val="22"/>
              </w:rPr>
              <w:t>1.7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Co-Employee Immunity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11</w:t>
            </w:r>
            <w:r w:rsidR="00EE58E9" w:rsidRPr="00EE58E9">
              <w:rPr>
                <w:noProof/>
                <w:webHidden/>
                <w:sz w:val="22"/>
                <w:szCs w:val="22"/>
              </w:rPr>
              <w:fldChar w:fldCharType="end"/>
            </w:r>
          </w:hyperlink>
        </w:p>
        <w:p w14:paraId="6766AF28" w14:textId="5EEA1C7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2" w:history="1">
            <w:r w:rsidR="00EE58E9" w:rsidRPr="00EE58E9">
              <w:rPr>
                <w:rStyle w:val="Hyperlink"/>
                <w:rFonts w:ascii="Times New Roman" w:hAnsi="Times New Roman" w:cs="Times New Roman"/>
                <w:noProof/>
                <w:sz w:val="22"/>
                <w:szCs w:val="22"/>
              </w:rPr>
              <w:t>1.8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Co-Employee Liability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w:t>
            </w:r>
            <w:r w:rsidR="00EE58E9" w:rsidRPr="00EE58E9">
              <w:rPr>
                <w:noProof/>
                <w:webHidden/>
                <w:sz w:val="22"/>
                <w:szCs w:val="22"/>
              </w:rPr>
              <w:fldChar w:fldCharType="end"/>
            </w:r>
          </w:hyperlink>
        </w:p>
        <w:p w14:paraId="695A928E" w14:textId="3AB81A49" w:rsidR="00EE58E9" w:rsidRPr="00EE58E9" w:rsidRDefault="00E655A9" w:rsidP="00EE58E9">
          <w:pPr>
            <w:pStyle w:val="TOC1"/>
            <w:rPr>
              <w:rFonts w:asciiTheme="minorHAnsi" w:eastAsiaTheme="minorEastAsia" w:hAnsiTheme="minorHAnsi" w:cstheme="minorBidi"/>
            </w:rPr>
          </w:pPr>
          <w:hyperlink w:anchor="_Toc75269343" w:history="1">
            <w:r w:rsidR="00EE58E9" w:rsidRPr="00EE58E9">
              <w:rPr>
                <w:rStyle w:val="Hyperlink"/>
              </w:rPr>
              <w:t>2</w:t>
            </w:r>
            <w:r w:rsidR="00EE58E9" w:rsidRPr="00EE58E9">
              <w:rPr>
                <w:rFonts w:asciiTheme="minorHAnsi" w:eastAsiaTheme="minorEastAsia" w:hAnsiTheme="minorHAnsi" w:cstheme="minorBidi"/>
              </w:rPr>
              <w:tab/>
            </w:r>
            <w:r w:rsidR="00EE58E9" w:rsidRPr="00EE58E9">
              <w:rPr>
                <w:rStyle w:val="Hyperlink"/>
              </w:rPr>
              <w:t>PERSONS COVERED BY THE WYOMING WORKERS’ COMPENSATION ACT</w:t>
            </w:r>
            <w:r w:rsidR="00EE58E9" w:rsidRPr="00EE58E9">
              <w:rPr>
                <w:webHidden/>
              </w:rPr>
              <w:tab/>
            </w:r>
            <w:r w:rsidR="00EE58E9" w:rsidRPr="00EE58E9">
              <w:rPr>
                <w:webHidden/>
              </w:rPr>
              <w:fldChar w:fldCharType="begin"/>
            </w:r>
            <w:r w:rsidR="00EE58E9" w:rsidRPr="00EE58E9">
              <w:rPr>
                <w:webHidden/>
              </w:rPr>
              <w:instrText xml:space="preserve"> PAGEREF _Toc75269343 \h </w:instrText>
            </w:r>
            <w:r w:rsidR="00EE58E9" w:rsidRPr="00EE58E9">
              <w:rPr>
                <w:webHidden/>
              </w:rPr>
            </w:r>
            <w:r w:rsidR="00EE58E9" w:rsidRPr="00EE58E9">
              <w:rPr>
                <w:webHidden/>
              </w:rPr>
              <w:fldChar w:fldCharType="separate"/>
            </w:r>
            <w:r w:rsidR="00587001">
              <w:rPr>
                <w:webHidden/>
              </w:rPr>
              <w:t>16</w:t>
            </w:r>
            <w:r w:rsidR="00EE58E9" w:rsidRPr="00EE58E9">
              <w:rPr>
                <w:webHidden/>
              </w:rPr>
              <w:fldChar w:fldCharType="end"/>
            </w:r>
          </w:hyperlink>
        </w:p>
        <w:p w14:paraId="52B5498C" w14:textId="6431E15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4" w:history="1">
            <w:r w:rsidR="00EE58E9" w:rsidRPr="00EE58E9">
              <w:rPr>
                <w:rStyle w:val="Hyperlink"/>
                <w:rFonts w:ascii="Times New Roman" w:hAnsi="Times New Roman" w:cs="Times New Roman"/>
                <w:noProof/>
                <w:sz w:val="22"/>
                <w:szCs w:val="22"/>
              </w:rPr>
              <w:t>2.1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Who is an Employee?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16</w:t>
            </w:r>
            <w:r w:rsidR="00EE58E9" w:rsidRPr="00EE58E9">
              <w:rPr>
                <w:noProof/>
                <w:webHidden/>
                <w:sz w:val="22"/>
                <w:szCs w:val="22"/>
              </w:rPr>
              <w:fldChar w:fldCharType="end"/>
            </w:r>
          </w:hyperlink>
        </w:p>
        <w:p w14:paraId="0FD35249" w14:textId="32CFB03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5" w:history="1">
            <w:r w:rsidR="00EE58E9" w:rsidRPr="00EE58E9">
              <w:rPr>
                <w:rStyle w:val="Hyperlink"/>
                <w:rFonts w:ascii="Times New Roman" w:hAnsi="Times New Roman" w:cs="Times New Roman"/>
                <w:noProof/>
                <w:sz w:val="22"/>
                <w:szCs w:val="22"/>
              </w:rPr>
              <w:t>2.2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Who is an Employee Under the Wyoming Workers’ Compensation Act?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16</w:t>
            </w:r>
            <w:r w:rsidR="00EE58E9" w:rsidRPr="00EE58E9">
              <w:rPr>
                <w:noProof/>
                <w:webHidden/>
                <w:sz w:val="22"/>
                <w:szCs w:val="22"/>
              </w:rPr>
              <w:fldChar w:fldCharType="end"/>
            </w:r>
          </w:hyperlink>
        </w:p>
        <w:p w14:paraId="39086681" w14:textId="3B89582B"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6" w:history="1">
            <w:r w:rsidR="00EE58E9" w:rsidRPr="00EE58E9">
              <w:rPr>
                <w:rStyle w:val="Hyperlink"/>
                <w:rFonts w:ascii="Times New Roman" w:hAnsi="Times New Roman" w:cs="Times New Roman"/>
                <w:noProof/>
                <w:sz w:val="22"/>
                <w:szCs w:val="22"/>
              </w:rPr>
              <w:t>2.3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Undocumented Workers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19</w:t>
            </w:r>
            <w:r w:rsidR="00EE58E9" w:rsidRPr="00EE58E9">
              <w:rPr>
                <w:noProof/>
                <w:webHidden/>
                <w:sz w:val="22"/>
                <w:szCs w:val="22"/>
              </w:rPr>
              <w:fldChar w:fldCharType="end"/>
            </w:r>
          </w:hyperlink>
        </w:p>
        <w:p w14:paraId="12512E3F" w14:textId="1CA06591"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7" w:history="1">
            <w:r w:rsidR="00EE58E9" w:rsidRPr="00EE58E9">
              <w:rPr>
                <w:rStyle w:val="Hyperlink"/>
                <w:rFonts w:ascii="Times New Roman" w:hAnsi="Times New Roman" w:cs="Times New Roman"/>
                <w:noProof/>
                <w:sz w:val="22"/>
                <w:szCs w:val="22"/>
              </w:rPr>
              <w:t>2.4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Extraterritoriality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22</w:t>
            </w:r>
            <w:r w:rsidR="00EE58E9" w:rsidRPr="00EE58E9">
              <w:rPr>
                <w:noProof/>
                <w:webHidden/>
                <w:sz w:val="22"/>
                <w:szCs w:val="22"/>
              </w:rPr>
              <w:fldChar w:fldCharType="end"/>
            </w:r>
          </w:hyperlink>
        </w:p>
        <w:p w14:paraId="4F67D006" w14:textId="52BC491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8" w:history="1">
            <w:r w:rsidR="00EE58E9" w:rsidRPr="00EE58E9">
              <w:rPr>
                <w:rStyle w:val="Hyperlink"/>
                <w:rFonts w:ascii="Times New Roman" w:hAnsi="Times New Roman" w:cs="Times New Roman"/>
                <w:noProof/>
                <w:sz w:val="22"/>
                <w:szCs w:val="22"/>
              </w:rPr>
              <w:t>2.5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Joint Employee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22</w:t>
            </w:r>
            <w:r w:rsidR="00EE58E9" w:rsidRPr="00EE58E9">
              <w:rPr>
                <w:noProof/>
                <w:webHidden/>
                <w:sz w:val="22"/>
                <w:szCs w:val="22"/>
              </w:rPr>
              <w:fldChar w:fldCharType="end"/>
            </w:r>
          </w:hyperlink>
        </w:p>
        <w:p w14:paraId="5CA4454D" w14:textId="4947653E"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49" w:history="1">
            <w:r w:rsidR="00EE58E9" w:rsidRPr="00EE58E9">
              <w:rPr>
                <w:rStyle w:val="Hyperlink"/>
                <w:rFonts w:ascii="Times New Roman" w:hAnsi="Times New Roman" w:cs="Times New Roman"/>
                <w:noProof/>
                <w:sz w:val="22"/>
                <w:szCs w:val="22"/>
              </w:rPr>
              <w:t>2.6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Employee Definitions Not Interchangeable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_Toc75269349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22</w:t>
            </w:r>
            <w:r w:rsidR="00EE58E9" w:rsidRPr="00EE58E9">
              <w:rPr>
                <w:noProof/>
                <w:webHidden/>
                <w:sz w:val="22"/>
                <w:szCs w:val="22"/>
              </w:rPr>
              <w:fldChar w:fldCharType="end"/>
            </w:r>
          </w:hyperlink>
        </w:p>
        <w:p w14:paraId="250393FC" w14:textId="54F2046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0" w:history="1">
            <w:r w:rsidR="00EE58E9" w:rsidRPr="00EE58E9">
              <w:rPr>
                <w:rStyle w:val="Hyperlink"/>
                <w:rFonts w:ascii="Times New Roman" w:hAnsi="Times New Roman" w:cs="Times New Roman"/>
                <w:noProof/>
                <w:sz w:val="22"/>
                <w:szCs w:val="22"/>
              </w:rPr>
              <w:t>2.7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 Independent Contractor Law</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23</w:t>
            </w:r>
            <w:r w:rsidR="00EE58E9" w:rsidRPr="00EE58E9">
              <w:rPr>
                <w:noProof/>
                <w:webHidden/>
                <w:sz w:val="22"/>
                <w:szCs w:val="22"/>
              </w:rPr>
              <w:fldChar w:fldCharType="end"/>
            </w:r>
          </w:hyperlink>
        </w:p>
        <w:p w14:paraId="1550EB70" w14:textId="7A1F5B5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1" w:history="1">
            <w:r w:rsidR="00EE58E9" w:rsidRPr="00EE58E9">
              <w:rPr>
                <w:rStyle w:val="Hyperlink"/>
                <w:rFonts w:ascii="Times New Roman" w:hAnsi="Times New Roman" w:cs="Times New Roman"/>
                <w:noProof/>
                <w:sz w:val="22"/>
                <w:szCs w:val="22"/>
              </w:rPr>
              <w:t>2.8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Tort Law versus Workers’ Compensation Law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26</w:t>
            </w:r>
            <w:r w:rsidR="00EE58E9" w:rsidRPr="00EE58E9">
              <w:rPr>
                <w:noProof/>
                <w:webHidden/>
                <w:sz w:val="22"/>
                <w:szCs w:val="22"/>
              </w:rPr>
              <w:fldChar w:fldCharType="end"/>
            </w:r>
          </w:hyperlink>
        </w:p>
        <w:p w14:paraId="5C64E6B3" w14:textId="6CD0DC81"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2" w:history="1">
            <w:r w:rsidR="00EE58E9" w:rsidRPr="00EE58E9">
              <w:rPr>
                <w:rStyle w:val="Hyperlink"/>
                <w:rFonts w:ascii="Times New Roman" w:hAnsi="Times New Roman" w:cs="Times New Roman"/>
                <w:noProof/>
                <w:sz w:val="22"/>
                <w:szCs w:val="22"/>
              </w:rPr>
              <w:t>2.9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Restatement Second of Agency Test (National)</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26</w:t>
            </w:r>
            <w:r w:rsidR="00EE58E9" w:rsidRPr="00EE58E9">
              <w:rPr>
                <w:noProof/>
                <w:webHidden/>
                <w:sz w:val="22"/>
                <w:szCs w:val="22"/>
              </w:rPr>
              <w:fldChar w:fldCharType="end"/>
            </w:r>
          </w:hyperlink>
        </w:p>
        <w:p w14:paraId="25F35804" w14:textId="05AD3F5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3" w:history="1">
            <w:r w:rsidR="00EE58E9" w:rsidRPr="00EE58E9">
              <w:rPr>
                <w:rStyle w:val="Hyperlink"/>
                <w:rFonts w:ascii="Times New Roman" w:hAnsi="Times New Roman" w:cs="Times New Roman"/>
                <w:noProof/>
                <w:sz w:val="22"/>
                <w:szCs w:val="22"/>
              </w:rPr>
              <w:t>2.10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National Flurry of “Gig Laws” in 2018</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28</w:t>
            </w:r>
            <w:r w:rsidR="00EE58E9" w:rsidRPr="00EE58E9">
              <w:rPr>
                <w:noProof/>
                <w:webHidden/>
                <w:sz w:val="22"/>
                <w:szCs w:val="22"/>
              </w:rPr>
              <w:fldChar w:fldCharType="end"/>
            </w:r>
          </w:hyperlink>
        </w:p>
        <w:p w14:paraId="03845604" w14:textId="261793B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4" w:history="1">
            <w:r w:rsidR="00EE58E9" w:rsidRPr="00EE58E9">
              <w:rPr>
                <w:rStyle w:val="Hyperlink"/>
                <w:rFonts w:ascii="Times New Roman" w:hAnsi="Times New Roman" w:cs="Times New Roman"/>
                <w:noProof/>
                <w:sz w:val="22"/>
                <w:szCs w:val="22"/>
              </w:rPr>
              <w:t>2.11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ABC Approach (National)</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30</w:t>
            </w:r>
            <w:r w:rsidR="00EE58E9" w:rsidRPr="00EE58E9">
              <w:rPr>
                <w:noProof/>
                <w:webHidden/>
                <w:sz w:val="22"/>
                <w:szCs w:val="22"/>
              </w:rPr>
              <w:fldChar w:fldCharType="end"/>
            </w:r>
          </w:hyperlink>
        </w:p>
        <w:p w14:paraId="06E492A6" w14:textId="0F78EBC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5" w:history="1">
            <w:r w:rsidR="00EE58E9" w:rsidRPr="00EE58E9">
              <w:rPr>
                <w:rStyle w:val="Hyperlink"/>
                <w:rFonts w:ascii="Times New Roman" w:hAnsi="Times New Roman" w:cs="Times New Roman"/>
                <w:noProof/>
                <w:sz w:val="22"/>
                <w:szCs w:val="22"/>
              </w:rPr>
              <w:t>2.12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Who is an Employer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31</w:t>
            </w:r>
            <w:r w:rsidR="00EE58E9" w:rsidRPr="00EE58E9">
              <w:rPr>
                <w:noProof/>
                <w:webHidden/>
                <w:sz w:val="22"/>
                <w:szCs w:val="22"/>
              </w:rPr>
              <w:fldChar w:fldCharType="end"/>
            </w:r>
          </w:hyperlink>
        </w:p>
        <w:p w14:paraId="09DAB0D1" w14:textId="0649539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6" w:history="1">
            <w:r w:rsidR="00EE58E9" w:rsidRPr="00EE58E9">
              <w:rPr>
                <w:rStyle w:val="Hyperlink"/>
                <w:rFonts w:ascii="Times New Roman" w:hAnsi="Times New Roman" w:cs="Times New Roman"/>
                <w:noProof/>
                <w:sz w:val="22"/>
                <w:szCs w:val="22"/>
              </w:rPr>
              <w:t>2.13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Wyoming-Specific Employer Inclusions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32</w:t>
            </w:r>
            <w:r w:rsidR="00EE58E9" w:rsidRPr="00EE58E9">
              <w:rPr>
                <w:noProof/>
                <w:webHidden/>
                <w:sz w:val="22"/>
                <w:szCs w:val="22"/>
              </w:rPr>
              <w:fldChar w:fldCharType="end"/>
            </w:r>
          </w:hyperlink>
        </w:p>
        <w:p w14:paraId="25BDF27B" w14:textId="3725DC2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7" w:history="1">
            <w:r w:rsidR="00EE58E9" w:rsidRPr="00EE58E9">
              <w:rPr>
                <w:rStyle w:val="Hyperlink"/>
                <w:rFonts w:ascii="Times New Roman" w:hAnsi="Times New Roman" w:cs="Times New Roman"/>
                <w:noProof/>
                <w:sz w:val="22"/>
                <w:szCs w:val="22"/>
              </w:rPr>
              <w:t>2.14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Employers in Wyoming Sometimes Not Specifically Defined</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33</w:t>
            </w:r>
            <w:r w:rsidR="00EE58E9" w:rsidRPr="00EE58E9">
              <w:rPr>
                <w:noProof/>
                <w:webHidden/>
                <w:sz w:val="22"/>
                <w:szCs w:val="22"/>
              </w:rPr>
              <w:fldChar w:fldCharType="end"/>
            </w:r>
          </w:hyperlink>
        </w:p>
        <w:p w14:paraId="030C2723" w14:textId="4AF9E093"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8" w:history="1">
            <w:r w:rsidR="00EE58E9" w:rsidRPr="00EE58E9">
              <w:rPr>
                <w:rStyle w:val="Hyperlink"/>
                <w:rFonts w:ascii="Times New Roman" w:hAnsi="Times New Roman" w:cs="Times New Roman"/>
                <w:noProof/>
                <w:sz w:val="22"/>
                <w:szCs w:val="22"/>
              </w:rPr>
              <w:t>2.15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Contract of Hire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33</w:t>
            </w:r>
            <w:r w:rsidR="00EE58E9" w:rsidRPr="00EE58E9">
              <w:rPr>
                <w:noProof/>
                <w:webHidden/>
                <w:sz w:val="22"/>
                <w:szCs w:val="22"/>
              </w:rPr>
              <w:fldChar w:fldCharType="end"/>
            </w:r>
          </w:hyperlink>
        </w:p>
        <w:p w14:paraId="04462403" w14:textId="1C6DFC8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59" w:history="1">
            <w:r w:rsidR="00EE58E9" w:rsidRPr="00EE58E9">
              <w:rPr>
                <w:rStyle w:val="Hyperlink"/>
                <w:rFonts w:ascii="Times New Roman" w:hAnsi="Times New Roman" w:cs="Times New Roman"/>
                <w:noProof/>
                <w:sz w:val="22"/>
                <w:szCs w:val="22"/>
              </w:rPr>
              <w:t>2.16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Joint Employer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_Toc75269359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33</w:t>
            </w:r>
            <w:r w:rsidR="00EE58E9" w:rsidRPr="00EE58E9">
              <w:rPr>
                <w:noProof/>
                <w:webHidden/>
                <w:sz w:val="22"/>
                <w:szCs w:val="22"/>
              </w:rPr>
              <w:fldChar w:fldCharType="end"/>
            </w:r>
          </w:hyperlink>
        </w:p>
        <w:p w14:paraId="11E046B6" w14:textId="154DCC8B"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0" w:history="1">
            <w:r w:rsidR="00EE58E9" w:rsidRPr="00EE58E9">
              <w:rPr>
                <w:rStyle w:val="Hyperlink"/>
                <w:rFonts w:ascii="Times New Roman" w:hAnsi="Times New Roman" w:cs="Times New Roman"/>
                <w:noProof/>
                <w:sz w:val="22"/>
                <w:szCs w:val="22"/>
              </w:rPr>
              <w:t>2.17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Extrahazardous Employment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35</w:t>
            </w:r>
            <w:r w:rsidR="00EE58E9" w:rsidRPr="00EE58E9">
              <w:rPr>
                <w:noProof/>
                <w:webHidden/>
                <w:sz w:val="22"/>
                <w:szCs w:val="22"/>
              </w:rPr>
              <w:fldChar w:fldCharType="end"/>
            </w:r>
          </w:hyperlink>
        </w:p>
        <w:p w14:paraId="64056063" w14:textId="4E3817D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1" w:history="1">
            <w:r w:rsidR="00EE58E9" w:rsidRPr="00EE58E9">
              <w:rPr>
                <w:rStyle w:val="Hyperlink"/>
                <w:rFonts w:ascii="Times New Roman" w:hAnsi="Times New Roman" w:cs="Times New Roman"/>
                <w:noProof/>
                <w:sz w:val="22"/>
                <w:szCs w:val="22"/>
              </w:rPr>
              <w:t>2.18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National History of Extrahazardous Statutes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35</w:t>
            </w:r>
            <w:r w:rsidR="00EE58E9" w:rsidRPr="00EE58E9">
              <w:rPr>
                <w:noProof/>
                <w:webHidden/>
                <w:sz w:val="22"/>
                <w:szCs w:val="22"/>
              </w:rPr>
              <w:fldChar w:fldCharType="end"/>
            </w:r>
          </w:hyperlink>
        </w:p>
        <w:p w14:paraId="3D4FB455" w14:textId="20DD197E"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2" w:history="1">
            <w:r w:rsidR="00EE58E9" w:rsidRPr="00EE58E9">
              <w:rPr>
                <w:rStyle w:val="Hyperlink"/>
                <w:rFonts w:ascii="Times New Roman" w:hAnsi="Times New Roman" w:cs="Times New Roman"/>
                <w:noProof/>
                <w:sz w:val="22"/>
                <w:szCs w:val="22"/>
              </w:rPr>
              <w:t>2.19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Wyoming’s Retention of Extrahazardous Concept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35</w:t>
            </w:r>
            <w:r w:rsidR="00EE58E9" w:rsidRPr="00EE58E9">
              <w:rPr>
                <w:noProof/>
                <w:webHidden/>
                <w:sz w:val="22"/>
                <w:szCs w:val="22"/>
              </w:rPr>
              <w:fldChar w:fldCharType="end"/>
            </w:r>
          </w:hyperlink>
        </w:p>
        <w:p w14:paraId="35C5F480" w14:textId="59D73B9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3" w:history="1">
            <w:r w:rsidR="00EE58E9" w:rsidRPr="00EE58E9">
              <w:rPr>
                <w:rStyle w:val="Hyperlink"/>
                <w:rFonts w:ascii="Times New Roman" w:hAnsi="Times New Roman" w:cs="Times New Roman"/>
                <w:noProof/>
                <w:sz w:val="22"/>
                <w:szCs w:val="22"/>
              </w:rPr>
              <w:t>2.20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 Extrahazardous Employment Structure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36</w:t>
            </w:r>
            <w:r w:rsidR="00EE58E9" w:rsidRPr="00EE58E9">
              <w:rPr>
                <w:noProof/>
                <w:webHidden/>
                <w:sz w:val="22"/>
                <w:szCs w:val="22"/>
              </w:rPr>
              <w:fldChar w:fldCharType="end"/>
            </w:r>
          </w:hyperlink>
        </w:p>
        <w:p w14:paraId="0641A141" w14:textId="2ED0391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4" w:history="1">
            <w:r w:rsidR="00EE58E9" w:rsidRPr="00EE58E9">
              <w:rPr>
                <w:rStyle w:val="Hyperlink"/>
                <w:rFonts w:ascii="Times New Roman" w:hAnsi="Times New Roman" w:cs="Times New Roman"/>
                <w:noProof/>
                <w:sz w:val="22"/>
                <w:szCs w:val="22"/>
              </w:rPr>
              <w:t>2.21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Discussion of Extrahazardous Employment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37</w:t>
            </w:r>
            <w:r w:rsidR="00EE58E9" w:rsidRPr="00EE58E9">
              <w:rPr>
                <w:noProof/>
                <w:webHidden/>
                <w:sz w:val="22"/>
                <w:szCs w:val="22"/>
              </w:rPr>
              <w:fldChar w:fldCharType="end"/>
            </w:r>
          </w:hyperlink>
        </w:p>
        <w:p w14:paraId="1ED3EA6B" w14:textId="35CF3A03" w:rsidR="00EE58E9" w:rsidRPr="00EE58E9" w:rsidRDefault="00E655A9" w:rsidP="00EE58E9">
          <w:pPr>
            <w:pStyle w:val="TOC1"/>
            <w:rPr>
              <w:rFonts w:asciiTheme="minorHAnsi" w:eastAsiaTheme="minorEastAsia" w:hAnsiTheme="minorHAnsi" w:cstheme="minorBidi"/>
            </w:rPr>
          </w:pPr>
          <w:hyperlink w:anchor="_Toc75269365" w:history="1">
            <w:r w:rsidR="00EE58E9" w:rsidRPr="00EE58E9">
              <w:rPr>
                <w:rStyle w:val="Hyperlink"/>
              </w:rPr>
              <w:t>3</w:t>
            </w:r>
            <w:r w:rsidR="00EE58E9" w:rsidRPr="00EE58E9">
              <w:rPr>
                <w:rFonts w:asciiTheme="minorHAnsi" w:eastAsiaTheme="minorEastAsia" w:hAnsiTheme="minorHAnsi" w:cstheme="minorBidi"/>
              </w:rPr>
              <w:tab/>
            </w:r>
            <w:r w:rsidR="00EE58E9" w:rsidRPr="00EE58E9">
              <w:rPr>
                <w:rStyle w:val="Hyperlink"/>
              </w:rPr>
              <w:t>WHAT IS COVERED BY WORKERS’ COMPENSATION?</w:t>
            </w:r>
            <w:r w:rsidR="00EE58E9" w:rsidRPr="00EE58E9">
              <w:rPr>
                <w:webHidden/>
              </w:rPr>
              <w:tab/>
            </w:r>
            <w:r w:rsidR="00EE58E9" w:rsidRPr="00EE58E9">
              <w:rPr>
                <w:webHidden/>
              </w:rPr>
              <w:fldChar w:fldCharType="begin"/>
            </w:r>
            <w:r w:rsidR="00EE58E9" w:rsidRPr="00EE58E9">
              <w:rPr>
                <w:webHidden/>
              </w:rPr>
              <w:instrText xml:space="preserve"> PAGEREF _Toc75269365 \h </w:instrText>
            </w:r>
            <w:r w:rsidR="00EE58E9" w:rsidRPr="00EE58E9">
              <w:rPr>
                <w:webHidden/>
              </w:rPr>
            </w:r>
            <w:r w:rsidR="00EE58E9" w:rsidRPr="00EE58E9">
              <w:rPr>
                <w:webHidden/>
              </w:rPr>
              <w:fldChar w:fldCharType="separate"/>
            </w:r>
            <w:r w:rsidR="00587001">
              <w:rPr>
                <w:webHidden/>
              </w:rPr>
              <w:t>41</w:t>
            </w:r>
            <w:r w:rsidR="00EE58E9" w:rsidRPr="00EE58E9">
              <w:rPr>
                <w:webHidden/>
              </w:rPr>
              <w:fldChar w:fldCharType="end"/>
            </w:r>
          </w:hyperlink>
        </w:p>
        <w:p w14:paraId="42D4E05D" w14:textId="6C241E82"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6" w:history="1">
            <w:r w:rsidR="00EE58E9" w:rsidRPr="00EE58E9">
              <w:rPr>
                <w:rStyle w:val="Hyperlink"/>
                <w:rFonts w:ascii="Times New Roman" w:hAnsi="Times New Roman" w:cs="Times New Roman"/>
                <w:noProof/>
                <w:sz w:val="22"/>
                <w:szCs w:val="22"/>
              </w:rPr>
              <w:t>3.1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Workers’ Compensation Coverage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41</w:t>
            </w:r>
            <w:r w:rsidR="00EE58E9" w:rsidRPr="00EE58E9">
              <w:rPr>
                <w:noProof/>
                <w:webHidden/>
                <w:sz w:val="22"/>
                <w:szCs w:val="22"/>
              </w:rPr>
              <w:fldChar w:fldCharType="end"/>
            </w:r>
          </w:hyperlink>
        </w:p>
        <w:p w14:paraId="7BB03349" w14:textId="3C90CC0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7" w:history="1">
            <w:r w:rsidR="00EE58E9" w:rsidRPr="00EE58E9">
              <w:rPr>
                <w:rStyle w:val="Hyperlink"/>
                <w:rFonts w:ascii="Times New Roman" w:hAnsi="Times New Roman" w:cs="Times New Roman"/>
                <w:noProof/>
                <w:sz w:val="22"/>
                <w:szCs w:val="22"/>
              </w:rPr>
              <w:t>3.2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 xml:space="preserve">“Arising Out </w:t>
            </w:r>
            <w:r w:rsidR="00CD3276">
              <w:rPr>
                <w:rStyle w:val="Hyperlink"/>
                <w:rFonts w:ascii="Times New Roman" w:hAnsi="Times New Roman" w:cs="Times New Roman"/>
                <w:noProof/>
                <w:sz w:val="22"/>
                <w:szCs w:val="22"/>
              </w:rPr>
              <w:t>O</w:t>
            </w:r>
            <w:r w:rsidR="00EE58E9" w:rsidRPr="00EE58E9">
              <w:rPr>
                <w:rStyle w:val="Hyperlink"/>
                <w:rFonts w:ascii="Times New Roman" w:hAnsi="Times New Roman" w:cs="Times New Roman"/>
                <w:noProof/>
                <w:sz w:val="22"/>
                <w:szCs w:val="22"/>
              </w:rPr>
              <w:t>f”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41</w:t>
            </w:r>
            <w:r w:rsidR="00EE58E9" w:rsidRPr="00EE58E9">
              <w:rPr>
                <w:noProof/>
                <w:webHidden/>
                <w:sz w:val="22"/>
                <w:szCs w:val="22"/>
              </w:rPr>
              <w:fldChar w:fldCharType="end"/>
            </w:r>
          </w:hyperlink>
        </w:p>
        <w:p w14:paraId="31AC801D" w14:textId="00C15A9E"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8" w:history="1">
            <w:r w:rsidR="00EE58E9" w:rsidRPr="00EE58E9">
              <w:rPr>
                <w:rStyle w:val="Hyperlink"/>
                <w:rFonts w:ascii="Times New Roman" w:hAnsi="Times New Roman" w:cs="Times New Roman"/>
                <w:noProof/>
                <w:sz w:val="22"/>
                <w:szCs w:val="22"/>
              </w:rPr>
              <w:t>3.3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 xml:space="preserve">“Arising Out </w:t>
            </w:r>
            <w:r w:rsidR="00CD3276">
              <w:rPr>
                <w:rStyle w:val="Hyperlink"/>
                <w:rFonts w:ascii="Times New Roman" w:hAnsi="Times New Roman" w:cs="Times New Roman"/>
                <w:noProof/>
                <w:sz w:val="22"/>
                <w:szCs w:val="22"/>
              </w:rPr>
              <w:t>O</w:t>
            </w:r>
            <w:r w:rsidR="00EE58E9" w:rsidRPr="00EE58E9">
              <w:rPr>
                <w:rStyle w:val="Hyperlink"/>
                <w:rFonts w:ascii="Times New Roman" w:hAnsi="Times New Roman" w:cs="Times New Roman"/>
                <w:noProof/>
                <w:sz w:val="22"/>
                <w:szCs w:val="22"/>
              </w:rPr>
              <w:t>f”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42</w:t>
            </w:r>
            <w:r w:rsidR="00EE58E9" w:rsidRPr="00EE58E9">
              <w:rPr>
                <w:noProof/>
                <w:webHidden/>
                <w:sz w:val="22"/>
                <w:szCs w:val="22"/>
              </w:rPr>
              <w:fldChar w:fldCharType="end"/>
            </w:r>
          </w:hyperlink>
        </w:p>
        <w:p w14:paraId="41BBB778" w14:textId="58602A2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69" w:history="1">
            <w:r w:rsidR="00EE58E9" w:rsidRPr="00EE58E9">
              <w:rPr>
                <w:rStyle w:val="Hyperlink"/>
                <w:rFonts w:ascii="Times New Roman" w:hAnsi="Times New Roman" w:cs="Times New Roman"/>
                <w:noProof/>
                <w:sz w:val="22"/>
                <w:szCs w:val="22"/>
              </w:rPr>
              <w:t>3.4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Miscellaneous Increased Risk “Arising Out Of”  Rules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_Toc75269369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46</w:t>
            </w:r>
            <w:r w:rsidR="00EE58E9" w:rsidRPr="00EE58E9">
              <w:rPr>
                <w:noProof/>
                <w:webHidden/>
                <w:sz w:val="22"/>
                <w:szCs w:val="22"/>
              </w:rPr>
              <w:fldChar w:fldCharType="end"/>
            </w:r>
          </w:hyperlink>
        </w:p>
        <w:p w14:paraId="597A55C0" w14:textId="66E9587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0" w:history="1">
            <w:r w:rsidR="00EE58E9" w:rsidRPr="00EE58E9">
              <w:rPr>
                <w:rStyle w:val="Hyperlink"/>
                <w:rFonts w:ascii="Times New Roman" w:hAnsi="Times New Roman" w:cs="Times New Roman"/>
                <w:noProof/>
                <w:sz w:val="22"/>
                <w:szCs w:val="22"/>
              </w:rPr>
              <w:t>3.5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Cumulative Injuries, Heart Attacks, and Herniation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47</w:t>
            </w:r>
            <w:r w:rsidR="00EE58E9" w:rsidRPr="00EE58E9">
              <w:rPr>
                <w:noProof/>
                <w:webHidden/>
                <w:sz w:val="22"/>
                <w:szCs w:val="22"/>
              </w:rPr>
              <w:fldChar w:fldCharType="end"/>
            </w:r>
          </w:hyperlink>
        </w:p>
        <w:p w14:paraId="45389AD0" w14:textId="3CB3C25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1" w:history="1">
            <w:r w:rsidR="00EE58E9" w:rsidRPr="00EE58E9">
              <w:rPr>
                <w:rStyle w:val="Hyperlink"/>
                <w:rFonts w:ascii="Times New Roman" w:hAnsi="Times New Roman" w:cs="Times New Roman"/>
                <w:noProof/>
                <w:sz w:val="22"/>
                <w:szCs w:val="22"/>
              </w:rPr>
              <w:t>3.6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Injuries Which Occur “Over a Substantial Period of Time”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47</w:t>
            </w:r>
            <w:r w:rsidR="00EE58E9" w:rsidRPr="00EE58E9">
              <w:rPr>
                <w:noProof/>
                <w:webHidden/>
                <w:sz w:val="22"/>
                <w:szCs w:val="22"/>
              </w:rPr>
              <w:fldChar w:fldCharType="end"/>
            </w:r>
          </w:hyperlink>
        </w:p>
        <w:p w14:paraId="27980544" w14:textId="792D30F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2" w:history="1">
            <w:r w:rsidR="00EE58E9" w:rsidRPr="00EE58E9">
              <w:rPr>
                <w:rStyle w:val="Hyperlink"/>
                <w:rFonts w:ascii="Times New Roman" w:hAnsi="Times New Roman" w:cs="Times New Roman"/>
                <w:noProof/>
                <w:sz w:val="22"/>
                <w:szCs w:val="22"/>
              </w:rPr>
              <w:t>3.7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Coronary Conditions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49</w:t>
            </w:r>
            <w:r w:rsidR="00EE58E9" w:rsidRPr="00EE58E9">
              <w:rPr>
                <w:noProof/>
                <w:webHidden/>
                <w:sz w:val="22"/>
                <w:szCs w:val="22"/>
              </w:rPr>
              <w:fldChar w:fldCharType="end"/>
            </w:r>
          </w:hyperlink>
        </w:p>
        <w:p w14:paraId="0E0EC42B" w14:textId="12BC2A9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3" w:history="1">
            <w:r w:rsidR="00EE58E9" w:rsidRPr="00EE58E9">
              <w:rPr>
                <w:rStyle w:val="Hyperlink"/>
                <w:rFonts w:ascii="Times New Roman" w:hAnsi="Times New Roman" w:cs="Times New Roman"/>
                <w:noProof/>
                <w:sz w:val="22"/>
                <w:szCs w:val="22"/>
              </w:rPr>
              <w:t>3.8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Hernia Injuries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51</w:t>
            </w:r>
            <w:r w:rsidR="00EE58E9" w:rsidRPr="00EE58E9">
              <w:rPr>
                <w:noProof/>
                <w:webHidden/>
                <w:sz w:val="22"/>
                <w:szCs w:val="22"/>
              </w:rPr>
              <w:fldChar w:fldCharType="end"/>
            </w:r>
          </w:hyperlink>
        </w:p>
        <w:p w14:paraId="67885D84" w14:textId="32B1E12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4" w:history="1">
            <w:r w:rsidR="00EE58E9" w:rsidRPr="00EE58E9">
              <w:rPr>
                <w:rStyle w:val="Hyperlink"/>
                <w:rFonts w:ascii="Times New Roman" w:hAnsi="Times New Roman" w:cs="Times New Roman"/>
                <w:noProof/>
                <w:sz w:val="22"/>
                <w:szCs w:val="22"/>
              </w:rPr>
              <w:t>3.9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Preexisting Conditions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53</w:t>
            </w:r>
            <w:r w:rsidR="00EE58E9" w:rsidRPr="00EE58E9">
              <w:rPr>
                <w:noProof/>
                <w:webHidden/>
                <w:sz w:val="22"/>
                <w:szCs w:val="22"/>
              </w:rPr>
              <w:fldChar w:fldCharType="end"/>
            </w:r>
          </w:hyperlink>
        </w:p>
        <w:p w14:paraId="75787E1F" w14:textId="391E3979"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5" w:history="1">
            <w:r w:rsidR="00EE58E9" w:rsidRPr="00EE58E9">
              <w:rPr>
                <w:rStyle w:val="Hyperlink"/>
                <w:rFonts w:ascii="Times New Roman" w:hAnsi="Times New Roman" w:cs="Times New Roman"/>
                <w:noProof/>
                <w:sz w:val="22"/>
                <w:szCs w:val="22"/>
              </w:rPr>
              <w:t>3.10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Second Compensable Injuries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54</w:t>
            </w:r>
            <w:r w:rsidR="00EE58E9" w:rsidRPr="00EE58E9">
              <w:rPr>
                <w:noProof/>
                <w:webHidden/>
                <w:sz w:val="22"/>
                <w:szCs w:val="22"/>
              </w:rPr>
              <w:fldChar w:fldCharType="end"/>
            </w:r>
          </w:hyperlink>
        </w:p>
        <w:p w14:paraId="2A8B5E0E" w14:textId="3F2ACC0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6" w:history="1">
            <w:r w:rsidR="00EE58E9" w:rsidRPr="00EE58E9">
              <w:rPr>
                <w:rStyle w:val="Hyperlink"/>
                <w:rFonts w:ascii="Times New Roman" w:hAnsi="Times New Roman" w:cs="Times New Roman"/>
                <w:noProof/>
                <w:sz w:val="22"/>
                <w:szCs w:val="22"/>
              </w:rPr>
              <w:t>3.11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Occupational Disease Coverage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56</w:t>
            </w:r>
            <w:r w:rsidR="00EE58E9" w:rsidRPr="00EE58E9">
              <w:rPr>
                <w:noProof/>
                <w:webHidden/>
                <w:sz w:val="22"/>
                <w:szCs w:val="22"/>
              </w:rPr>
              <w:fldChar w:fldCharType="end"/>
            </w:r>
          </w:hyperlink>
        </w:p>
        <w:p w14:paraId="3FA3FD0D" w14:textId="5C21DBC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7" w:history="1">
            <w:r w:rsidR="00EE58E9" w:rsidRPr="00EE58E9">
              <w:rPr>
                <w:rStyle w:val="Hyperlink"/>
                <w:rFonts w:ascii="Times New Roman" w:hAnsi="Times New Roman" w:cs="Times New Roman"/>
                <w:noProof/>
                <w:sz w:val="22"/>
                <w:szCs w:val="22"/>
              </w:rPr>
              <w:t>3.12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Mental Injury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59</w:t>
            </w:r>
            <w:r w:rsidR="00EE58E9" w:rsidRPr="00EE58E9">
              <w:rPr>
                <w:noProof/>
                <w:webHidden/>
                <w:sz w:val="22"/>
                <w:szCs w:val="22"/>
              </w:rPr>
              <w:fldChar w:fldCharType="end"/>
            </w:r>
          </w:hyperlink>
        </w:p>
        <w:p w14:paraId="112FBDE2" w14:textId="61D8204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8" w:history="1">
            <w:r w:rsidR="00EE58E9" w:rsidRPr="00EE58E9">
              <w:rPr>
                <w:rStyle w:val="Hyperlink"/>
                <w:rFonts w:ascii="Times New Roman" w:hAnsi="Times New Roman" w:cs="Times New Roman"/>
                <w:noProof/>
                <w:sz w:val="22"/>
                <w:szCs w:val="22"/>
              </w:rPr>
              <w:t>3.13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Idiopathic Falls, Unexplained Falls, and the Premises Rule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61</w:t>
            </w:r>
            <w:r w:rsidR="00EE58E9" w:rsidRPr="00EE58E9">
              <w:rPr>
                <w:noProof/>
                <w:webHidden/>
                <w:sz w:val="22"/>
                <w:szCs w:val="22"/>
              </w:rPr>
              <w:fldChar w:fldCharType="end"/>
            </w:r>
          </w:hyperlink>
        </w:p>
        <w:p w14:paraId="6F9438A0" w14:textId="09F5298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79" w:history="1">
            <w:r w:rsidR="00EE58E9" w:rsidRPr="00EE58E9">
              <w:rPr>
                <w:rStyle w:val="Hyperlink"/>
                <w:rFonts w:ascii="Times New Roman" w:hAnsi="Times New Roman" w:cs="Times New Roman"/>
                <w:noProof/>
                <w:sz w:val="22"/>
                <w:szCs w:val="22"/>
              </w:rPr>
              <w:t>3.14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 the Course of”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_Toc75269379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66</w:t>
            </w:r>
            <w:r w:rsidR="00EE58E9" w:rsidRPr="00EE58E9">
              <w:rPr>
                <w:noProof/>
                <w:webHidden/>
                <w:sz w:val="22"/>
                <w:szCs w:val="22"/>
              </w:rPr>
              <w:fldChar w:fldCharType="end"/>
            </w:r>
          </w:hyperlink>
        </w:p>
        <w:p w14:paraId="244D54CD" w14:textId="4588B4C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0" w:history="1">
            <w:r w:rsidR="00EE58E9" w:rsidRPr="00EE58E9">
              <w:rPr>
                <w:rStyle w:val="Hyperlink"/>
                <w:rFonts w:ascii="Times New Roman" w:hAnsi="Times New Roman" w:cs="Times New Roman"/>
                <w:noProof/>
                <w:sz w:val="22"/>
                <w:szCs w:val="22"/>
              </w:rPr>
              <w:t>3.15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 the Course of” in Wyoming – Time, Place, and Circumstances: Fixed Times and Places of Employment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68</w:t>
            </w:r>
            <w:r w:rsidR="00EE58E9" w:rsidRPr="00EE58E9">
              <w:rPr>
                <w:noProof/>
                <w:webHidden/>
                <w:sz w:val="22"/>
                <w:szCs w:val="22"/>
              </w:rPr>
              <w:fldChar w:fldCharType="end"/>
            </w:r>
          </w:hyperlink>
        </w:p>
        <w:p w14:paraId="45BB0DEB" w14:textId="5017D3D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1" w:history="1">
            <w:r w:rsidR="00EE58E9" w:rsidRPr="00EE58E9">
              <w:rPr>
                <w:rStyle w:val="Hyperlink"/>
                <w:rFonts w:ascii="Times New Roman" w:hAnsi="Times New Roman" w:cs="Times New Roman"/>
                <w:noProof/>
                <w:sz w:val="22"/>
                <w:szCs w:val="22"/>
              </w:rPr>
              <w:t>3.16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 the Course of” in Wyoming – Time, Place, and Circumstances: Travelling Employees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71</w:t>
            </w:r>
            <w:r w:rsidR="00EE58E9" w:rsidRPr="00EE58E9">
              <w:rPr>
                <w:noProof/>
                <w:webHidden/>
                <w:sz w:val="22"/>
                <w:szCs w:val="22"/>
              </w:rPr>
              <w:fldChar w:fldCharType="end"/>
            </w:r>
          </w:hyperlink>
        </w:p>
        <w:p w14:paraId="3411DB38" w14:textId="3FA6DAD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2" w:history="1">
            <w:r w:rsidR="00EE58E9" w:rsidRPr="00EE58E9">
              <w:rPr>
                <w:rStyle w:val="Hyperlink"/>
                <w:rFonts w:ascii="Times New Roman" w:hAnsi="Times New Roman" w:cs="Times New Roman"/>
                <w:noProof/>
                <w:sz w:val="22"/>
                <w:szCs w:val="22"/>
              </w:rPr>
              <w:t>3.17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 the Course of” in Wyoming</w:t>
            </w:r>
            <w:r w:rsidR="00CD3276">
              <w:rPr>
                <w:rStyle w:val="Hyperlink"/>
                <w:rFonts w:ascii="Times New Roman" w:hAnsi="Times New Roman" w:cs="Times New Roman"/>
                <w:noProof/>
                <w:sz w:val="22"/>
                <w:szCs w:val="22"/>
              </w:rPr>
              <w:t xml:space="preserve"> </w:t>
            </w:r>
            <w:r w:rsidR="00CD3276" w:rsidRPr="00CD3276">
              <w:rPr>
                <w:rStyle w:val="Hyperlink"/>
                <w:rFonts w:ascii="Times New Roman" w:hAnsi="Times New Roman" w:cs="Times New Roman"/>
                <w:noProof/>
                <w:sz w:val="22"/>
                <w:szCs w:val="22"/>
              </w:rPr>
              <w:t>–</w:t>
            </w:r>
            <w:r w:rsidR="00CD3276">
              <w:rPr>
                <w:rStyle w:val="Hyperlink"/>
                <w:rFonts w:ascii="Times New Roman" w:hAnsi="Times New Roman" w:cs="Times New Roman"/>
                <w:noProof/>
                <w:sz w:val="22"/>
                <w:szCs w:val="22"/>
              </w:rPr>
              <w:t xml:space="preserve"> </w:t>
            </w:r>
            <w:r w:rsidR="00EE58E9" w:rsidRPr="00EE58E9">
              <w:rPr>
                <w:rStyle w:val="Hyperlink"/>
                <w:rFonts w:ascii="Times New Roman" w:hAnsi="Times New Roman" w:cs="Times New Roman"/>
                <w:noProof/>
                <w:sz w:val="22"/>
                <w:szCs w:val="22"/>
              </w:rPr>
              <w:t>Deviations and Detours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73</w:t>
            </w:r>
            <w:r w:rsidR="00EE58E9" w:rsidRPr="00EE58E9">
              <w:rPr>
                <w:noProof/>
                <w:webHidden/>
                <w:sz w:val="22"/>
                <w:szCs w:val="22"/>
              </w:rPr>
              <w:fldChar w:fldCharType="end"/>
            </w:r>
          </w:hyperlink>
        </w:p>
        <w:p w14:paraId="2C13CDEF" w14:textId="6F47A87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3" w:history="1">
            <w:r w:rsidR="00EE58E9" w:rsidRPr="00EE58E9">
              <w:rPr>
                <w:rStyle w:val="Hyperlink"/>
                <w:rFonts w:ascii="Times New Roman" w:hAnsi="Times New Roman" w:cs="Times New Roman"/>
                <w:noProof/>
                <w:sz w:val="22"/>
                <w:szCs w:val="22"/>
              </w:rPr>
              <w:t>3.18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 the Course of” in Wyoming – Employee Misconduct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75</w:t>
            </w:r>
            <w:r w:rsidR="00EE58E9" w:rsidRPr="00EE58E9">
              <w:rPr>
                <w:noProof/>
                <w:webHidden/>
                <w:sz w:val="22"/>
                <w:szCs w:val="22"/>
              </w:rPr>
              <w:fldChar w:fldCharType="end"/>
            </w:r>
          </w:hyperlink>
        </w:p>
        <w:p w14:paraId="0ED01475" w14:textId="37E37D2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4" w:history="1">
            <w:r w:rsidR="00EE58E9" w:rsidRPr="00EE58E9">
              <w:rPr>
                <w:rStyle w:val="Hyperlink"/>
                <w:rFonts w:ascii="Times New Roman" w:hAnsi="Times New Roman" w:cs="Times New Roman"/>
                <w:noProof/>
                <w:sz w:val="22"/>
                <w:szCs w:val="22"/>
              </w:rPr>
              <w:t>3.19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 the Course of” in Wyoming – Employee’s Willful Intention to Injure or Kill Himself or Another</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77</w:t>
            </w:r>
            <w:r w:rsidR="00EE58E9" w:rsidRPr="00EE58E9">
              <w:rPr>
                <w:noProof/>
                <w:webHidden/>
                <w:sz w:val="22"/>
                <w:szCs w:val="22"/>
              </w:rPr>
              <w:fldChar w:fldCharType="end"/>
            </w:r>
          </w:hyperlink>
        </w:p>
        <w:p w14:paraId="5FAD7CAE" w14:textId="4DC29D9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5" w:history="1">
            <w:r w:rsidR="00EE58E9" w:rsidRPr="00EE58E9">
              <w:rPr>
                <w:rStyle w:val="Hyperlink"/>
                <w:rFonts w:ascii="Times New Roman" w:hAnsi="Times New Roman" w:cs="Times New Roman"/>
                <w:noProof/>
                <w:sz w:val="22"/>
                <w:szCs w:val="22"/>
              </w:rPr>
              <w:t>3.20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Intoxication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80</w:t>
            </w:r>
            <w:r w:rsidR="00EE58E9" w:rsidRPr="00EE58E9">
              <w:rPr>
                <w:noProof/>
                <w:webHidden/>
                <w:sz w:val="22"/>
                <w:szCs w:val="22"/>
              </w:rPr>
              <w:fldChar w:fldCharType="end"/>
            </w:r>
          </w:hyperlink>
        </w:p>
        <w:p w14:paraId="1D95178C" w14:textId="7403294A" w:rsidR="00EE58E9" w:rsidRPr="00EE58E9" w:rsidRDefault="00E655A9" w:rsidP="00EE58E9">
          <w:pPr>
            <w:pStyle w:val="TOC1"/>
            <w:rPr>
              <w:rFonts w:asciiTheme="minorHAnsi" w:eastAsiaTheme="minorEastAsia" w:hAnsiTheme="minorHAnsi" w:cstheme="minorBidi"/>
            </w:rPr>
          </w:pPr>
          <w:hyperlink w:anchor="_Toc75269386" w:history="1">
            <w:r w:rsidR="00EE58E9" w:rsidRPr="00EE58E9">
              <w:rPr>
                <w:rStyle w:val="Hyperlink"/>
              </w:rPr>
              <w:t>4</w:t>
            </w:r>
            <w:r w:rsidR="00EE58E9" w:rsidRPr="00EE58E9">
              <w:rPr>
                <w:rFonts w:asciiTheme="minorHAnsi" w:eastAsiaTheme="minorEastAsia" w:hAnsiTheme="minorHAnsi" w:cstheme="minorBidi"/>
              </w:rPr>
              <w:tab/>
            </w:r>
            <w:r w:rsidR="00EE58E9" w:rsidRPr="00EE58E9">
              <w:rPr>
                <w:rStyle w:val="Hyperlink"/>
              </w:rPr>
              <w:t>Timing and Limitations</w:t>
            </w:r>
            <w:r w:rsidR="00EE58E9" w:rsidRPr="00EE58E9">
              <w:rPr>
                <w:webHidden/>
              </w:rPr>
              <w:tab/>
            </w:r>
            <w:r w:rsidR="00EE58E9" w:rsidRPr="00EE58E9">
              <w:rPr>
                <w:webHidden/>
              </w:rPr>
              <w:fldChar w:fldCharType="begin"/>
            </w:r>
            <w:r w:rsidR="00EE58E9" w:rsidRPr="00EE58E9">
              <w:rPr>
                <w:webHidden/>
              </w:rPr>
              <w:instrText xml:space="preserve"> PAGEREF _Toc75269386 \h </w:instrText>
            </w:r>
            <w:r w:rsidR="00EE58E9" w:rsidRPr="00EE58E9">
              <w:rPr>
                <w:webHidden/>
              </w:rPr>
            </w:r>
            <w:r w:rsidR="00EE58E9" w:rsidRPr="00EE58E9">
              <w:rPr>
                <w:webHidden/>
              </w:rPr>
              <w:fldChar w:fldCharType="separate"/>
            </w:r>
            <w:r w:rsidR="00587001">
              <w:rPr>
                <w:webHidden/>
              </w:rPr>
              <w:t>82</w:t>
            </w:r>
            <w:r w:rsidR="00EE58E9" w:rsidRPr="00EE58E9">
              <w:rPr>
                <w:webHidden/>
              </w:rPr>
              <w:fldChar w:fldCharType="end"/>
            </w:r>
          </w:hyperlink>
        </w:p>
        <w:p w14:paraId="7BB524C1" w14:textId="0998C2B4"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7" w:history="1">
            <w:r w:rsidR="00EE58E9" w:rsidRPr="00EE58E9">
              <w:rPr>
                <w:rStyle w:val="Hyperlink"/>
                <w:rFonts w:ascii="Times New Roman" w:hAnsi="Times New Roman" w:cs="Times New Roman"/>
                <w:noProof/>
                <w:sz w:val="22"/>
                <w:szCs w:val="22"/>
              </w:rPr>
              <w:t>4.1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Notice and Claim Periods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82</w:t>
            </w:r>
            <w:r w:rsidR="00EE58E9" w:rsidRPr="00EE58E9">
              <w:rPr>
                <w:noProof/>
                <w:webHidden/>
                <w:sz w:val="22"/>
                <w:szCs w:val="22"/>
              </w:rPr>
              <w:fldChar w:fldCharType="end"/>
            </w:r>
          </w:hyperlink>
        </w:p>
        <w:p w14:paraId="6F500A94" w14:textId="6CD666F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8" w:history="1">
            <w:r w:rsidR="00EE58E9" w:rsidRPr="00EE58E9">
              <w:rPr>
                <w:rStyle w:val="Hyperlink"/>
                <w:rFonts w:ascii="Times New Roman" w:hAnsi="Times New Roman" w:cs="Times New Roman"/>
                <w:noProof/>
                <w:sz w:val="22"/>
                <w:szCs w:val="22"/>
              </w:rPr>
              <w:t>4.2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Notice in Wyoming</w:t>
            </w:r>
            <w:r w:rsidR="00CD3276">
              <w:rPr>
                <w:rStyle w:val="Hyperlink"/>
                <w:rFonts w:ascii="Times New Roman" w:hAnsi="Times New Roman" w:cs="Times New Roman"/>
                <w:noProof/>
                <w:sz w:val="22"/>
                <w:szCs w:val="22"/>
              </w:rPr>
              <w:t xml:space="preserve"> </w:t>
            </w:r>
            <w:r w:rsidR="00CD3276" w:rsidRPr="00CD3276">
              <w:rPr>
                <w:rStyle w:val="Hyperlink"/>
                <w:rFonts w:ascii="Times New Roman" w:hAnsi="Times New Roman" w:cs="Times New Roman"/>
                <w:noProof/>
                <w:sz w:val="22"/>
                <w:szCs w:val="22"/>
              </w:rPr>
              <w:t>–</w:t>
            </w:r>
            <w:r w:rsidR="00CD3276">
              <w:rPr>
                <w:rStyle w:val="Hyperlink"/>
                <w:rFonts w:ascii="Times New Roman" w:hAnsi="Times New Roman" w:cs="Times New Roman"/>
                <w:noProof/>
                <w:sz w:val="22"/>
                <w:szCs w:val="22"/>
              </w:rPr>
              <w:t xml:space="preserve"> </w:t>
            </w:r>
            <w:r w:rsidR="00EE58E9" w:rsidRPr="00EE58E9">
              <w:rPr>
                <w:rStyle w:val="Hyperlink"/>
                <w:rFonts w:ascii="Times New Roman" w:hAnsi="Times New Roman" w:cs="Times New Roman"/>
                <w:noProof/>
                <w:sz w:val="22"/>
                <w:szCs w:val="22"/>
              </w:rPr>
              <w:t>Statutory and Regulatory Provisions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83</w:t>
            </w:r>
            <w:r w:rsidR="00EE58E9" w:rsidRPr="00EE58E9">
              <w:rPr>
                <w:noProof/>
                <w:webHidden/>
                <w:sz w:val="22"/>
                <w:szCs w:val="22"/>
              </w:rPr>
              <w:fldChar w:fldCharType="end"/>
            </w:r>
          </w:hyperlink>
        </w:p>
        <w:p w14:paraId="6CB2C361" w14:textId="386A8BF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89" w:history="1">
            <w:r w:rsidR="00EE58E9" w:rsidRPr="00EE58E9">
              <w:rPr>
                <w:rStyle w:val="Hyperlink"/>
                <w:rFonts w:ascii="Times New Roman" w:hAnsi="Times New Roman" w:cs="Times New Roman"/>
                <w:noProof/>
                <w:sz w:val="22"/>
                <w:szCs w:val="22"/>
              </w:rPr>
              <w:t>4.3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Notice in Wyoming – Commencement of Notice Period</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_Toc75269389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87</w:t>
            </w:r>
            <w:r w:rsidR="00EE58E9" w:rsidRPr="00EE58E9">
              <w:rPr>
                <w:noProof/>
                <w:webHidden/>
                <w:sz w:val="22"/>
                <w:szCs w:val="22"/>
              </w:rPr>
              <w:fldChar w:fldCharType="end"/>
            </w:r>
          </w:hyperlink>
        </w:p>
        <w:p w14:paraId="20FE4492" w14:textId="0B292C2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0" w:history="1">
            <w:r w:rsidR="00EE58E9" w:rsidRPr="00EE58E9">
              <w:rPr>
                <w:rStyle w:val="Hyperlink"/>
                <w:rFonts w:ascii="Times New Roman" w:hAnsi="Times New Roman" w:cs="Times New Roman"/>
                <w:noProof/>
                <w:sz w:val="22"/>
                <w:szCs w:val="22"/>
              </w:rPr>
              <w:t>4.4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Notice in Wyoming – Presumption of Claim Denial and Proving Lack of Prejudice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91</w:t>
            </w:r>
            <w:r w:rsidR="00EE58E9" w:rsidRPr="00EE58E9">
              <w:rPr>
                <w:noProof/>
                <w:webHidden/>
                <w:sz w:val="22"/>
                <w:szCs w:val="22"/>
              </w:rPr>
              <w:fldChar w:fldCharType="end"/>
            </w:r>
          </w:hyperlink>
        </w:p>
        <w:p w14:paraId="559950E8" w14:textId="407E855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1" w:history="1">
            <w:r w:rsidR="00EE58E9" w:rsidRPr="00EE58E9">
              <w:rPr>
                <w:rStyle w:val="Hyperlink"/>
                <w:rFonts w:ascii="Times New Roman" w:hAnsi="Times New Roman" w:cs="Times New Roman"/>
                <w:noProof/>
                <w:sz w:val="22"/>
                <w:szCs w:val="22"/>
              </w:rPr>
              <w:t>4.5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Statute of Limitations in Wyoming</w:t>
            </w:r>
            <w:r w:rsidR="00CD3276">
              <w:rPr>
                <w:rStyle w:val="Hyperlink"/>
                <w:rFonts w:ascii="Times New Roman" w:hAnsi="Times New Roman" w:cs="Times New Roman"/>
                <w:noProof/>
                <w:sz w:val="22"/>
                <w:szCs w:val="22"/>
              </w:rPr>
              <w:t xml:space="preserve"> </w:t>
            </w:r>
            <w:r w:rsidR="00CD3276" w:rsidRPr="00CD3276">
              <w:rPr>
                <w:rStyle w:val="Hyperlink"/>
                <w:rFonts w:ascii="Times New Roman" w:hAnsi="Times New Roman" w:cs="Times New Roman"/>
                <w:noProof/>
                <w:sz w:val="22"/>
                <w:szCs w:val="22"/>
              </w:rPr>
              <w:t>–</w:t>
            </w:r>
            <w:r w:rsidR="00CD3276">
              <w:rPr>
                <w:rStyle w:val="Hyperlink"/>
                <w:rFonts w:ascii="Times New Roman" w:hAnsi="Times New Roman" w:cs="Times New Roman"/>
                <w:noProof/>
                <w:sz w:val="22"/>
                <w:szCs w:val="22"/>
              </w:rPr>
              <w:t xml:space="preserve"> </w:t>
            </w:r>
            <w:r w:rsidR="00EE58E9" w:rsidRPr="00EE58E9">
              <w:rPr>
                <w:rStyle w:val="Hyperlink"/>
                <w:rFonts w:ascii="Times New Roman" w:hAnsi="Times New Roman" w:cs="Times New Roman"/>
                <w:noProof/>
                <w:sz w:val="22"/>
                <w:szCs w:val="22"/>
              </w:rPr>
              <w:t>Statutory Provision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93</w:t>
            </w:r>
            <w:r w:rsidR="00EE58E9" w:rsidRPr="00EE58E9">
              <w:rPr>
                <w:noProof/>
                <w:webHidden/>
                <w:sz w:val="22"/>
                <w:szCs w:val="22"/>
              </w:rPr>
              <w:fldChar w:fldCharType="end"/>
            </w:r>
          </w:hyperlink>
        </w:p>
        <w:p w14:paraId="75C1B323" w14:textId="3545B1E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2" w:history="1">
            <w:r w:rsidR="00EE58E9" w:rsidRPr="00EE58E9">
              <w:rPr>
                <w:rStyle w:val="Hyperlink"/>
                <w:rFonts w:ascii="Times New Roman" w:hAnsi="Times New Roman" w:cs="Times New Roman"/>
                <w:noProof/>
                <w:sz w:val="22"/>
                <w:szCs w:val="22"/>
              </w:rPr>
              <w:t>4.6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Statute of Limitations in Wyoming</w:t>
            </w:r>
            <w:r w:rsidR="00CD3276">
              <w:rPr>
                <w:rStyle w:val="Hyperlink"/>
                <w:rFonts w:ascii="Times New Roman" w:hAnsi="Times New Roman" w:cs="Times New Roman"/>
                <w:noProof/>
                <w:sz w:val="22"/>
                <w:szCs w:val="22"/>
              </w:rPr>
              <w:t xml:space="preserve"> </w:t>
            </w:r>
            <w:r w:rsidR="00CD3276" w:rsidRPr="00CD3276">
              <w:rPr>
                <w:rStyle w:val="Hyperlink"/>
                <w:rFonts w:ascii="Times New Roman" w:hAnsi="Times New Roman" w:cs="Times New Roman"/>
                <w:noProof/>
                <w:sz w:val="22"/>
                <w:szCs w:val="22"/>
              </w:rPr>
              <w:t>–</w:t>
            </w:r>
            <w:r w:rsidR="00CD3276">
              <w:rPr>
                <w:rStyle w:val="Hyperlink"/>
                <w:rFonts w:ascii="Times New Roman" w:hAnsi="Times New Roman" w:cs="Times New Roman"/>
                <w:noProof/>
                <w:sz w:val="22"/>
                <w:szCs w:val="22"/>
              </w:rPr>
              <w:t xml:space="preserve"> </w:t>
            </w:r>
            <w:r w:rsidR="00EE58E9" w:rsidRPr="00EE58E9">
              <w:rPr>
                <w:rStyle w:val="Hyperlink"/>
                <w:rFonts w:ascii="Times New Roman" w:hAnsi="Times New Roman" w:cs="Times New Roman"/>
                <w:noProof/>
                <w:sz w:val="22"/>
                <w:szCs w:val="22"/>
              </w:rPr>
              <w:t>Commencement of Statute of Limitations Period</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93</w:t>
            </w:r>
            <w:r w:rsidR="00EE58E9" w:rsidRPr="00EE58E9">
              <w:rPr>
                <w:noProof/>
                <w:webHidden/>
                <w:sz w:val="22"/>
                <w:szCs w:val="22"/>
              </w:rPr>
              <w:fldChar w:fldCharType="end"/>
            </w:r>
          </w:hyperlink>
        </w:p>
        <w:p w14:paraId="23024445" w14:textId="58529361"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3" w:history="1">
            <w:r w:rsidR="00EE58E9" w:rsidRPr="00EE58E9">
              <w:rPr>
                <w:rStyle w:val="Hyperlink"/>
                <w:rFonts w:ascii="Times New Roman" w:hAnsi="Times New Roman" w:cs="Times New Roman"/>
                <w:noProof/>
                <w:sz w:val="22"/>
                <w:szCs w:val="22"/>
              </w:rPr>
              <w:t>4.7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Statute of Limitations in Wyoming</w:t>
            </w:r>
            <w:r w:rsidR="00CD3276">
              <w:rPr>
                <w:rStyle w:val="Hyperlink"/>
                <w:rFonts w:ascii="Times New Roman" w:hAnsi="Times New Roman" w:cs="Times New Roman"/>
                <w:noProof/>
                <w:sz w:val="22"/>
                <w:szCs w:val="22"/>
              </w:rPr>
              <w:t xml:space="preserve"> </w:t>
            </w:r>
            <w:r w:rsidR="00CD3276" w:rsidRPr="00CD3276">
              <w:rPr>
                <w:rStyle w:val="Hyperlink"/>
                <w:rFonts w:ascii="Times New Roman" w:hAnsi="Times New Roman" w:cs="Times New Roman"/>
                <w:noProof/>
                <w:sz w:val="22"/>
                <w:szCs w:val="22"/>
              </w:rPr>
              <w:t>–</w:t>
            </w:r>
            <w:r w:rsidR="00CD3276">
              <w:rPr>
                <w:rStyle w:val="Hyperlink"/>
                <w:rFonts w:ascii="Times New Roman" w:hAnsi="Times New Roman" w:cs="Times New Roman"/>
                <w:noProof/>
                <w:sz w:val="22"/>
                <w:szCs w:val="22"/>
              </w:rPr>
              <w:t xml:space="preserve"> </w:t>
            </w:r>
            <w:r w:rsidR="00EE58E9" w:rsidRPr="00EE58E9">
              <w:rPr>
                <w:rStyle w:val="Hyperlink"/>
                <w:rFonts w:ascii="Times New Roman" w:hAnsi="Times New Roman" w:cs="Times New Roman"/>
                <w:noProof/>
                <w:sz w:val="22"/>
                <w:szCs w:val="22"/>
              </w:rPr>
              <w:t>Injuries Occurring over a Substantial Period of Time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94</w:t>
            </w:r>
            <w:r w:rsidR="00EE58E9" w:rsidRPr="00EE58E9">
              <w:rPr>
                <w:noProof/>
                <w:webHidden/>
                <w:sz w:val="22"/>
                <w:szCs w:val="22"/>
              </w:rPr>
              <w:fldChar w:fldCharType="end"/>
            </w:r>
          </w:hyperlink>
        </w:p>
        <w:p w14:paraId="2901DCF7" w14:textId="0225268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4" w:history="1">
            <w:r w:rsidR="00EE58E9" w:rsidRPr="00EE58E9">
              <w:rPr>
                <w:rStyle w:val="Hyperlink"/>
                <w:rFonts w:ascii="Times New Roman" w:hAnsi="Times New Roman" w:cs="Times New Roman"/>
                <w:noProof/>
                <w:sz w:val="22"/>
                <w:szCs w:val="22"/>
              </w:rPr>
              <w:t>4.8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Statute of Limitations in Wyoming</w:t>
            </w:r>
            <w:r w:rsidR="00CD3276">
              <w:rPr>
                <w:rStyle w:val="Hyperlink"/>
                <w:rFonts w:ascii="Times New Roman" w:hAnsi="Times New Roman" w:cs="Times New Roman"/>
                <w:noProof/>
                <w:sz w:val="22"/>
                <w:szCs w:val="22"/>
              </w:rPr>
              <w:t xml:space="preserve"> </w:t>
            </w:r>
            <w:r w:rsidR="00CD3276" w:rsidRPr="00CD3276">
              <w:rPr>
                <w:rStyle w:val="Hyperlink"/>
                <w:rFonts w:ascii="Times New Roman" w:hAnsi="Times New Roman" w:cs="Times New Roman"/>
                <w:noProof/>
                <w:sz w:val="22"/>
                <w:szCs w:val="22"/>
              </w:rPr>
              <w:t>–</w:t>
            </w:r>
            <w:r w:rsidR="00CD3276">
              <w:rPr>
                <w:rStyle w:val="Hyperlink"/>
                <w:rFonts w:ascii="Times New Roman" w:hAnsi="Times New Roman" w:cs="Times New Roman"/>
                <w:noProof/>
                <w:sz w:val="22"/>
                <w:szCs w:val="22"/>
              </w:rPr>
              <w:t xml:space="preserve"> </w:t>
            </w:r>
            <w:r w:rsidR="00EE58E9" w:rsidRPr="00EE58E9">
              <w:rPr>
                <w:rStyle w:val="Hyperlink"/>
                <w:rFonts w:ascii="Times New Roman" w:hAnsi="Times New Roman" w:cs="Times New Roman"/>
                <w:noProof/>
                <w:sz w:val="22"/>
                <w:szCs w:val="22"/>
              </w:rPr>
              <w:t>Tolling and Equitable Estoppel</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95</w:t>
            </w:r>
            <w:r w:rsidR="00EE58E9" w:rsidRPr="00EE58E9">
              <w:rPr>
                <w:noProof/>
                <w:webHidden/>
                <w:sz w:val="22"/>
                <w:szCs w:val="22"/>
              </w:rPr>
              <w:fldChar w:fldCharType="end"/>
            </w:r>
          </w:hyperlink>
        </w:p>
        <w:p w14:paraId="4786B7A9" w14:textId="4DCCA133"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5" w:history="1">
            <w:r w:rsidR="00EE58E9" w:rsidRPr="00EE58E9">
              <w:rPr>
                <w:rStyle w:val="Hyperlink"/>
                <w:rFonts w:ascii="Times New Roman" w:hAnsi="Times New Roman" w:cs="Times New Roman"/>
                <w:noProof/>
                <w:sz w:val="22"/>
                <w:szCs w:val="22"/>
              </w:rPr>
              <w:t>4.9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Statute of Limitations in Wyoming When Limitations Periods Have been Altered by the Legislature and Determining Dates of Injury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101</w:t>
            </w:r>
            <w:r w:rsidR="00EE58E9" w:rsidRPr="00EE58E9">
              <w:rPr>
                <w:noProof/>
                <w:webHidden/>
                <w:sz w:val="22"/>
                <w:szCs w:val="22"/>
              </w:rPr>
              <w:fldChar w:fldCharType="end"/>
            </w:r>
          </w:hyperlink>
        </w:p>
        <w:p w14:paraId="1640B69F" w14:textId="44F5E93E" w:rsidR="00EE58E9" w:rsidRPr="00EE58E9" w:rsidRDefault="00E655A9" w:rsidP="00EE58E9">
          <w:pPr>
            <w:pStyle w:val="TOC1"/>
            <w:rPr>
              <w:rFonts w:asciiTheme="minorHAnsi" w:eastAsiaTheme="minorEastAsia" w:hAnsiTheme="minorHAnsi" w:cstheme="minorBidi"/>
            </w:rPr>
          </w:pPr>
          <w:hyperlink w:anchor="_Toc75269396" w:history="1">
            <w:r w:rsidR="00EE58E9" w:rsidRPr="00EE58E9">
              <w:rPr>
                <w:rStyle w:val="Hyperlink"/>
              </w:rPr>
              <w:t>5</w:t>
            </w:r>
            <w:r w:rsidR="00EE58E9" w:rsidRPr="00EE58E9">
              <w:rPr>
                <w:rFonts w:asciiTheme="minorHAnsi" w:eastAsiaTheme="minorEastAsia" w:hAnsiTheme="minorHAnsi" w:cstheme="minorBidi"/>
              </w:rPr>
              <w:tab/>
            </w:r>
            <w:r w:rsidR="00EE58E9" w:rsidRPr="00EE58E9">
              <w:rPr>
                <w:rStyle w:val="Hyperlink"/>
              </w:rPr>
              <w:t>Benefits</w:t>
            </w:r>
            <w:r w:rsidR="00EE58E9" w:rsidRPr="00EE58E9">
              <w:rPr>
                <w:webHidden/>
              </w:rPr>
              <w:tab/>
            </w:r>
            <w:r w:rsidR="00EE58E9" w:rsidRPr="00EE58E9">
              <w:rPr>
                <w:webHidden/>
              </w:rPr>
              <w:fldChar w:fldCharType="begin"/>
            </w:r>
            <w:r w:rsidR="00EE58E9" w:rsidRPr="00EE58E9">
              <w:rPr>
                <w:webHidden/>
              </w:rPr>
              <w:instrText xml:space="preserve"> PAGEREF _Toc75269396 \h </w:instrText>
            </w:r>
            <w:r w:rsidR="00EE58E9" w:rsidRPr="00EE58E9">
              <w:rPr>
                <w:webHidden/>
              </w:rPr>
            </w:r>
            <w:r w:rsidR="00EE58E9" w:rsidRPr="00EE58E9">
              <w:rPr>
                <w:webHidden/>
              </w:rPr>
              <w:fldChar w:fldCharType="separate"/>
            </w:r>
            <w:r w:rsidR="00587001">
              <w:rPr>
                <w:webHidden/>
              </w:rPr>
              <w:t>103</w:t>
            </w:r>
            <w:r w:rsidR="00EE58E9" w:rsidRPr="00EE58E9">
              <w:rPr>
                <w:webHidden/>
              </w:rPr>
              <w:fldChar w:fldCharType="end"/>
            </w:r>
          </w:hyperlink>
        </w:p>
        <w:p w14:paraId="4BAABEA3" w14:textId="42EA79B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7" w:history="1">
            <w:r w:rsidR="00EE58E9" w:rsidRPr="00EE58E9">
              <w:rPr>
                <w:rStyle w:val="Hyperlink"/>
                <w:rFonts w:ascii="Times New Roman" w:hAnsi="Times New Roman" w:cs="Times New Roman"/>
                <w:noProof/>
                <w:sz w:val="22"/>
                <w:szCs w:val="22"/>
              </w:rPr>
              <w:t>5.1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Physical Impairment versus Incapacity for Work</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103</w:t>
            </w:r>
            <w:r w:rsidR="00EE58E9" w:rsidRPr="00EE58E9">
              <w:rPr>
                <w:noProof/>
                <w:webHidden/>
                <w:sz w:val="22"/>
                <w:szCs w:val="22"/>
              </w:rPr>
              <w:fldChar w:fldCharType="end"/>
            </w:r>
          </w:hyperlink>
        </w:p>
        <w:p w14:paraId="70605AFD" w14:textId="70C32434"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8" w:history="1">
            <w:r w:rsidR="00EE58E9" w:rsidRPr="00EE58E9">
              <w:rPr>
                <w:rStyle w:val="Hyperlink"/>
                <w:rFonts w:ascii="Times New Roman" w:hAnsi="Times New Roman" w:cs="Times New Roman"/>
                <w:noProof/>
                <w:sz w:val="22"/>
                <w:szCs w:val="22"/>
              </w:rPr>
              <w:t>5.2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Division of Indemnity Benefits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103</w:t>
            </w:r>
            <w:r w:rsidR="00EE58E9" w:rsidRPr="00EE58E9">
              <w:rPr>
                <w:noProof/>
                <w:webHidden/>
                <w:sz w:val="22"/>
                <w:szCs w:val="22"/>
              </w:rPr>
              <w:fldChar w:fldCharType="end"/>
            </w:r>
          </w:hyperlink>
        </w:p>
        <w:p w14:paraId="3B8F8BB4" w14:textId="7A94BB3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399" w:history="1">
            <w:r w:rsidR="00EE58E9" w:rsidRPr="00EE58E9">
              <w:rPr>
                <w:rStyle w:val="Hyperlink"/>
                <w:rFonts w:ascii="Times New Roman" w:hAnsi="Times New Roman" w:cs="Times New Roman"/>
                <w:noProof/>
                <w:sz w:val="22"/>
                <w:szCs w:val="22"/>
              </w:rPr>
              <w:t>5.3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Temporary Total Disability Benefits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_Toc75269399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106</w:t>
            </w:r>
            <w:r w:rsidR="00EE58E9" w:rsidRPr="00EE58E9">
              <w:rPr>
                <w:noProof/>
                <w:webHidden/>
                <w:sz w:val="22"/>
                <w:szCs w:val="22"/>
              </w:rPr>
              <w:fldChar w:fldCharType="end"/>
            </w:r>
          </w:hyperlink>
        </w:p>
        <w:p w14:paraId="0CEF5288" w14:textId="0426936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0" w:history="1">
            <w:r w:rsidR="00EE58E9" w:rsidRPr="00EE58E9">
              <w:rPr>
                <w:rStyle w:val="Hyperlink"/>
                <w:rFonts w:ascii="Times New Roman" w:hAnsi="Times New Roman" w:cs="Times New Roman"/>
                <w:noProof/>
                <w:sz w:val="22"/>
                <w:szCs w:val="22"/>
              </w:rPr>
              <w:t>5.4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Benefit Amount for Temporary Total Disability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108</w:t>
            </w:r>
            <w:r w:rsidR="00EE58E9" w:rsidRPr="00EE58E9">
              <w:rPr>
                <w:noProof/>
                <w:webHidden/>
                <w:sz w:val="22"/>
                <w:szCs w:val="22"/>
              </w:rPr>
              <w:fldChar w:fldCharType="end"/>
            </w:r>
          </w:hyperlink>
        </w:p>
        <w:p w14:paraId="543DF296" w14:textId="302C5EC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1" w:history="1">
            <w:r w:rsidR="00EE58E9" w:rsidRPr="00EE58E9">
              <w:rPr>
                <w:rStyle w:val="Hyperlink"/>
                <w:rFonts w:ascii="Times New Roman" w:hAnsi="Times New Roman" w:cs="Times New Roman"/>
                <w:noProof/>
                <w:sz w:val="22"/>
                <w:szCs w:val="22"/>
              </w:rPr>
              <w:t>5.5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Permanent Total Disability Benefits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109</w:t>
            </w:r>
            <w:r w:rsidR="00EE58E9" w:rsidRPr="00EE58E9">
              <w:rPr>
                <w:noProof/>
                <w:webHidden/>
                <w:sz w:val="22"/>
                <w:szCs w:val="22"/>
              </w:rPr>
              <w:fldChar w:fldCharType="end"/>
            </w:r>
          </w:hyperlink>
        </w:p>
        <w:p w14:paraId="679053C2" w14:textId="79389F9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2" w:history="1">
            <w:r w:rsidR="00EE58E9" w:rsidRPr="00EE58E9">
              <w:rPr>
                <w:rStyle w:val="Hyperlink"/>
                <w:rFonts w:ascii="Times New Roman" w:hAnsi="Times New Roman" w:cs="Times New Roman"/>
                <w:noProof/>
                <w:sz w:val="22"/>
                <w:szCs w:val="22"/>
              </w:rPr>
              <w:t>5.6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Benefit Amount for Permanent Total Disability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112</w:t>
            </w:r>
            <w:r w:rsidR="00EE58E9" w:rsidRPr="00EE58E9">
              <w:rPr>
                <w:noProof/>
                <w:webHidden/>
                <w:sz w:val="22"/>
                <w:szCs w:val="22"/>
              </w:rPr>
              <w:fldChar w:fldCharType="end"/>
            </w:r>
          </w:hyperlink>
        </w:p>
        <w:p w14:paraId="26EA2F91" w14:textId="33E7DBA1"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3" w:history="1">
            <w:r w:rsidR="00EE58E9" w:rsidRPr="00EE58E9">
              <w:rPr>
                <w:rStyle w:val="Hyperlink"/>
                <w:rFonts w:ascii="Times New Roman" w:hAnsi="Times New Roman" w:cs="Times New Roman"/>
                <w:noProof/>
                <w:sz w:val="22"/>
                <w:szCs w:val="22"/>
              </w:rPr>
              <w:t>5.7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Odd Lot Doctrine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113</w:t>
            </w:r>
            <w:r w:rsidR="00EE58E9" w:rsidRPr="00EE58E9">
              <w:rPr>
                <w:noProof/>
                <w:webHidden/>
                <w:sz w:val="22"/>
                <w:szCs w:val="22"/>
              </w:rPr>
              <w:fldChar w:fldCharType="end"/>
            </w:r>
          </w:hyperlink>
        </w:p>
        <w:p w14:paraId="012F8B59" w14:textId="47A04A3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4" w:history="1">
            <w:r w:rsidR="00EE58E9" w:rsidRPr="00EE58E9">
              <w:rPr>
                <w:rStyle w:val="Hyperlink"/>
                <w:rFonts w:ascii="Times New Roman" w:hAnsi="Times New Roman" w:cs="Times New Roman"/>
                <w:noProof/>
                <w:sz w:val="22"/>
                <w:szCs w:val="22"/>
              </w:rPr>
              <w:t>5.8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Odd Lot Doctrine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114</w:t>
            </w:r>
            <w:r w:rsidR="00EE58E9" w:rsidRPr="00EE58E9">
              <w:rPr>
                <w:noProof/>
                <w:webHidden/>
                <w:sz w:val="22"/>
                <w:szCs w:val="22"/>
              </w:rPr>
              <w:fldChar w:fldCharType="end"/>
            </w:r>
          </w:hyperlink>
        </w:p>
        <w:p w14:paraId="18017541" w14:textId="59F5BEE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5" w:history="1">
            <w:r w:rsidR="00EE58E9" w:rsidRPr="00EE58E9">
              <w:rPr>
                <w:rStyle w:val="Hyperlink"/>
                <w:rFonts w:ascii="Times New Roman" w:hAnsi="Times New Roman" w:cs="Times New Roman"/>
                <w:noProof/>
                <w:sz w:val="22"/>
                <w:szCs w:val="22"/>
              </w:rPr>
              <w:t>5.9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Permanent Partial Workers’ Compensation Benefits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119</w:t>
            </w:r>
            <w:r w:rsidR="00EE58E9" w:rsidRPr="00EE58E9">
              <w:rPr>
                <w:noProof/>
                <w:webHidden/>
                <w:sz w:val="22"/>
                <w:szCs w:val="22"/>
              </w:rPr>
              <w:fldChar w:fldCharType="end"/>
            </w:r>
          </w:hyperlink>
        </w:p>
        <w:p w14:paraId="0AFC00A1" w14:textId="5B4CAA7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6" w:history="1">
            <w:r w:rsidR="00EE58E9" w:rsidRPr="00EE58E9">
              <w:rPr>
                <w:rStyle w:val="Hyperlink"/>
                <w:rFonts w:ascii="Times New Roman" w:hAnsi="Times New Roman" w:cs="Times New Roman"/>
                <w:noProof/>
                <w:sz w:val="22"/>
                <w:szCs w:val="22"/>
              </w:rPr>
              <w:t>5.10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Timing of Delivery of Workers’ Compensation Indemnity Benefits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124</w:t>
            </w:r>
            <w:r w:rsidR="00EE58E9" w:rsidRPr="00EE58E9">
              <w:rPr>
                <w:noProof/>
                <w:webHidden/>
                <w:sz w:val="22"/>
                <w:szCs w:val="22"/>
              </w:rPr>
              <w:fldChar w:fldCharType="end"/>
            </w:r>
          </w:hyperlink>
        </w:p>
        <w:p w14:paraId="00B0E072" w14:textId="458636BB"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7" w:history="1">
            <w:r w:rsidR="00EE58E9" w:rsidRPr="00EE58E9">
              <w:rPr>
                <w:rStyle w:val="Hyperlink"/>
                <w:rFonts w:ascii="Times New Roman" w:hAnsi="Times New Roman" w:cs="Times New Roman"/>
                <w:noProof/>
                <w:sz w:val="22"/>
                <w:szCs w:val="22"/>
              </w:rPr>
              <w:t>5.11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Temporary Partial Benefits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124</w:t>
            </w:r>
            <w:r w:rsidR="00EE58E9" w:rsidRPr="00EE58E9">
              <w:rPr>
                <w:noProof/>
                <w:webHidden/>
                <w:sz w:val="22"/>
                <w:szCs w:val="22"/>
              </w:rPr>
              <w:fldChar w:fldCharType="end"/>
            </w:r>
          </w:hyperlink>
        </w:p>
        <w:p w14:paraId="1C9F16DF" w14:textId="0089E489"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8" w:history="1">
            <w:r w:rsidR="00EE58E9" w:rsidRPr="00EE58E9">
              <w:rPr>
                <w:rStyle w:val="Hyperlink"/>
                <w:rFonts w:ascii="Times New Roman" w:hAnsi="Times New Roman" w:cs="Times New Roman"/>
                <w:noProof/>
                <w:sz w:val="22"/>
                <w:szCs w:val="22"/>
              </w:rPr>
              <w:t>5.12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Deduction of Partial Benefits from Total Benefits Entitlement Under Wyoming Law</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125</w:t>
            </w:r>
            <w:r w:rsidR="00EE58E9" w:rsidRPr="00EE58E9">
              <w:rPr>
                <w:noProof/>
                <w:webHidden/>
                <w:sz w:val="22"/>
                <w:szCs w:val="22"/>
              </w:rPr>
              <w:fldChar w:fldCharType="end"/>
            </w:r>
          </w:hyperlink>
        </w:p>
        <w:p w14:paraId="1E3D339B" w14:textId="3C0F63B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09" w:history="1">
            <w:r w:rsidR="00EE58E9" w:rsidRPr="00EE58E9">
              <w:rPr>
                <w:rStyle w:val="Hyperlink"/>
                <w:rFonts w:ascii="Times New Roman" w:hAnsi="Times New Roman" w:cs="Times New Roman"/>
                <w:noProof/>
                <w:sz w:val="22"/>
                <w:szCs w:val="22"/>
              </w:rPr>
              <w:t>5.13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Death Benefits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_Toc75269409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125</w:t>
            </w:r>
            <w:r w:rsidR="00EE58E9" w:rsidRPr="00EE58E9">
              <w:rPr>
                <w:noProof/>
                <w:webHidden/>
                <w:sz w:val="22"/>
                <w:szCs w:val="22"/>
              </w:rPr>
              <w:fldChar w:fldCharType="end"/>
            </w:r>
          </w:hyperlink>
        </w:p>
        <w:p w14:paraId="2CF18CB0" w14:textId="5133C80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0" w:history="1">
            <w:r w:rsidR="00EE58E9" w:rsidRPr="00EE58E9">
              <w:rPr>
                <w:rStyle w:val="Hyperlink"/>
                <w:rFonts w:ascii="Times New Roman" w:hAnsi="Times New Roman" w:cs="Times New Roman"/>
                <w:noProof/>
                <w:sz w:val="22"/>
                <w:szCs w:val="22"/>
              </w:rPr>
              <w:t>5.14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Death Benefits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126</w:t>
            </w:r>
            <w:r w:rsidR="00EE58E9" w:rsidRPr="00EE58E9">
              <w:rPr>
                <w:noProof/>
                <w:webHidden/>
                <w:sz w:val="22"/>
                <w:szCs w:val="22"/>
              </w:rPr>
              <w:fldChar w:fldCharType="end"/>
            </w:r>
          </w:hyperlink>
        </w:p>
        <w:p w14:paraId="49AF0B70" w14:textId="30E75671"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1" w:history="1">
            <w:r w:rsidR="00EE58E9" w:rsidRPr="00EE58E9">
              <w:rPr>
                <w:rStyle w:val="Hyperlink"/>
                <w:rFonts w:ascii="Times New Roman" w:hAnsi="Times New Roman" w:cs="Times New Roman"/>
                <w:noProof/>
                <w:sz w:val="22"/>
                <w:szCs w:val="22"/>
              </w:rPr>
              <w:t>5.15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Continuation Upon Death of Benefits from Existing Workers’ Compensation Award Entitlement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128</w:t>
            </w:r>
            <w:r w:rsidR="00EE58E9" w:rsidRPr="00EE58E9">
              <w:rPr>
                <w:noProof/>
                <w:webHidden/>
                <w:sz w:val="22"/>
                <w:szCs w:val="22"/>
              </w:rPr>
              <w:fldChar w:fldCharType="end"/>
            </w:r>
          </w:hyperlink>
        </w:p>
        <w:p w14:paraId="5B5696CF" w14:textId="3A1C12A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2" w:history="1">
            <w:r w:rsidR="00EE58E9" w:rsidRPr="00EE58E9">
              <w:rPr>
                <w:rStyle w:val="Hyperlink"/>
                <w:rFonts w:ascii="Times New Roman" w:hAnsi="Times New Roman" w:cs="Times New Roman"/>
                <w:noProof/>
                <w:sz w:val="22"/>
                <w:szCs w:val="22"/>
              </w:rPr>
              <w:t>5.16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Death Benefits Independent of Preexisting Entitlement to Disability Awards</w:t>
            </w:r>
            <w:r w:rsidR="00CD3276">
              <w:rPr>
                <w:rStyle w:val="Hyperlink"/>
                <w:rFonts w:ascii="Times New Roman" w:hAnsi="Times New Roman" w:cs="Times New Roman"/>
                <w:noProof/>
                <w:sz w:val="22"/>
                <w:szCs w:val="22"/>
              </w:rPr>
              <w: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129</w:t>
            </w:r>
            <w:r w:rsidR="00EE58E9" w:rsidRPr="00EE58E9">
              <w:rPr>
                <w:noProof/>
                <w:webHidden/>
                <w:sz w:val="22"/>
                <w:szCs w:val="22"/>
              </w:rPr>
              <w:fldChar w:fldCharType="end"/>
            </w:r>
          </w:hyperlink>
        </w:p>
        <w:p w14:paraId="23E47C36" w14:textId="574FC14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3" w:history="1">
            <w:r w:rsidR="00EE58E9" w:rsidRPr="00EE58E9">
              <w:rPr>
                <w:rStyle w:val="Hyperlink"/>
                <w:rFonts w:ascii="Times New Roman" w:hAnsi="Times New Roman" w:cs="Times New Roman"/>
                <w:noProof/>
                <w:sz w:val="22"/>
                <w:szCs w:val="22"/>
              </w:rPr>
              <w:t>5.17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Amount of Death Benefit Award</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130</w:t>
            </w:r>
            <w:r w:rsidR="00EE58E9" w:rsidRPr="00EE58E9">
              <w:rPr>
                <w:noProof/>
                <w:webHidden/>
                <w:sz w:val="22"/>
                <w:szCs w:val="22"/>
              </w:rPr>
              <w:fldChar w:fldCharType="end"/>
            </w:r>
          </w:hyperlink>
        </w:p>
        <w:p w14:paraId="0F7DE482" w14:textId="5FBB4EF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4" w:history="1">
            <w:r w:rsidR="00EE58E9" w:rsidRPr="00EE58E9">
              <w:rPr>
                <w:rStyle w:val="Hyperlink"/>
                <w:rFonts w:ascii="Times New Roman" w:hAnsi="Times New Roman" w:cs="Times New Roman"/>
                <w:noProof/>
                <w:sz w:val="22"/>
                <w:szCs w:val="22"/>
              </w:rPr>
              <w:t>5.18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Suicide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130</w:t>
            </w:r>
            <w:r w:rsidR="00EE58E9" w:rsidRPr="00EE58E9">
              <w:rPr>
                <w:noProof/>
                <w:webHidden/>
                <w:sz w:val="22"/>
                <w:szCs w:val="22"/>
              </w:rPr>
              <w:fldChar w:fldCharType="end"/>
            </w:r>
          </w:hyperlink>
        </w:p>
        <w:p w14:paraId="6BB40E3D" w14:textId="19918BF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5" w:history="1">
            <w:r w:rsidR="00EE58E9" w:rsidRPr="00EE58E9">
              <w:rPr>
                <w:rStyle w:val="Hyperlink"/>
                <w:rFonts w:ascii="Times New Roman" w:hAnsi="Times New Roman" w:cs="Times New Roman"/>
                <w:noProof/>
                <w:sz w:val="22"/>
                <w:szCs w:val="22"/>
              </w:rPr>
              <w:t>5.19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Hospital and Medical Benefits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130</w:t>
            </w:r>
            <w:r w:rsidR="00EE58E9" w:rsidRPr="00EE58E9">
              <w:rPr>
                <w:noProof/>
                <w:webHidden/>
                <w:sz w:val="22"/>
                <w:szCs w:val="22"/>
              </w:rPr>
              <w:fldChar w:fldCharType="end"/>
            </w:r>
          </w:hyperlink>
        </w:p>
        <w:p w14:paraId="75933125" w14:textId="0E29C00E"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6" w:history="1">
            <w:r w:rsidR="00EE58E9" w:rsidRPr="00EE58E9">
              <w:rPr>
                <w:rStyle w:val="Hyperlink"/>
                <w:rFonts w:ascii="Times New Roman" w:hAnsi="Times New Roman" w:cs="Times New Roman"/>
                <w:noProof/>
                <w:sz w:val="22"/>
                <w:szCs w:val="22"/>
              </w:rPr>
              <w:t>5.20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Medical, Hospital, and Ambulance Expenses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131</w:t>
            </w:r>
            <w:r w:rsidR="00EE58E9" w:rsidRPr="00EE58E9">
              <w:rPr>
                <w:noProof/>
                <w:webHidden/>
                <w:sz w:val="22"/>
                <w:szCs w:val="22"/>
              </w:rPr>
              <w:fldChar w:fldCharType="end"/>
            </w:r>
          </w:hyperlink>
        </w:p>
        <w:p w14:paraId="2AD1435E" w14:textId="56B09B2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7" w:history="1">
            <w:r w:rsidR="00EE58E9" w:rsidRPr="00EE58E9">
              <w:rPr>
                <w:rStyle w:val="Hyperlink"/>
                <w:rFonts w:ascii="Times New Roman" w:hAnsi="Times New Roman" w:cs="Times New Roman"/>
                <w:noProof/>
                <w:sz w:val="22"/>
                <w:szCs w:val="22"/>
              </w:rPr>
              <w:t>5.21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Employee’s Rights and Duties With Respect to Physician Selection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135</w:t>
            </w:r>
            <w:r w:rsidR="00EE58E9" w:rsidRPr="00EE58E9">
              <w:rPr>
                <w:noProof/>
                <w:webHidden/>
                <w:sz w:val="22"/>
                <w:szCs w:val="22"/>
              </w:rPr>
              <w:fldChar w:fldCharType="end"/>
            </w:r>
          </w:hyperlink>
        </w:p>
        <w:p w14:paraId="3912286B" w14:textId="01C136F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8" w:history="1">
            <w:r w:rsidR="00EE58E9" w:rsidRPr="00EE58E9">
              <w:rPr>
                <w:rStyle w:val="Hyperlink"/>
                <w:rFonts w:ascii="Times New Roman" w:hAnsi="Times New Roman" w:cs="Times New Roman"/>
                <w:noProof/>
                <w:sz w:val="22"/>
                <w:szCs w:val="22"/>
              </w:rPr>
              <w:t>5.22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Air Ambulance Controversy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136</w:t>
            </w:r>
            <w:r w:rsidR="00EE58E9" w:rsidRPr="00EE58E9">
              <w:rPr>
                <w:noProof/>
                <w:webHidden/>
                <w:sz w:val="22"/>
                <w:szCs w:val="22"/>
              </w:rPr>
              <w:fldChar w:fldCharType="end"/>
            </w:r>
          </w:hyperlink>
        </w:p>
        <w:p w14:paraId="08A55E5A" w14:textId="4EABDEA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19" w:history="1">
            <w:r w:rsidR="00EE58E9" w:rsidRPr="00EE58E9">
              <w:rPr>
                <w:rStyle w:val="Hyperlink"/>
                <w:rFonts w:ascii="Times New Roman" w:hAnsi="Times New Roman" w:cs="Times New Roman"/>
                <w:noProof/>
                <w:sz w:val="22"/>
                <w:szCs w:val="22"/>
              </w:rPr>
              <w:t>5.23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Vocational Benefits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_Toc75269419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137</w:t>
            </w:r>
            <w:r w:rsidR="00EE58E9" w:rsidRPr="00EE58E9">
              <w:rPr>
                <w:noProof/>
                <w:webHidden/>
                <w:sz w:val="22"/>
                <w:szCs w:val="22"/>
              </w:rPr>
              <w:fldChar w:fldCharType="end"/>
            </w:r>
          </w:hyperlink>
        </w:p>
        <w:p w14:paraId="4B214F21" w14:textId="6829A821"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0" w:history="1">
            <w:r w:rsidR="00EE58E9" w:rsidRPr="00EE58E9">
              <w:rPr>
                <w:rStyle w:val="Hyperlink"/>
                <w:rFonts w:ascii="Times New Roman" w:hAnsi="Times New Roman" w:cs="Times New Roman"/>
                <w:noProof/>
                <w:sz w:val="22"/>
                <w:szCs w:val="22"/>
              </w:rPr>
              <w:t>5.24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Permanent Disfigurement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138</w:t>
            </w:r>
            <w:r w:rsidR="00EE58E9" w:rsidRPr="00EE58E9">
              <w:rPr>
                <w:noProof/>
                <w:webHidden/>
                <w:sz w:val="22"/>
                <w:szCs w:val="22"/>
              </w:rPr>
              <w:fldChar w:fldCharType="end"/>
            </w:r>
          </w:hyperlink>
        </w:p>
        <w:p w14:paraId="57E573D0" w14:textId="77E0EDE8" w:rsidR="00EE58E9" w:rsidRPr="00EE58E9" w:rsidRDefault="00E655A9" w:rsidP="00EE58E9">
          <w:pPr>
            <w:pStyle w:val="TOC1"/>
            <w:rPr>
              <w:rFonts w:asciiTheme="minorHAnsi" w:eastAsiaTheme="minorEastAsia" w:hAnsiTheme="minorHAnsi" w:cstheme="minorBidi"/>
            </w:rPr>
          </w:pPr>
          <w:hyperlink w:anchor="_Toc75269421" w:history="1">
            <w:r w:rsidR="00EE58E9" w:rsidRPr="00EE58E9">
              <w:rPr>
                <w:rStyle w:val="Hyperlink"/>
              </w:rPr>
              <w:t>6</w:t>
            </w:r>
            <w:r w:rsidR="00EE58E9" w:rsidRPr="00EE58E9">
              <w:rPr>
                <w:rFonts w:asciiTheme="minorHAnsi" w:eastAsiaTheme="minorEastAsia" w:hAnsiTheme="minorHAnsi" w:cstheme="minorBidi"/>
              </w:rPr>
              <w:tab/>
            </w:r>
            <w:r w:rsidR="00EE58E9" w:rsidRPr="00EE58E9">
              <w:rPr>
                <w:rStyle w:val="Hyperlink"/>
              </w:rPr>
              <w:t>Wyoming Workers’ Compensation: Evidence and Procedure</w:t>
            </w:r>
            <w:r w:rsidR="00EE58E9" w:rsidRPr="00EE58E9">
              <w:rPr>
                <w:webHidden/>
              </w:rPr>
              <w:tab/>
            </w:r>
            <w:r w:rsidR="00EE58E9" w:rsidRPr="00EE58E9">
              <w:rPr>
                <w:webHidden/>
              </w:rPr>
              <w:fldChar w:fldCharType="begin"/>
            </w:r>
            <w:r w:rsidR="00EE58E9" w:rsidRPr="00EE58E9">
              <w:rPr>
                <w:webHidden/>
              </w:rPr>
              <w:instrText xml:space="preserve"> PAGEREF _Toc75269421 \h </w:instrText>
            </w:r>
            <w:r w:rsidR="00EE58E9" w:rsidRPr="00EE58E9">
              <w:rPr>
                <w:webHidden/>
              </w:rPr>
            </w:r>
            <w:r w:rsidR="00EE58E9" w:rsidRPr="00EE58E9">
              <w:rPr>
                <w:webHidden/>
              </w:rPr>
              <w:fldChar w:fldCharType="separate"/>
            </w:r>
            <w:r w:rsidR="00587001">
              <w:rPr>
                <w:webHidden/>
              </w:rPr>
              <w:t>139</w:t>
            </w:r>
            <w:r w:rsidR="00EE58E9" w:rsidRPr="00EE58E9">
              <w:rPr>
                <w:webHidden/>
              </w:rPr>
              <w:fldChar w:fldCharType="end"/>
            </w:r>
          </w:hyperlink>
        </w:p>
        <w:p w14:paraId="1898CFB3" w14:textId="1378378E"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2" w:history="1">
            <w:r w:rsidR="00EE58E9" w:rsidRPr="00EE58E9">
              <w:rPr>
                <w:rStyle w:val="Hyperlink"/>
                <w:rFonts w:ascii="Times New Roman" w:hAnsi="Times New Roman" w:cs="Times New Roman"/>
                <w:noProof/>
                <w:sz w:val="22"/>
                <w:szCs w:val="22"/>
              </w:rPr>
              <w:t>6.1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Competency of Evidence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139</w:t>
            </w:r>
            <w:r w:rsidR="00EE58E9" w:rsidRPr="00EE58E9">
              <w:rPr>
                <w:noProof/>
                <w:webHidden/>
                <w:sz w:val="22"/>
                <w:szCs w:val="22"/>
              </w:rPr>
              <w:fldChar w:fldCharType="end"/>
            </w:r>
          </w:hyperlink>
        </w:p>
        <w:p w14:paraId="3964D766" w14:textId="18310CC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3" w:history="1">
            <w:r w:rsidR="00EE58E9" w:rsidRPr="00EE58E9">
              <w:rPr>
                <w:rStyle w:val="Hyperlink"/>
                <w:rFonts w:ascii="Times New Roman" w:hAnsi="Times New Roman" w:cs="Times New Roman"/>
                <w:noProof/>
                <w:sz w:val="22"/>
                <w:szCs w:val="22"/>
              </w:rPr>
              <w:t>6.2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Medical Causation Standard and When Medical Evidence is Necessary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140</w:t>
            </w:r>
            <w:r w:rsidR="00EE58E9" w:rsidRPr="00EE58E9">
              <w:rPr>
                <w:noProof/>
                <w:webHidden/>
                <w:sz w:val="22"/>
                <w:szCs w:val="22"/>
              </w:rPr>
              <w:fldChar w:fldCharType="end"/>
            </w:r>
          </w:hyperlink>
        </w:p>
        <w:p w14:paraId="6CA847EF" w14:textId="4A5839C9"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4" w:history="1">
            <w:r w:rsidR="00EE58E9" w:rsidRPr="00EE58E9">
              <w:rPr>
                <w:rStyle w:val="Hyperlink"/>
                <w:rFonts w:ascii="Times New Roman" w:hAnsi="Times New Roman" w:cs="Times New Roman"/>
                <w:noProof/>
                <w:sz w:val="22"/>
                <w:szCs w:val="22"/>
              </w:rPr>
              <w:t>6.3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Conflicting Medical Evidence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144</w:t>
            </w:r>
            <w:r w:rsidR="00EE58E9" w:rsidRPr="00EE58E9">
              <w:rPr>
                <w:noProof/>
                <w:webHidden/>
                <w:sz w:val="22"/>
                <w:szCs w:val="22"/>
              </w:rPr>
              <w:fldChar w:fldCharType="end"/>
            </w:r>
          </w:hyperlink>
        </w:p>
        <w:p w14:paraId="0EDC7A89" w14:textId="6152D55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5" w:history="1">
            <w:r w:rsidR="00EE58E9" w:rsidRPr="00EE58E9">
              <w:rPr>
                <w:rStyle w:val="Hyperlink"/>
                <w:rFonts w:ascii="Times New Roman" w:hAnsi="Times New Roman" w:cs="Times New Roman"/>
                <w:noProof/>
                <w:sz w:val="22"/>
                <w:szCs w:val="22"/>
              </w:rPr>
              <w:t>6.4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Collateral Estoppel and Res Judicata</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147</w:t>
            </w:r>
            <w:r w:rsidR="00EE58E9" w:rsidRPr="00EE58E9">
              <w:rPr>
                <w:noProof/>
                <w:webHidden/>
                <w:sz w:val="22"/>
                <w:szCs w:val="22"/>
              </w:rPr>
              <w:fldChar w:fldCharType="end"/>
            </w:r>
          </w:hyperlink>
        </w:p>
        <w:p w14:paraId="3B55A406" w14:textId="5080137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6" w:history="1">
            <w:r w:rsidR="00EE58E9" w:rsidRPr="00EE58E9">
              <w:rPr>
                <w:rStyle w:val="Hyperlink"/>
                <w:rFonts w:ascii="Times New Roman" w:hAnsi="Times New Roman" w:cs="Times New Roman"/>
                <w:noProof/>
                <w:sz w:val="22"/>
                <w:szCs w:val="22"/>
              </w:rPr>
              <w:t>6.5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Judicial Notice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153</w:t>
            </w:r>
            <w:r w:rsidR="00EE58E9" w:rsidRPr="00EE58E9">
              <w:rPr>
                <w:noProof/>
                <w:webHidden/>
                <w:sz w:val="22"/>
                <w:szCs w:val="22"/>
              </w:rPr>
              <w:fldChar w:fldCharType="end"/>
            </w:r>
          </w:hyperlink>
        </w:p>
        <w:p w14:paraId="5F82543E" w14:textId="206F943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7" w:history="1">
            <w:r w:rsidR="00EE58E9" w:rsidRPr="00EE58E9">
              <w:rPr>
                <w:rStyle w:val="Hyperlink"/>
                <w:rFonts w:ascii="Times New Roman" w:hAnsi="Times New Roman" w:cs="Times New Roman"/>
                <w:noProof/>
                <w:sz w:val="22"/>
                <w:szCs w:val="22"/>
              </w:rPr>
              <w:t>6.6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Workers’ Compensation and Administrative Law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155</w:t>
            </w:r>
            <w:r w:rsidR="00EE58E9" w:rsidRPr="00EE58E9">
              <w:rPr>
                <w:noProof/>
                <w:webHidden/>
                <w:sz w:val="22"/>
                <w:szCs w:val="22"/>
              </w:rPr>
              <w:fldChar w:fldCharType="end"/>
            </w:r>
          </w:hyperlink>
        </w:p>
        <w:p w14:paraId="25E6B51A" w14:textId="7FF56299"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8" w:history="1">
            <w:r w:rsidR="00EE58E9" w:rsidRPr="00EE58E9">
              <w:rPr>
                <w:rStyle w:val="Hyperlink"/>
                <w:rFonts w:ascii="Times New Roman" w:hAnsi="Times New Roman" w:cs="Times New Roman"/>
                <w:noProof/>
                <w:sz w:val="22"/>
                <w:szCs w:val="22"/>
              </w:rPr>
              <w:t>6.7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 Workers’ Compensation Administrative Structure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156</w:t>
            </w:r>
            <w:r w:rsidR="00EE58E9" w:rsidRPr="00EE58E9">
              <w:rPr>
                <w:noProof/>
                <w:webHidden/>
                <w:sz w:val="22"/>
                <w:szCs w:val="22"/>
              </w:rPr>
              <w:fldChar w:fldCharType="end"/>
            </w:r>
          </w:hyperlink>
        </w:p>
        <w:p w14:paraId="1EBE7379" w14:textId="0D1EE81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29" w:history="1">
            <w:r w:rsidR="00EE58E9" w:rsidRPr="00EE58E9">
              <w:rPr>
                <w:rStyle w:val="Hyperlink"/>
                <w:rFonts w:ascii="Times New Roman" w:hAnsi="Times New Roman" w:cs="Times New Roman"/>
                <w:noProof/>
                <w:sz w:val="22"/>
                <w:szCs w:val="22"/>
              </w:rPr>
              <w:t>6.8</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Wyoming Workers’ Safety and Compensation Division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_Toc75269429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156</w:t>
            </w:r>
            <w:r w:rsidR="00EE58E9" w:rsidRPr="00EE58E9">
              <w:rPr>
                <w:noProof/>
                <w:webHidden/>
                <w:sz w:val="22"/>
                <w:szCs w:val="22"/>
              </w:rPr>
              <w:fldChar w:fldCharType="end"/>
            </w:r>
          </w:hyperlink>
        </w:p>
        <w:p w14:paraId="0B60B84F" w14:textId="2DA9F33D"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0" w:history="1">
            <w:r w:rsidR="00EE58E9" w:rsidRPr="00EE58E9">
              <w:rPr>
                <w:rStyle w:val="Hyperlink"/>
                <w:rFonts w:ascii="Times New Roman" w:hAnsi="Times New Roman" w:cs="Times New Roman"/>
                <w:noProof/>
                <w:sz w:val="22"/>
                <w:szCs w:val="22"/>
              </w:rPr>
              <w:t>6.9</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Wyoming Office of Administrative Hearings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159</w:t>
            </w:r>
            <w:r w:rsidR="00EE58E9" w:rsidRPr="00EE58E9">
              <w:rPr>
                <w:noProof/>
                <w:webHidden/>
                <w:sz w:val="22"/>
                <w:szCs w:val="22"/>
              </w:rPr>
              <w:fldChar w:fldCharType="end"/>
            </w:r>
          </w:hyperlink>
        </w:p>
        <w:p w14:paraId="188B6FE4" w14:textId="53CEB71B"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1" w:history="1">
            <w:r w:rsidR="00EE58E9" w:rsidRPr="00EE58E9">
              <w:rPr>
                <w:rStyle w:val="Hyperlink"/>
                <w:rFonts w:ascii="Times New Roman" w:hAnsi="Times New Roman" w:cs="Times New Roman"/>
                <w:noProof/>
                <w:sz w:val="22"/>
                <w:szCs w:val="22"/>
              </w:rPr>
              <w:t>6.10</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Wyoming Medical Commission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_Toc75269431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161</w:t>
            </w:r>
            <w:r w:rsidR="00EE58E9" w:rsidRPr="00EE58E9">
              <w:rPr>
                <w:noProof/>
                <w:webHidden/>
                <w:sz w:val="22"/>
                <w:szCs w:val="22"/>
              </w:rPr>
              <w:fldChar w:fldCharType="end"/>
            </w:r>
          </w:hyperlink>
        </w:p>
        <w:p w14:paraId="3850325B" w14:textId="6576149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2" w:history="1">
            <w:r w:rsidR="00EE58E9" w:rsidRPr="00EE58E9">
              <w:rPr>
                <w:rStyle w:val="Hyperlink"/>
                <w:rFonts w:ascii="Times New Roman" w:hAnsi="Times New Roman" w:cs="Times New Roman"/>
                <w:noProof/>
                <w:sz w:val="22"/>
                <w:szCs w:val="22"/>
              </w:rPr>
              <w:t>6.11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 Workers’ Compensation Contested Case Proceedings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164</w:t>
            </w:r>
            <w:r w:rsidR="00EE58E9" w:rsidRPr="00EE58E9">
              <w:rPr>
                <w:noProof/>
                <w:webHidden/>
                <w:sz w:val="22"/>
                <w:szCs w:val="22"/>
              </w:rPr>
              <w:fldChar w:fldCharType="end"/>
            </w:r>
          </w:hyperlink>
        </w:p>
        <w:p w14:paraId="77A88D32" w14:textId="562B8AC9"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3" w:history="1">
            <w:r w:rsidR="00EE58E9" w:rsidRPr="00EE58E9">
              <w:rPr>
                <w:rStyle w:val="Hyperlink"/>
                <w:rFonts w:ascii="Times New Roman" w:hAnsi="Times New Roman" w:cs="Times New Roman"/>
                <w:noProof/>
                <w:sz w:val="22"/>
                <w:szCs w:val="22"/>
              </w:rPr>
              <w:t>6.12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Wyoming Contested Case Procedures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168</w:t>
            </w:r>
            <w:r w:rsidR="00EE58E9" w:rsidRPr="00EE58E9">
              <w:rPr>
                <w:noProof/>
                <w:webHidden/>
                <w:sz w:val="22"/>
                <w:szCs w:val="22"/>
              </w:rPr>
              <w:fldChar w:fldCharType="end"/>
            </w:r>
          </w:hyperlink>
        </w:p>
        <w:p w14:paraId="183DA397" w14:textId="205D1C8F"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4" w:history="1">
            <w:r w:rsidR="00EE58E9" w:rsidRPr="00EE58E9">
              <w:rPr>
                <w:rStyle w:val="Hyperlink"/>
                <w:rFonts w:ascii="Times New Roman" w:hAnsi="Times New Roman" w:cs="Times New Roman"/>
                <w:noProof/>
                <w:sz w:val="22"/>
                <w:szCs w:val="22"/>
              </w:rPr>
              <w:t>6.13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Workers’ Compensation Attorneys’ Fees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171</w:t>
            </w:r>
            <w:r w:rsidR="00EE58E9" w:rsidRPr="00EE58E9">
              <w:rPr>
                <w:noProof/>
                <w:webHidden/>
                <w:sz w:val="22"/>
                <w:szCs w:val="22"/>
              </w:rPr>
              <w:fldChar w:fldCharType="end"/>
            </w:r>
          </w:hyperlink>
        </w:p>
        <w:p w14:paraId="0FB9850A" w14:textId="1360D290" w:rsidR="00EE58E9" w:rsidRPr="00EE58E9" w:rsidRDefault="00E655A9" w:rsidP="00EE58E9">
          <w:pPr>
            <w:pStyle w:val="TOC1"/>
            <w:rPr>
              <w:rFonts w:asciiTheme="minorHAnsi" w:eastAsiaTheme="minorEastAsia" w:hAnsiTheme="minorHAnsi" w:cstheme="minorBidi"/>
            </w:rPr>
          </w:pPr>
          <w:hyperlink w:anchor="_Toc75269435" w:history="1">
            <w:r w:rsidR="00EE58E9" w:rsidRPr="00EE58E9">
              <w:rPr>
                <w:rStyle w:val="Hyperlink"/>
              </w:rPr>
              <w:t>7</w:t>
            </w:r>
            <w:r w:rsidR="00EE58E9" w:rsidRPr="00EE58E9">
              <w:rPr>
                <w:rFonts w:asciiTheme="minorHAnsi" w:eastAsiaTheme="minorEastAsia" w:hAnsiTheme="minorHAnsi" w:cstheme="minorBidi"/>
              </w:rPr>
              <w:tab/>
            </w:r>
            <w:r w:rsidR="00EE58E9" w:rsidRPr="00EE58E9">
              <w:rPr>
                <w:rStyle w:val="Hyperlink"/>
              </w:rPr>
              <w:t>Judicial Review of Workers’ Compensation Decisions</w:t>
            </w:r>
            <w:r w:rsidR="00EE58E9">
              <w:rPr>
                <w:rStyle w:val="Hyperlink"/>
              </w:rPr>
              <w:t>.</w:t>
            </w:r>
            <w:r w:rsidR="00EE58E9" w:rsidRPr="00EE58E9">
              <w:rPr>
                <w:webHidden/>
              </w:rPr>
              <w:tab/>
            </w:r>
            <w:r w:rsidR="00EE58E9" w:rsidRPr="00EE58E9">
              <w:rPr>
                <w:webHidden/>
              </w:rPr>
              <w:fldChar w:fldCharType="begin"/>
            </w:r>
            <w:r w:rsidR="00EE58E9" w:rsidRPr="00EE58E9">
              <w:rPr>
                <w:webHidden/>
              </w:rPr>
              <w:instrText xml:space="preserve"> PAGEREF _Toc75269435 \h </w:instrText>
            </w:r>
            <w:r w:rsidR="00EE58E9" w:rsidRPr="00EE58E9">
              <w:rPr>
                <w:webHidden/>
              </w:rPr>
            </w:r>
            <w:r w:rsidR="00EE58E9" w:rsidRPr="00EE58E9">
              <w:rPr>
                <w:webHidden/>
              </w:rPr>
              <w:fldChar w:fldCharType="separate"/>
            </w:r>
            <w:r w:rsidR="00587001">
              <w:rPr>
                <w:webHidden/>
              </w:rPr>
              <w:t>179</w:t>
            </w:r>
            <w:r w:rsidR="00EE58E9" w:rsidRPr="00EE58E9">
              <w:rPr>
                <w:webHidden/>
              </w:rPr>
              <w:fldChar w:fldCharType="end"/>
            </w:r>
          </w:hyperlink>
        </w:p>
        <w:p w14:paraId="5B31986A" w14:textId="70AD1C38"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6" w:history="1">
            <w:r w:rsidR="00EE58E9" w:rsidRPr="00EE58E9">
              <w:rPr>
                <w:rStyle w:val="Hyperlink"/>
                <w:rFonts w:ascii="Times New Roman" w:hAnsi="Times New Roman" w:cs="Times New Roman"/>
                <w:noProof/>
                <w:sz w:val="22"/>
                <w:szCs w:val="22"/>
              </w:rPr>
              <w:t>7.1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Judicial Review of Administrative Agencies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179</w:t>
            </w:r>
            <w:r w:rsidR="00EE58E9" w:rsidRPr="00EE58E9">
              <w:rPr>
                <w:noProof/>
                <w:webHidden/>
                <w:sz w:val="22"/>
                <w:szCs w:val="22"/>
              </w:rPr>
              <w:fldChar w:fldCharType="end"/>
            </w:r>
          </w:hyperlink>
        </w:p>
        <w:p w14:paraId="18B0F4CD" w14:textId="47C66313"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7" w:history="1">
            <w:r w:rsidR="00EE58E9" w:rsidRPr="00EE58E9">
              <w:rPr>
                <w:rStyle w:val="Hyperlink"/>
                <w:rFonts w:ascii="Times New Roman" w:hAnsi="Times New Roman" w:cs="Times New Roman"/>
                <w:noProof/>
                <w:sz w:val="22"/>
                <w:szCs w:val="22"/>
              </w:rPr>
              <w:t>7.2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Judicial Review of Administrative Agencies in Wyoming Workers’ Compensation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180</w:t>
            </w:r>
            <w:r w:rsidR="00EE58E9" w:rsidRPr="00EE58E9">
              <w:rPr>
                <w:noProof/>
                <w:webHidden/>
                <w:sz w:val="22"/>
                <w:szCs w:val="22"/>
              </w:rPr>
              <w:fldChar w:fldCharType="end"/>
            </w:r>
          </w:hyperlink>
        </w:p>
        <w:p w14:paraId="57AC0B3A" w14:textId="70802E16"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8" w:history="1">
            <w:r w:rsidR="00EE58E9" w:rsidRPr="00EE58E9">
              <w:rPr>
                <w:rStyle w:val="Hyperlink"/>
                <w:rFonts w:ascii="Times New Roman" w:hAnsi="Times New Roman" w:cs="Times New Roman"/>
                <w:noProof/>
                <w:sz w:val="22"/>
                <w:szCs w:val="22"/>
              </w:rPr>
              <w:t>7.3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The Substantial Evidence Rule</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182</w:t>
            </w:r>
            <w:r w:rsidR="00EE58E9" w:rsidRPr="00EE58E9">
              <w:rPr>
                <w:noProof/>
                <w:webHidden/>
                <w:sz w:val="22"/>
                <w:szCs w:val="22"/>
              </w:rPr>
              <w:fldChar w:fldCharType="end"/>
            </w:r>
          </w:hyperlink>
        </w:p>
        <w:p w14:paraId="7E379718" w14:textId="1F785CD0"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39" w:history="1">
            <w:r w:rsidR="00EE58E9" w:rsidRPr="00EE58E9">
              <w:rPr>
                <w:rStyle w:val="Hyperlink"/>
                <w:rFonts w:ascii="Times New Roman" w:hAnsi="Times New Roman" w:cs="Times New Roman"/>
                <w:noProof/>
                <w:sz w:val="22"/>
                <w:szCs w:val="22"/>
              </w:rPr>
              <w:t>7.4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Arbitrary and Capricious Review</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_Toc75269439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184</w:t>
            </w:r>
            <w:r w:rsidR="00EE58E9" w:rsidRPr="00EE58E9">
              <w:rPr>
                <w:noProof/>
                <w:webHidden/>
                <w:sz w:val="22"/>
                <w:szCs w:val="22"/>
              </w:rPr>
              <w:fldChar w:fldCharType="end"/>
            </w:r>
          </w:hyperlink>
        </w:p>
        <w:p w14:paraId="35AC6A8E" w14:textId="35C9162C"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0" w:history="1">
            <w:r w:rsidR="00EE58E9" w:rsidRPr="00EE58E9">
              <w:rPr>
                <w:rStyle w:val="Hyperlink"/>
                <w:rFonts w:ascii="Times New Roman" w:hAnsi="Times New Roman" w:cs="Times New Roman"/>
                <w:noProof/>
                <w:sz w:val="22"/>
                <w:szCs w:val="22"/>
              </w:rPr>
              <w:t>7.5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Substantial Evidence versus Arbitrary and Capricious Review</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_Toc75269440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184</w:t>
            </w:r>
            <w:r w:rsidR="00EE58E9" w:rsidRPr="00EE58E9">
              <w:rPr>
                <w:noProof/>
                <w:webHidden/>
                <w:sz w:val="22"/>
                <w:szCs w:val="22"/>
              </w:rPr>
              <w:fldChar w:fldCharType="end"/>
            </w:r>
          </w:hyperlink>
        </w:p>
        <w:p w14:paraId="3280A6B9" w14:textId="6EC69BF3" w:rsidR="00EE58E9" w:rsidRPr="00EE58E9" w:rsidRDefault="00E655A9" w:rsidP="00EE58E9">
          <w:pPr>
            <w:pStyle w:val="TOC1"/>
            <w:rPr>
              <w:rFonts w:asciiTheme="minorHAnsi" w:eastAsiaTheme="minorEastAsia" w:hAnsiTheme="minorHAnsi" w:cstheme="minorBidi"/>
            </w:rPr>
          </w:pPr>
          <w:hyperlink w:anchor="_Toc75269441" w:history="1">
            <w:r w:rsidR="00EE58E9" w:rsidRPr="00EE58E9">
              <w:rPr>
                <w:rStyle w:val="Hyperlink"/>
              </w:rPr>
              <w:t>8</w:t>
            </w:r>
            <w:r w:rsidR="00EE58E9" w:rsidRPr="00EE58E9">
              <w:rPr>
                <w:rFonts w:asciiTheme="minorHAnsi" w:eastAsiaTheme="minorEastAsia" w:hAnsiTheme="minorHAnsi" w:cstheme="minorBidi"/>
              </w:rPr>
              <w:tab/>
            </w:r>
            <w:r w:rsidR="00EE58E9" w:rsidRPr="00EE58E9">
              <w:rPr>
                <w:rStyle w:val="Hyperlink"/>
              </w:rPr>
              <w:t>Miscellaneous Topics</w:t>
            </w:r>
            <w:r w:rsidR="00EE58E9" w:rsidRPr="00EE58E9">
              <w:rPr>
                <w:webHidden/>
              </w:rPr>
              <w:tab/>
            </w:r>
            <w:r w:rsidR="00EE58E9" w:rsidRPr="00EE58E9">
              <w:rPr>
                <w:webHidden/>
              </w:rPr>
              <w:fldChar w:fldCharType="begin"/>
            </w:r>
            <w:r w:rsidR="00EE58E9" w:rsidRPr="00EE58E9">
              <w:rPr>
                <w:webHidden/>
              </w:rPr>
              <w:instrText xml:space="preserve"> PAGEREF _Toc75269441 \h </w:instrText>
            </w:r>
            <w:r w:rsidR="00EE58E9" w:rsidRPr="00EE58E9">
              <w:rPr>
                <w:webHidden/>
              </w:rPr>
            </w:r>
            <w:r w:rsidR="00EE58E9" w:rsidRPr="00EE58E9">
              <w:rPr>
                <w:webHidden/>
              </w:rPr>
              <w:fldChar w:fldCharType="separate"/>
            </w:r>
            <w:r w:rsidR="00587001">
              <w:rPr>
                <w:webHidden/>
              </w:rPr>
              <w:t>191</w:t>
            </w:r>
            <w:r w:rsidR="00EE58E9" w:rsidRPr="00EE58E9">
              <w:rPr>
                <w:webHidden/>
              </w:rPr>
              <w:fldChar w:fldCharType="end"/>
            </w:r>
          </w:hyperlink>
        </w:p>
        <w:p w14:paraId="0C88D895" w14:textId="1069FE3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2" w:history="1">
            <w:r w:rsidR="00EE58E9" w:rsidRPr="00EE58E9">
              <w:rPr>
                <w:rStyle w:val="Hyperlink"/>
                <w:rFonts w:ascii="Times New Roman" w:hAnsi="Times New Roman" w:cs="Times New Roman"/>
                <w:noProof/>
                <w:sz w:val="22"/>
                <w:szCs w:val="22"/>
              </w:rPr>
              <w:t>8.1</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Third Party Actions Generally</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_Toc75269442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191</w:t>
            </w:r>
            <w:r w:rsidR="00EE58E9" w:rsidRPr="00EE58E9">
              <w:rPr>
                <w:noProof/>
                <w:webHidden/>
                <w:sz w:val="22"/>
                <w:szCs w:val="22"/>
              </w:rPr>
              <w:fldChar w:fldCharType="end"/>
            </w:r>
          </w:hyperlink>
        </w:p>
        <w:p w14:paraId="78E989A4" w14:textId="47380F1B"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3" w:history="1">
            <w:r w:rsidR="00EE58E9" w:rsidRPr="00EE58E9">
              <w:rPr>
                <w:rStyle w:val="Hyperlink"/>
                <w:rFonts w:ascii="Times New Roman" w:hAnsi="Times New Roman" w:cs="Times New Roman"/>
                <w:noProof/>
                <w:sz w:val="22"/>
                <w:szCs w:val="22"/>
              </w:rPr>
              <w:t>8.2</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Third Party Actions in Wyoming</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_Toc75269443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191</w:t>
            </w:r>
            <w:r w:rsidR="00EE58E9" w:rsidRPr="00EE58E9">
              <w:rPr>
                <w:noProof/>
                <w:webHidden/>
                <w:sz w:val="22"/>
                <w:szCs w:val="22"/>
              </w:rPr>
              <w:fldChar w:fldCharType="end"/>
            </w:r>
          </w:hyperlink>
        </w:p>
        <w:p w14:paraId="32525DA7" w14:textId="70B4119B"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4" w:history="1">
            <w:r w:rsidR="00EE58E9" w:rsidRPr="00EE58E9">
              <w:rPr>
                <w:rStyle w:val="Hyperlink"/>
                <w:rFonts w:ascii="Times New Roman" w:hAnsi="Times New Roman" w:cs="Times New Roman"/>
                <w:noProof/>
                <w:sz w:val="22"/>
                <w:szCs w:val="22"/>
              </w:rPr>
              <w:t>8.3</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Alternative Dispute Resolution</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_Toc75269444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196</w:t>
            </w:r>
            <w:r w:rsidR="00EE58E9" w:rsidRPr="00EE58E9">
              <w:rPr>
                <w:noProof/>
                <w:webHidden/>
                <w:sz w:val="22"/>
                <w:szCs w:val="22"/>
              </w:rPr>
              <w:fldChar w:fldCharType="end"/>
            </w:r>
          </w:hyperlink>
        </w:p>
        <w:p w14:paraId="1CDF99ED" w14:textId="70F42B07"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5" w:history="1">
            <w:r w:rsidR="00EE58E9" w:rsidRPr="00EE58E9">
              <w:rPr>
                <w:rStyle w:val="Hyperlink"/>
                <w:rFonts w:ascii="Times New Roman" w:hAnsi="Times New Roman" w:cs="Times New Roman"/>
                <w:noProof/>
                <w:sz w:val="22"/>
                <w:szCs w:val="22"/>
              </w:rPr>
              <w:t>8.4</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Experience Rating &amp; Workers’ Compensation Account</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_Toc75269445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198</w:t>
            </w:r>
            <w:r w:rsidR="00EE58E9" w:rsidRPr="00EE58E9">
              <w:rPr>
                <w:noProof/>
                <w:webHidden/>
                <w:sz w:val="22"/>
                <w:szCs w:val="22"/>
              </w:rPr>
              <w:fldChar w:fldCharType="end"/>
            </w:r>
          </w:hyperlink>
        </w:p>
        <w:p w14:paraId="4920CCCC" w14:textId="0A1F5724"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6" w:history="1">
            <w:r w:rsidR="00EE58E9" w:rsidRPr="00EE58E9">
              <w:rPr>
                <w:rStyle w:val="Hyperlink"/>
                <w:rFonts w:ascii="Times New Roman" w:hAnsi="Times New Roman" w:cs="Times New Roman"/>
                <w:noProof/>
                <w:sz w:val="22"/>
                <w:szCs w:val="22"/>
              </w:rPr>
              <w:t>8.5</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Penalties and Sanctions: Employees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_Toc75269446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201</w:t>
            </w:r>
            <w:r w:rsidR="00EE58E9" w:rsidRPr="00EE58E9">
              <w:rPr>
                <w:noProof/>
                <w:webHidden/>
                <w:sz w:val="22"/>
                <w:szCs w:val="22"/>
              </w:rPr>
              <w:fldChar w:fldCharType="end"/>
            </w:r>
          </w:hyperlink>
        </w:p>
        <w:p w14:paraId="0A5D94B1" w14:textId="1D4C5515"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7" w:history="1">
            <w:r w:rsidR="00EE58E9" w:rsidRPr="00EE58E9">
              <w:rPr>
                <w:rStyle w:val="Hyperlink"/>
                <w:rFonts w:ascii="Times New Roman" w:hAnsi="Times New Roman" w:cs="Times New Roman"/>
                <w:noProof/>
                <w:sz w:val="22"/>
                <w:szCs w:val="22"/>
              </w:rPr>
              <w:t>8.6</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Penalties and Sanctions: Employers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_Toc75269447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204</w:t>
            </w:r>
            <w:r w:rsidR="00EE58E9" w:rsidRPr="00EE58E9">
              <w:rPr>
                <w:noProof/>
                <w:webHidden/>
                <w:sz w:val="22"/>
                <w:szCs w:val="22"/>
              </w:rPr>
              <w:fldChar w:fldCharType="end"/>
            </w:r>
          </w:hyperlink>
        </w:p>
        <w:p w14:paraId="431DF0F7" w14:textId="125C1C9A" w:rsidR="00EE58E9" w:rsidRPr="00EE58E9" w:rsidRDefault="00E655A9">
          <w:pPr>
            <w:pStyle w:val="TOC2"/>
            <w:tabs>
              <w:tab w:val="left" w:pos="660"/>
              <w:tab w:val="right" w:leader="dot" w:pos="7910"/>
            </w:tabs>
            <w:rPr>
              <w:rFonts w:eastAsiaTheme="minorEastAsia" w:cstheme="minorBidi"/>
              <w:b w:val="0"/>
              <w:bCs w:val="0"/>
              <w:noProof/>
              <w:sz w:val="22"/>
              <w:szCs w:val="22"/>
            </w:rPr>
          </w:pPr>
          <w:hyperlink w:anchor="_Toc75269448" w:history="1">
            <w:r w:rsidR="00EE58E9" w:rsidRPr="00EE58E9">
              <w:rPr>
                <w:rStyle w:val="Hyperlink"/>
                <w:rFonts w:ascii="Times New Roman" w:hAnsi="Times New Roman" w:cs="Times New Roman"/>
                <w:noProof/>
                <w:sz w:val="22"/>
                <w:szCs w:val="22"/>
              </w:rPr>
              <w:t>8.7</w:t>
            </w:r>
            <w:r w:rsidR="00EE58E9" w:rsidRPr="00EE58E9">
              <w:rPr>
                <w:rFonts w:eastAsiaTheme="minorEastAsia" w:cstheme="minorBidi"/>
                <w:b w:val="0"/>
                <w:bCs w:val="0"/>
                <w:noProof/>
                <w:sz w:val="22"/>
                <w:szCs w:val="22"/>
              </w:rPr>
              <w:tab/>
            </w:r>
            <w:r w:rsidR="00EE58E9" w:rsidRPr="00EE58E9">
              <w:rPr>
                <w:rStyle w:val="Hyperlink"/>
                <w:rFonts w:ascii="Times New Roman" w:hAnsi="Times New Roman" w:cs="Times New Roman"/>
                <w:noProof/>
                <w:sz w:val="22"/>
                <w:szCs w:val="22"/>
              </w:rPr>
              <w:t>Employee Anti-Retaliation Protections</w:t>
            </w:r>
            <w:r w:rsidR="00EE58E9" w:rsidRPr="00EE58E9">
              <w:rPr>
                <w:noProof/>
                <w:webHidden/>
                <w:sz w:val="22"/>
                <w:szCs w:val="22"/>
              </w:rPr>
              <w:tab/>
            </w:r>
            <w:r w:rsidR="00EE58E9" w:rsidRPr="00EE58E9">
              <w:rPr>
                <w:noProof/>
                <w:webHidden/>
                <w:sz w:val="22"/>
                <w:szCs w:val="22"/>
              </w:rPr>
              <w:fldChar w:fldCharType="begin"/>
            </w:r>
            <w:r w:rsidR="00EE58E9" w:rsidRPr="00EE58E9">
              <w:rPr>
                <w:noProof/>
                <w:webHidden/>
                <w:sz w:val="22"/>
                <w:szCs w:val="22"/>
              </w:rPr>
              <w:instrText xml:space="preserve"> PAGEREF _Toc75269448 \h </w:instrText>
            </w:r>
            <w:r w:rsidR="00EE58E9" w:rsidRPr="00EE58E9">
              <w:rPr>
                <w:noProof/>
                <w:webHidden/>
                <w:sz w:val="22"/>
                <w:szCs w:val="22"/>
              </w:rPr>
            </w:r>
            <w:r w:rsidR="00EE58E9" w:rsidRPr="00EE58E9">
              <w:rPr>
                <w:noProof/>
                <w:webHidden/>
                <w:sz w:val="22"/>
                <w:szCs w:val="22"/>
              </w:rPr>
              <w:fldChar w:fldCharType="separate"/>
            </w:r>
            <w:r w:rsidR="00587001">
              <w:rPr>
                <w:noProof/>
                <w:webHidden/>
                <w:sz w:val="22"/>
                <w:szCs w:val="22"/>
              </w:rPr>
              <w:t>205</w:t>
            </w:r>
            <w:r w:rsidR="00EE58E9" w:rsidRPr="00EE58E9">
              <w:rPr>
                <w:noProof/>
                <w:webHidden/>
                <w:sz w:val="22"/>
                <w:szCs w:val="22"/>
              </w:rPr>
              <w:fldChar w:fldCharType="end"/>
            </w:r>
          </w:hyperlink>
        </w:p>
        <w:p w14:paraId="6EB20314" w14:textId="1AA767CC" w:rsidR="00EE58E9" w:rsidRPr="00EE58E9" w:rsidRDefault="00E655A9" w:rsidP="00EE58E9">
          <w:pPr>
            <w:pStyle w:val="TOC1"/>
            <w:rPr>
              <w:rFonts w:asciiTheme="minorHAnsi" w:eastAsiaTheme="minorEastAsia" w:hAnsiTheme="minorHAnsi" w:cstheme="minorBidi"/>
            </w:rPr>
          </w:pPr>
          <w:hyperlink w:anchor="_Toc75269449" w:history="1">
            <w:r w:rsidR="00EE58E9" w:rsidRPr="00EE58E9">
              <w:rPr>
                <w:rStyle w:val="Hyperlink"/>
              </w:rPr>
              <w:t>9</w:t>
            </w:r>
            <w:r w:rsidR="00EE58E9" w:rsidRPr="00EE58E9">
              <w:rPr>
                <w:rFonts w:asciiTheme="minorHAnsi" w:eastAsiaTheme="minorEastAsia" w:hAnsiTheme="minorHAnsi" w:cstheme="minorBidi"/>
              </w:rPr>
              <w:tab/>
            </w:r>
            <w:r w:rsidR="00EE58E9" w:rsidRPr="00EE58E9">
              <w:rPr>
                <w:rStyle w:val="Hyperlink"/>
              </w:rPr>
              <w:t>Appendix: Assorted Wyoming Workers’ Compensation Administrative Rules</w:t>
            </w:r>
            <w:r w:rsidR="00EE58E9" w:rsidRPr="00EE58E9">
              <w:rPr>
                <w:webHidden/>
              </w:rPr>
              <w:tab/>
            </w:r>
            <w:r w:rsidR="00177606">
              <w:rPr>
                <w:webHidden/>
              </w:rPr>
              <w:t>A-1</w:t>
            </w:r>
          </w:hyperlink>
        </w:p>
        <w:p w14:paraId="4313FE99" w14:textId="3E2CFDD1" w:rsidR="0074505E" w:rsidRPr="00EE58E9" w:rsidRDefault="0074505E">
          <w:pPr>
            <w:rPr>
              <w:b/>
              <w:bCs/>
              <w:noProof/>
            </w:rPr>
          </w:pPr>
          <w:r w:rsidRPr="00EE58E9">
            <w:rPr>
              <w:b/>
              <w:bCs/>
              <w:noProof/>
            </w:rPr>
            <w:fldChar w:fldCharType="end"/>
          </w:r>
        </w:p>
      </w:sdtContent>
    </w:sdt>
    <w:p w14:paraId="7D28DDCB" w14:textId="6278A3FB" w:rsidR="007E46A5" w:rsidRPr="00EE58E9" w:rsidRDefault="007E46A5">
      <w:pPr>
        <w:rPr>
          <w:rFonts w:ascii="Times New Roman" w:hAnsi="Times New Roman" w:cs="Times New Roman"/>
          <w:b/>
          <w:bCs/>
          <w:noProof/>
        </w:rPr>
        <w:sectPr w:rsidR="007E46A5" w:rsidRPr="00EE58E9" w:rsidSect="00B20237">
          <w:footerReference w:type="default" r:id="rId20"/>
          <w:footerReference w:type="first" r:id="rId21"/>
          <w:endnotePr>
            <w:numFmt w:val="decimal"/>
          </w:endnotePr>
          <w:pgSz w:w="12240" w:h="15840"/>
          <w:pgMar w:top="1440" w:right="2160" w:bottom="1440" w:left="2160" w:header="720" w:footer="720" w:gutter="0"/>
          <w:pgNumType w:fmt="lowerRoman" w:start="1"/>
          <w:cols w:space="720"/>
          <w:docGrid w:linePitch="360"/>
        </w:sectPr>
      </w:pPr>
    </w:p>
    <w:p w14:paraId="1BCC58A1" w14:textId="425976A1" w:rsidR="0074505E" w:rsidRPr="00EE58E9" w:rsidRDefault="0074505E">
      <w:pPr>
        <w:rPr>
          <w:b/>
          <w:bCs/>
          <w:noProof/>
        </w:rPr>
      </w:pPr>
    </w:p>
    <w:p w14:paraId="75AA198B" w14:textId="178E9EA2" w:rsidR="0074505E" w:rsidRDefault="0074505E">
      <w:pPr>
        <w:rPr>
          <w:b/>
          <w:bCs/>
          <w:noProof/>
        </w:rPr>
      </w:pPr>
    </w:p>
    <w:p w14:paraId="55685EAE" w14:textId="1925D8C8" w:rsidR="0074505E" w:rsidRDefault="0074505E">
      <w:pPr>
        <w:rPr>
          <w:b/>
          <w:bCs/>
          <w:noProof/>
        </w:rPr>
      </w:pPr>
    </w:p>
    <w:p w14:paraId="5BFA3D4E" w14:textId="4279C465" w:rsidR="0074505E" w:rsidRDefault="0074505E">
      <w:pPr>
        <w:rPr>
          <w:b/>
          <w:bCs/>
          <w:noProof/>
        </w:rPr>
      </w:pPr>
    </w:p>
    <w:p w14:paraId="54702870" w14:textId="1E2E986F" w:rsidR="0074505E" w:rsidRDefault="0074505E">
      <w:pPr>
        <w:rPr>
          <w:b/>
          <w:bCs/>
          <w:noProof/>
        </w:rPr>
      </w:pPr>
    </w:p>
    <w:p w14:paraId="7C9AA9BF" w14:textId="4E24E41B" w:rsidR="0074505E" w:rsidRDefault="0074505E">
      <w:pPr>
        <w:rPr>
          <w:b/>
          <w:bCs/>
          <w:noProof/>
        </w:rPr>
      </w:pPr>
    </w:p>
    <w:p w14:paraId="784FC496" w14:textId="261D4973" w:rsidR="0074505E" w:rsidRDefault="0074505E">
      <w:pPr>
        <w:rPr>
          <w:b/>
          <w:bCs/>
          <w:noProof/>
        </w:rPr>
      </w:pPr>
    </w:p>
    <w:p w14:paraId="4C977D18" w14:textId="0AB540CD" w:rsidR="0074505E" w:rsidRDefault="0074505E">
      <w:pPr>
        <w:rPr>
          <w:b/>
          <w:bCs/>
          <w:noProof/>
        </w:rPr>
      </w:pPr>
    </w:p>
    <w:p w14:paraId="6683A44E" w14:textId="01F67AAB" w:rsidR="0074505E" w:rsidRDefault="0074505E">
      <w:pPr>
        <w:rPr>
          <w:b/>
          <w:bCs/>
          <w:noProof/>
        </w:rPr>
      </w:pPr>
    </w:p>
    <w:p w14:paraId="67CCA572" w14:textId="6480D77A" w:rsidR="0074505E" w:rsidRDefault="0074505E">
      <w:pPr>
        <w:rPr>
          <w:b/>
          <w:bCs/>
          <w:noProof/>
        </w:rPr>
      </w:pPr>
    </w:p>
    <w:p w14:paraId="3DD75D4E" w14:textId="0ED6DC64" w:rsidR="0074505E" w:rsidRDefault="0074505E">
      <w:pPr>
        <w:rPr>
          <w:b/>
          <w:bCs/>
          <w:noProof/>
        </w:rPr>
      </w:pPr>
    </w:p>
    <w:p w14:paraId="63D1A578" w14:textId="1964E75C" w:rsidR="0074505E" w:rsidRDefault="0074505E">
      <w:pPr>
        <w:rPr>
          <w:b/>
          <w:bCs/>
          <w:noProof/>
        </w:rPr>
      </w:pPr>
    </w:p>
    <w:p w14:paraId="4F0C6D84" w14:textId="2AD24A87" w:rsidR="0074505E" w:rsidRDefault="0074505E">
      <w:pPr>
        <w:rPr>
          <w:b/>
          <w:bCs/>
          <w:noProof/>
        </w:rPr>
      </w:pPr>
    </w:p>
    <w:p w14:paraId="6081F442" w14:textId="77777777" w:rsidR="0074505E" w:rsidRDefault="0074505E">
      <w:pPr>
        <w:rPr>
          <w:b/>
          <w:bCs/>
          <w:noProof/>
        </w:rPr>
      </w:pPr>
    </w:p>
    <w:p w14:paraId="7BF6AA37" w14:textId="21994806" w:rsidR="0074505E" w:rsidRDefault="0074505E">
      <w:pPr>
        <w:rPr>
          <w:b/>
          <w:bCs/>
          <w:noProof/>
        </w:rPr>
      </w:pPr>
    </w:p>
    <w:p w14:paraId="14EA97A9" w14:textId="06C8EEB0" w:rsidR="000860F3" w:rsidRDefault="000860F3">
      <w:pPr>
        <w:rPr>
          <w:b/>
          <w:bCs/>
          <w:noProof/>
        </w:rPr>
      </w:pPr>
    </w:p>
    <w:p w14:paraId="65798391" w14:textId="77777777" w:rsidR="000860F3" w:rsidRDefault="000860F3">
      <w:pPr>
        <w:rPr>
          <w:b/>
          <w:bCs/>
          <w:noProof/>
        </w:rPr>
      </w:pPr>
    </w:p>
    <w:p w14:paraId="00794E7D" w14:textId="77777777" w:rsidR="00B20237" w:rsidRDefault="00B20237" w:rsidP="00B20237">
      <w:pPr>
        <w:pStyle w:val="Heading1"/>
        <w:numPr>
          <w:ilvl w:val="0"/>
          <w:numId w:val="0"/>
        </w:numPr>
        <w:ind w:left="432"/>
        <w:rPr>
          <w:rFonts w:ascii="Times New Roman" w:hAnsi="Times New Roman" w:cs="Times New Roman"/>
          <w:b/>
          <w:bCs/>
          <w:color w:val="auto"/>
        </w:rPr>
        <w:sectPr w:rsidR="00B20237" w:rsidSect="007E46A5">
          <w:endnotePr>
            <w:numFmt w:val="decimal"/>
          </w:endnotePr>
          <w:type w:val="continuous"/>
          <w:pgSz w:w="12240" w:h="15840"/>
          <w:pgMar w:top="1440" w:right="2160" w:bottom="1440" w:left="2160" w:header="720" w:footer="720" w:gutter="0"/>
          <w:pgNumType w:start="1"/>
          <w:cols w:space="720"/>
          <w:docGrid w:linePitch="360"/>
        </w:sectPr>
      </w:pPr>
    </w:p>
    <w:p w14:paraId="3DFC68E4" w14:textId="7E5E3DE4" w:rsidR="00DC486D" w:rsidRPr="008F5698" w:rsidRDefault="007E34E1" w:rsidP="008F5698">
      <w:pPr>
        <w:pStyle w:val="Heading1"/>
        <w:rPr>
          <w:rFonts w:ascii="Times New Roman" w:hAnsi="Times New Roman" w:cs="Times New Roman"/>
          <w:b/>
          <w:bCs/>
          <w:color w:val="auto"/>
        </w:rPr>
      </w:pPr>
      <w:bookmarkStart w:id="4" w:name="_Toc75269334"/>
      <w:r w:rsidRPr="008F5698">
        <w:rPr>
          <w:rFonts w:ascii="Times New Roman" w:hAnsi="Times New Roman" w:cs="Times New Roman"/>
          <w:b/>
          <w:bCs/>
          <w:color w:val="auto"/>
        </w:rPr>
        <w:lastRenderedPageBreak/>
        <w:t>INTRODUCTION TO THE WYOMING WORKERS’ COMPENSATION ACT</w:t>
      </w:r>
      <w:bookmarkEnd w:id="4"/>
    </w:p>
    <w:p w14:paraId="4322CA00" w14:textId="77777777" w:rsidR="008B479F" w:rsidRPr="008B479F" w:rsidRDefault="008B479F" w:rsidP="008A788C">
      <w:pPr>
        <w:spacing w:after="0"/>
        <w:rPr>
          <w:rFonts w:ascii="Times New Roman" w:hAnsi="Times New Roman" w:cs="Times New Roman"/>
          <w:b/>
          <w:sz w:val="24"/>
          <w:szCs w:val="24"/>
        </w:rPr>
      </w:pPr>
    </w:p>
    <w:p w14:paraId="0519AB31" w14:textId="3E442369" w:rsidR="00DC486D" w:rsidRPr="008B479F" w:rsidRDefault="00DC486D" w:rsidP="00C15726">
      <w:pPr>
        <w:pStyle w:val="Heading2"/>
        <w:spacing w:before="0"/>
        <w:rPr>
          <w:rFonts w:ascii="Times New Roman" w:hAnsi="Times New Roman" w:cs="Times New Roman"/>
          <w:b/>
        </w:rPr>
      </w:pPr>
      <w:bookmarkStart w:id="5" w:name="_Toc75269335"/>
      <w:r w:rsidRPr="008B479F">
        <w:rPr>
          <w:rFonts w:ascii="Times New Roman" w:hAnsi="Times New Roman" w:cs="Times New Roman"/>
          <w:b/>
          <w:color w:val="auto"/>
        </w:rPr>
        <w:t xml:space="preserve">History </w:t>
      </w:r>
      <w:r w:rsidR="004607A1" w:rsidRPr="008B479F">
        <w:rPr>
          <w:rFonts w:ascii="Times New Roman" w:hAnsi="Times New Roman" w:cs="Times New Roman"/>
          <w:b/>
          <w:color w:val="auto"/>
        </w:rPr>
        <w:t xml:space="preserve">and Purpose </w:t>
      </w:r>
      <w:r w:rsidRPr="008B479F">
        <w:rPr>
          <w:rFonts w:ascii="Times New Roman" w:hAnsi="Times New Roman" w:cs="Times New Roman"/>
          <w:b/>
          <w:color w:val="auto"/>
        </w:rPr>
        <w:t>of Workers’ Compensation</w:t>
      </w:r>
      <w:bookmarkEnd w:id="5"/>
      <w:r w:rsidRPr="008B479F">
        <w:rPr>
          <w:rFonts w:ascii="Times New Roman" w:hAnsi="Times New Roman" w:cs="Times New Roman"/>
          <w:b/>
          <w:color w:val="auto"/>
        </w:rPr>
        <w:t xml:space="preserve"> </w:t>
      </w:r>
    </w:p>
    <w:p w14:paraId="564A11DD" w14:textId="77777777" w:rsidR="008B479F" w:rsidRDefault="00DC486D" w:rsidP="006A3226">
      <w:pPr>
        <w:spacing w:after="0"/>
        <w:jc w:val="both"/>
        <w:rPr>
          <w:rFonts w:ascii="Times New Roman" w:hAnsi="Times New Roman" w:cs="Times New Roman"/>
          <w:sz w:val="24"/>
          <w:szCs w:val="24"/>
        </w:rPr>
      </w:pPr>
      <w:r>
        <w:rPr>
          <w:rFonts w:ascii="Times New Roman" w:hAnsi="Times New Roman" w:cs="Times New Roman"/>
          <w:sz w:val="24"/>
          <w:szCs w:val="24"/>
        </w:rPr>
        <w:tab/>
      </w:r>
    </w:p>
    <w:p w14:paraId="18815643" w14:textId="77777777" w:rsidR="007E46A5" w:rsidRDefault="007E46A5" w:rsidP="00336EDF">
      <w:pPr>
        <w:spacing w:after="0"/>
        <w:jc w:val="both"/>
        <w:rPr>
          <w:rFonts w:ascii="Times New Roman" w:hAnsi="Times New Roman" w:cs="Times New Roman"/>
          <w:sz w:val="24"/>
          <w:szCs w:val="24"/>
        </w:rPr>
        <w:sectPr w:rsidR="007E46A5" w:rsidSect="00B20237">
          <w:endnotePr>
            <w:numFmt w:val="decimal"/>
          </w:endnotePr>
          <w:pgSz w:w="12240" w:h="15840"/>
          <w:pgMar w:top="1440" w:right="2160" w:bottom="1440" w:left="2160" w:header="720" w:footer="720" w:gutter="0"/>
          <w:pgNumType w:start="1"/>
          <w:cols w:space="720"/>
          <w:docGrid w:linePitch="360"/>
        </w:sectPr>
      </w:pPr>
      <w:bookmarkStart w:id="6" w:name="_Hlk26186945"/>
    </w:p>
    <w:p w14:paraId="5C44ADD7" w14:textId="1B4A9D4D" w:rsidR="00FF7482" w:rsidRDefault="00DC486D" w:rsidP="00336EDF">
      <w:pPr>
        <w:spacing w:after="0"/>
        <w:jc w:val="both"/>
        <w:rPr>
          <w:rFonts w:ascii="Times New Roman" w:hAnsi="Times New Roman" w:cs="Times New Roman"/>
          <w:sz w:val="24"/>
          <w:szCs w:val="24"/>
        </w:rPr>
      </w:pPr>
      <w:r>
        <w:rPr>
          <w:rFonts w:ascii="Times New Roman" w:hAnsi="Times New Roman" w:cs="Times New Roman"/>
          <w:sz w:val="24"/>
          <w:szCs w:val="24"/>
        </w:rPr>
        <w:t>Workers’ Compensation is a system of benefits provided to injured workers in lieu of the workers’ pursuit of tort damages</w:t>
      </w:r>
      <w:r w:rsidR="001A41DC">
        <w:rPr>
          <w:rFonts w:ascii="Times New Roman" w:hAnsi="Times New Roman" w:cs="Times New Roman"/>
          <w:sz w:val="24"/>
          <w:szCs w:val="24"/>
        </w:rPr>
        <w:t>, particularly</w:t>
      </w:r>
      <w:r>
        <w:rPr>
          <w:rFonts w:ascii="Times New Roman" w:hAnsi="Times New Roman" w:cs="Times New Roman"/>
          <w:sz w:val="24"/>
          <w:szCs w:val="24"/>
        </w:rPr>
        <w:t xml:space="preserve"> in negligence. The idea of the system emerged in the industrialized world </w:t>
      </w:r>
      <w:r w:rsidR="001A41DC">
        <w:rPr>
          <w:rFonts w:ascii="Times New Roman" w:hAnsi="Times New Roman" w:cs="Times New Roman"/>
          <w:sz w:val="24"/>
          <w:szCs w:val="24"/>
        </w:rPr>
        <w:t xml:space="preserve">in </w:t>
      </w:r>
      <w:r>
        <w:rPr>
          <w:rFonts w:ascii="Times New Roman" w:hAnsi="Times New Roman" w:cs="Times New Roman"/>
          <w:sz w:val="24"/>
          <w:szCs w:val="24"/>
        </w:rPr>
        <w:t>Germany in about 1884,</w:t>
      </w:r>
      <w:r w:rsidR="00FF7482" w:rsidRPr="00666305">
        <w:rPr>
          <w:rFonts w:ascii="Times New Roman" w:hAnsi="Times New Roman" w:cs="Times New Roman"/>
          <w:sz w:val="24"/>
          <w:szCs w:val="24"/>
          <w:vertAlign w:val="superscript"/>
        </w:rPr>
        <w:footnoteReference w:id="1"/>
      </w:r>
      <w:r w:rsidR="00FF7482">
        <w:rPr>
          <w:rFonts w:ascii="Times New Roman" w:hAnsi="Times New Roman" w:cs="Times New Roman"/>
          <w:sz w:val="24"/>
          <w:szCs w:val="24"/>
        </w:rPr>
        <w:t xml:space="preserve"> though scattered historical antecedents to something like workers’ compensation can be found earlier.</w:t>
      </w:r>
      <w:r w:rsidR="00FF7482" w:rsidRPr="00666305">
        <w:rPr>
          <w:rFonts w:ascii="Times New Roman" w:hAnsi="Times New Roman" w:cs="Times New Roman"/>
          <w:sz w:val="24"/>
          <w:szCs w:val="24"/>
          <w:vertAlign w:val="superscript"/>
        </w:rPr>
        <w:footnoteReference w:id="2"/>
      </w:r>
      <w:r w:rsidR="00FF7482">
        <w:rPr>
          <w:rFonts w:ascii="Times New Roman" w:hAnsi="Times New Roman" w:cs="Times New Roman"/>
          <w:sz w:val="24"/>
          <w:szCs w:val="24"/>
        </w:rPr>
        <w:t xml:space="preserve"> The original German workers’ compensation system was part of a broader social insurance structure providing compensation to individuals for sickness and disability (from whatever origin), as well as for </w:t>
      </w:r>
      <w:r w:rsidR="00FF7482" w:rsidRPr="001A41DC">
        <w:rPr>
          <w:rFonts w:ascii="Times New Roman" w:hAnsi="Times New Roman" w:cs="Times New Roman"/>
          <w:i/>
          <w:iCs/>
          <w:sz w:val="24"/>
          <w:szCs w:val="24"/>
        </w:rPr>
        <w:t>work-related</w:t>
      </w:r>
      <w:r w:rsidR="00FF7482">
        <w:rPr>
          <w:rFonts w:ascii="Times New Roman" w:hAnsi="Times New Roman" w:cs="Times New Roman"/>
          <w:sz w:val="24"/>
          <w:szCs w:val="24"/>
        </w:rPr>
        <w:t xml:space="preserve"> injury leading to disability or incapacity for work.</w:t>
      </w:r>
      <w:r w:rsidR="00FF7482" w:rsidRPr="00666305">
        <w:rPr>
          <w:rFonts w:ascii="Times New Roman" w:hAnsi="Times New Roman" w:cs="Times New Roman"/>
          <w:sz w:val="24"/>
          <w:szCs w:val="24"/>
          <w:vertAlign w:val="superscript"/>
        </w:rPr>
        <w:footnoteReference w:id="3"/>
      </w:r>
      <w:r w:rsidR="00FF7482">
        <w:rPr>
          <w:rFonts w:ascii="Times New Roman" w:hAnsi="Times New Roman" w:cs="Times New Roman"/>
          <w:sz w:val="24"/>
          <w:szCs w:val="24"/>
        </w:rPr>
        <w:t xml:space="preserve"> American workers’ compensation statutes trace their origins primarily to the </w:t>
      </w:r>
      <w:r w:rsidR="00FF7482" w:rsidRPr="001A41DC">
        <w:rPr>
          <w:rFonts w:ascii="Times New Roman" w:hAnsi="Times New Roman" w:cs="Times New Roman"/>
          <w:i/>
          <w:iCs/>
          <w:sz w:val="24"/>
          <w:szCs w:val="24"/>
        </w:rPr>
        <w:t>British</w:t>
      </w:r>
      <w:r w:rsidR="00FF7482">
        <w:rPr>
          <w:rFonts w:ascii="Times New Roman" w:hAnsi="Times New Roman" w:cs="Times New Roman"/>
          <w:sz w:val="24"/>
          <w:szCs w:val="24"/>
        </w:rPr>
        <w:t xml:space="preserve"> Workers’ Compensation Act of 1897,</w:t>
      </w:r>
      <w:r w:rsidR="00FF7482" w:rsidRPr="00666305">
        <w:rPr>
          <w:rFonts w:ascii="Times New Roman" w:hAnsi="Times New Roman" w:cs="Times New Roman"/>
          <w:sz w:val="24"/>
          <w:szCs w:val="24"/>
          <w:vertAlign w:val="superscript"/>
        </w:rPr>
        <w:footnoteReference w:id="4"/>
      </w:r>
      <w:r w:rsidR="00FF7482">
        <w:rPr>
          <w:rFonts w:ascii="Times New Roman" w:hAnsi="Times New Roman" w:cs="Times New Roman"/>
          <w:sz w:val="24"/>
          <w:szCs w:val="24"/>
        </w:rPr>
        <w:t xml:space="preserve"> though it is important to note that by the time American states began enacting workers’ compensation statutes in 1911 approximately twenty workers’ compensation statutes had already been enacted around the world.</w:t>
      </w:r>
      <w:r w:rsidR="00FF7482" w:rsidRPr="00666305">
        <w:rPr>
          <w:rFonts w:ascii="Times New Roman" w:hAnsi="Times New Roman" w:cs="Times New Roman"/>
          <w:sz w:val="24"/>
          <w:szCs w:val="24"/>
          <w:vertAlign w:val="superscript"/>
        </w:rPr>
        <w:footnoteReference w:id="5"/>
      </w:r>
    </w:p>
    <w:p w14:paraId="2466B9A4" w14:textId="77777777" w:rsidR="00336EDF" w:rsidRDefault="00336EDF" w:rsidP="00336EDF">
      <w:pPr>
        <w:spacing w:after="0"/>
        <w:jc w:val="both"/>
        <w:rPr>
          <w:rFonts w:ascii="Times New Roman" w:hAnsi="Times New Roman" w:cs="Times New Roman"/>
          <w:sz w:val="24"/>
          <w:szCs w:val="24"/>
        </w:rPr>
      </w:pPr>
    </w:p>
    <w:p w14:paraId="322ED657" w14:textId="6D5F2BA1" w:rsidR="00FF7482" w:rsidRDefault="00FF7482" w:rsidP="00336EDF">
      <w:pPr>
        <w:spacing w:after="0"/>
        <w:jc w:val="both"/>
        <w:rPr>
          <w:rFonts w:ascii="Times New Roman" w:hAnsi="Times New Roman" w:cs="Times New Roman"/>
          <w:sz w:val="24"/>
          <w:szCs w:val="24"/>
        </w:rPr>
      </w:pPr>
      <w:bookmarkStart w:id="12" w:name="_Hlk26186959"/>
      <w:r>
        <w:rPr>
          <w:rFonts w:ascii="Times New Roman" w:hAnsi="Times New Roman" w:cs="Times New Roman"/>
          <w:sz w:val="24"/>
          <w:szCs w:val="24"/>
        </w:rPr>
        <w:t>Wherever enacted, workers’ compensation arose as a dominant system because of the increase in the frequency and intensity of workplace injuries occasioned by industrialism.</w:t>
      </w:r>
      <w:r w:rsidRPr="00666305">
        <w:rPr>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While these injuries could in theory be remedied through resort to civil lawsuits, such suits were expensive, and took a great deal of time to pursue. As a practical matter, workers were unable to “wait out” even meritorious suits wending their way through the cumbersome litigation system. Furthermore, in the United States, establishing legal entitlement to tort damages was difficult. The nature of the employer’s duty to the injured worker was often unclear and, where a duty could be shown, breach of the duty and establishment </w:t>
      </w:r>
      <w:r w:rsidR="002E10CD">
        <w:rPr>
          <w:rFonts w:ascii="Times New Roman" w:hAnsi="Times New Roman" w:cs="Times New Roman"/>
          <w:sz w:val="24"/>
          <w:szCs w:val="24"/>
        </w:rPr>
        <w:t>o</w:t>
      </w:r>
      <w:r>
        <w:rPr>
          <w:rFonts w:ascii="Times New Roman" w:hAnsi="Times New Roman" w:cs="Times New Roman"/>
          <w:sz w:val="24"/>
          <w:szCs w:val="24"/>
        </w:rPr>
        <w:t>f legal causation were obstacles to recovery. Typically, in tort, a plaintiff was required to show that a harm was foreseeably caused by a risk created by a departure from a legal duty. Pure accidents were not (and are not) compensable under a fault-based regime.</w:t>
      </w:r>
    </w:p>
    <w:p w14:paraId="5350E46E" w14:textId="77777777" w:rsidR="00336EDF" w:rsidRDefault="00336EDF" w:rsidP="00336EDF">
      <w:pPr>
        <w:spacing w:after="0"/>
        <w:jc w:val="both"/>
        <w:rPr>
          <w:rFonts w:ascii="Times New Roman" w:hAnsi="Times New Roman" w:cs="Times New Roman"/>
          <w:sz w:val="24"/>
          <w:szCs w:val="24"/>
        </w:rPr>
      </w:pPr>
    </w:p>
    <w:p w14:paraId="1A022B60" w14:textId="5829B6A6" w:rsidR="00FF7482" w:rsidRDefault="00FF7482" w:rsidP="00336EDF">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Moreover, and in many respects more notably, even if an employer could be shown to have breached a duty to the employee, resulting in harm, the legal claim might still be defeated if the employee either </w:t>
      </w:r>
      <w:r w:rsidRPr="001A41DC">
        <w:rPr>
          <w:rFonts w:ascii="Times New Roman" w:hAnsi="Times New Roman" w:cs="Times New Roman"/>
          <w:b/>
          <w:bCs/>
          <w:i/>
          <w:iCs/>
          <w:sz w:val="24"/>
          <w:szCs w:val="24"/>
        </w:rPr>
        <w:t>assumed the risk</w:t>
      </w:r>
      <w:r>
        <w:rPr>
          <w:rFonts w:ascii="Times New Roman" w:hAnsi="Times New Roman" w:cs="Times New Roman"/>
          <w:sz w:val="24"/>
          <w:szCs w:val="24"/>
        </w:rPr>
        <w:t xml:space="preserve"> of being harmed; or somehow </w:t>
      </w:r>
      <w:r w:rsidRPr="001A41DC">
        <w:rPr>
          <w:rFonts w:ascii="Times New Roman" w:hAnsi="Times New Roman" w:cs="Times New Roman"/>
          <w:b/>
          <w:bCs/>
          <w:i/>
          <w:iCs/>
          <w:sz w:val="24"/>
          <w:szCs w:val="24"/>
        </w:rPr>
        <w:t>contributed</w:t>
      </w:r>
      <w:r>
        <w:rPr>
          <w:rFonts w:ascii="Times New Roman" w:hAnsi="Times New Roman" w:cs="Times New Roman"/>
          <w:sz w:val="24"/>
          <w:szCs w:val="24"/>
        </w:rPr>
        <w:t xml:space="preserve">, through the employee’s own negligence, to the occurrence of the harm. In either of these instances of “affirmative defense,” the employee was completely deprived of damages. A third principle held that where an employee was injured because of the negligence of a fellow employee, the negligence was not imputable to the employer under principles of vicarious liability. This </w:t>
      </w:r>
      <w:r w:rsidRPr="00E8090C">
        <w:rPr>
          <w:rFonts w:ascii="Times New Roman" w:hAnsi="Times New Roman" w:cs="Times New Roman"/>
          <w:b/>
          <w:bCs/>
          <w:sz w:val="24"/>
          <w:szCs w:val="24"/>
        </w:rPr>
        <w:t>“fellow-servant” rule</w:t>
      </w:r>
      <w:r>
        <w:rPr>
          <w:rFonts w:ascii="Times New Roman" w:hAnsi="Times New Roman" w:cs="Times New Roman"/>
          <w:sz w:val="24"/>
          <w:szCs w:val="24"/>
        </w:rPr>
        <w:t xml:space="preserve">, along with the complete bars of assumption of the risk and contributory negligence, created a system of affirmative defenses sometimes disparagingly referred to as </w:t>
      </w:r>
      <w:r w:rsidRPr="00E8090C">
        <w:rPr>
          <w:rFonts w:ascii="Times New Roman" w:hAnsi="Times New Roman" w:cs="Times New Roman"/>
          <w:b/>
          <w:bCs/>
          <w:sz w:val="24"/>
          <w:szCs w:val="24"/>
        </w:rPr>
        <w:t>“the unholy trinity.”</w:t>
      </w:r>
    </w:p>
    <w:p w14:paraId="4BEF85C0" w14:textId="77777777" w:rsidR="00336EDF" w:rsidRDefault="00336EDF" w:rsidP="00336EDF">
      <w:pPr>
        <w:spacing w:after="0"/>
        <w:jc w:val="both"/>
        <w:rPr>
          <w:rFonts w:ascii="Times New Roman" w:hAnsi="Times New Roman" w:cs="Times New Roman"/>
          <w:sz w:val="24"/>
          <w:szCs w:val="24"/>
        </w:rPr>
      </w:pPr>
    </w:p>
    <w:bookmarkEnd w:id="6"/>
    <w:p w14:paraId="094AADFD" w14:textId="059BF4B9" w:rsidR="00FF7482" w:rsidRDefault="00FF7482" w:rsidP="00336EDF">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Nevertheless, by the end of the first decade of the twentieth century, employers in the United States, perhaps fearing the </w:t>
      </w:r>
      <w:r w:rsidRPr="00E8090C">
        <w:rPr>
          <w:rFonts w:ascii="Times New Roman" w:hAnsi="Times New Roman" w:cs="Times New Roman"/>
          <w:i/>
          <w:iCs/>
          <w:sz w:val="24"/>
          <w:szCs w:val="24"/>
        </w:rPr>
        <w:t>potential</w:t>
      </w:r>
      <w:r>
        <w:rPr>
          <w:rFonts w:ascii="Times New Roman" w:hAnsi="Times New Roman" w:cs="Times New Roman"/>
          <w:sz w:val="24"/>
          <w:szCs w:val="24"/>
        </w:rPr>
        <w:t xml:space="preserve"> for adaptation of tort law to permit recovery of damages (considering the terrific and mounting workplace injury toll), </w:t>
      </w:r>
      <w:bookmarkEnd w:id="12"/>
      <w:r>
        <w:rPr>
          <w:rFonts w:ascii="Times New Roman" w:hAnsi="Times New Roman" w:cs="Times New Roman"/>
          <w:sz w:val="24"/>
          <w:szCs w:val="24"/>
        </w:rPr>
        <w:t xml:space="preserve">entered into what has popularly become known as a “Grand Bargain,” or </w:t>
      </w:r>
      <w:r w:rsidRPr="00456490">
        <w:rPr>
          <w:rFonts w:ascii="Times New Roman" w:hAnsi="Times New Roman" w:cs="Times New Roman"/>
          <w:i/>
          <w:sz w:val="24"/>
          <w:szCs w:val="24"/>
        </w:rPr>
        <w:t>quid pro quo</w:t>
      </w:r>
      <w:r>
        <w:rPr>
          <w:rFonts w:ascii="Times New Roman" w:hAnsi="Times New Roman" w:cs="Times New Roman"/>
          <w:sz w:val="24"/>
          <w:szCs w:val="24"/>
        </w:rPr>
        <w:t xml:space="preserve">, with worker, governmental, and insurance stakeholders. </w:t>
      </w:r>
      <w:r w:rsidRPr="00E8090C">
        <w:rPr>
          <w:rFonts w:ascii="Times New Roman" w:hAnsi="Times New Roman" w:cs="Times New Roman"/>
          <w:b/>
          <w:bCs/>
          <w:sz w:val="24"/>
          <w:szCs w:val="24"/>
        </w:rPr>
        <w:t xml:space="preserve">That </w:t>
      </w:r>
      <w:r w:rsidRPr="00E8090C">
        <w:rPr>
          <w:rFonts w:ascii="Times New Roman" w:hAnsi="Times New Roman" w:cs="Times New Roman"/>
          <w:b/>
          <w:bCs/>
          <w:sz w:val="24"/>
          <w:szCs w:val="24"/>
          <w:u w:val="single"/>
        </w:rPr>
        <w:t>bargain</w:t>
      </w:r>
      <w:r w:rsidRPr="00E8090C">
        <w:rPr>
          <w:rFonts w:ascii="Times New Roman" w:hAnsi="Times New Roman" w:cs="Times New Roman"/>
          <w:b/>
          <w:bCs/>
          <w:sz w:val="24"/>
          <w:szCs w:val="24"/>
        </w:rPr>
        <w:t xml:space="preserve"> has become what we now call “workers’ compensation.”</w:t>
      </w:r>
    </w:p>
    <w:p w14:paraId="573935B9" w14:textId="77777777" w:rsidR="00336EDF" w:rsidRDefault="00336EDF" w:rsidP="00336EDF">
      <w:pPr>
        <w:spacing w:after="0"/>
        <w:jc w:val="both"/>
        <w:rPr>
          <w:rFonts w:ascii="Times New Roman" w:hAnsi="Times New Roman" w:cs="Times New Roman"/>
          <w:sz w:val="24"/>
          <w:szCs w:val="24"/>
        </w:rPr>
      </w:pPr>
    </w:p>
    <w:p w14:paraId="72366FBA" w14:textId="48CEE19C"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 xml:space="preserve">The nature of the bargain is that in exchange for </w:t>
      </w:r>
      <w:r w:rsidRPr="00E8090C">
        <w:rPr>
          <w:rFonts w:ascii="Times New Roman" w:hAnsi="Times New Roman" w:cs="Times New Roman"/>
          <w:b/>
          <w:bCs/>
          <w:sz w:val="24"/>
          <w:szCs w:val="24"/>
        </w:rPr>
        <w:t>swift</w:t>
      </w:r>
      <w:r>
        <w:rPr>
          <w:rFonts w:ascii="Times New Roman" w:hAnsi="Times New Roman" w:cs="Times New Roman"/>
          <w:sz w:val="24"/>
          <w:szCs w:val="24"/>
        </w:rPr>
        <w:t xml:space="preserve"> and </w:t>
      </w:r>
      <w:r w:rsidRPr="00E8090C">
        <w:rPr>
          <w:rFonts w:ascii="Times New Roman" w:hAnsi="Times New Roman" w:cs="Times New Roman"/>
          <w:b/>
          <w:bCs/>
          <w:sz w:val="24"/>
          <w:szCs w:val="24"/>
        </w:rPr>
        <w:t>“adequate”</w:t>
      </w:r>
      <w:r>
        <w:rPr>
          <w:rFonts w:ascii="Times New Roman" w:hAnsi="Times New Roman" w:cs="Times New Roman"/>
          <w:sz w:val="24"/>
          <w:szCs w:val="24"/>
        </w:rPr>
        <w:t xml:space="preserve"> statutory benefits employees agree to forfeit tort (lawsuit) damages and employers agree to forfeit tort defenses in exchange for </w:t>
      </w:r>
      <w:r w:rsidRPr="00E8090C">
        <w:rPr>
          <w:rFonts w:ascii="Times New Roman" w:hAnsi="Times New Roman" w:cs="Times New Roman"/>
          <w:b/>
          <w:bCs/>
          <w:sz w:val="24"/>
          <w:szCs w:val="24"/>
        </w:rPr>
        <w:t>tort immunity</w:t>
      </w:r>
      <w:r>
        <w:rPr>
          <w:rFonts w:ascii="Times New Roman" w:hAnsi="Times New Roman" w:cs="Times New Roman"/>
          <w:sz w:val="24"/>
          <w:szCs w:val="24"/>
        </w:rPr>
        <w:t>. Fault was entirely removed from the calculus.</w:t>
      </w:r>
      <w:r w:rsidRPr="00666305">
        <w:rPr>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The measure of the benefits has been some percentage of the pre-injury average weekly or monthly wage, as a weekly or monthly </w:t>
      </w:r>
      <w:r w:rsidRPr="00E8090C">
        <w:rPr>
          <w:rFonts w:ascii="Times New Roman" w:hAnsi="Times New Roman" w:cs="Times New Roman"/>
          <w:b/>
          <w:bCs/>
          <w:sz w:val="24"/>
          <w:szCs w:val="24"/>
        </w:rPr>
        <w:t>indemnity</w:t>
      </w:r>
      <w:r>
        <w:rPr>
          <w:rFonts w:ascii="Times New Roman" w:hAnsi="Times New Roman" w:cs="Times New Roman"/>
          <w:sz w:val="24"/>
          <w:szCs w:val="24"/>
        </w:rPr>
        <w:t xml:space="preserve"> benefit, and payment of </w:t>
      </w:r>
      <w:r w:rsidRPr="00E8090C">
        <w:rPr>
          <w:rFonts w:ascii="Times New Roman" w:hAnsi="Times New Roman" w:cs="Times New Roman"/>
          <w:b/>
          <w:bCs/>
          <w:sz w:val="24"/>
          <w:szCs w:val="24"/>
        </w:rPr>
        <w:t>reasonable and necessary</w:t>
      </w:r>
      <w:r>
        <w:rPr>
          <w:rFonts w:ascii="Times New Roman" w:hAnsi="Times New Roman" w:cs="Times New Roman"/>
          <w:sz w:val="24"/>
          <w:szCs w:val="24"/>
        </w:rPr>
        <w:t xml:space="preserve"> medical expenses related to work injuries. In the case of death, tort remedies are exchanged on behalf of statutory beneficiaries for workers’ compensation weekly or monthly benefits, calculated as some defined statutory percentage of the deceased worker’s pre-injury wages. </w:t>
      </w:r>
      <w:r w:rsidRPr="00E8090C">
        <w:rPr>
          <w:rFonts w:ascii="Times New Roman" w:hAnsi="Times New Roman" w:cs="Times New Roman"/>
          <w:i/>
          <w:iCs/>
          <w:sz w:val="24"/>
          <w:szCs w:val="24"/>
        </w:rPr>
        <w:t>One</w:t>
      </w:r>
      <w:r>
        <w:rPr>
          <w:rFonts w:ascii="Times New Roman" w:hAnsi="Times New Roman" w:cs="Times New Roman"/>
          <w:sz w:val="24"/>
          <w:szCs w:val="24"/>
        </w:rPr>
        <w:t xml:space="preserve"> way to think of this death benefit arrangement is that workers’ compensation death benefits are exchanged for </w:t>
      </w:r>
      <w:r w:rsidRPr="00E8090C">
        <w:rPr>
          <w:rFonts w:ascii="Times New Roman" w:hAnsi="Times New Roman" w:cs="Times New Roman"/>
          <w:b/>
          <w:bCs/>
          <w:sz w:val="24"/>
          <w:szCs w:val="24"/>
        </w:rPr>
        <w:t>wrongful death</w:t>
      </w:r>
      <w:r>
        <w:rPr>
          <w:rFonts w:ascii="Times New Roman" w:hAnsi="Times New Roman" w:cs="Times New Roman"/>
          <w:sz w:val="24"/>
          <w:szCs w:val="24"/>
        </w:rPr>
        <w:t xml:space="preserve"> compensatory damages. But because funeral expenses, medical benefits, and indemnity benefits based on medical expense and lost wages </w:t>
      </w:r>
      <w:r w:rsidRPr="00E8090C">
        <w:rPr>
          <w:rFonts w:ascii="Times New Roman" w:hAnsi="Times New Roman" w:cs="Times New Roman"/>
          <w:i/>
          <w:iCs/>
          <w:sz w:val="24"/>
          <w:szCs w:val="24"/>
        </w:rPr>
        <w:t>after injury but before death</w:t>
      </w:r>
      <w:r>
        <w:rPr>
          <w:rFonts w:ascii="Times New Roman" w:hAnsi="Times New Roman" w:cs="Times New Roman"/>
          <w:sz w:val="24"/>
          <w:szCs w:val="24"/>
        </w:rPr>
        <w:t xml:space="preserve"> are </w:t>
      </w:r>
      <w:r w:rsidRPr="00E8090C">
        <w:rPr>
          <w:rFonts w:ascii="Times New Roman" w:hAnsi="Times New Roman" w:cs="Times New Roman"/>
          <w:i/>
          <w:iCs/>
          <w:sz w:val="24"/>
          <w:szCs w:val="24"/>
        </w:rPr>
        <w:t>also</w:t>
      </w:r>
      <w:r>
        <w:rPr>
          <w:rFonts w:ascii="Times New Roman" w:hAnsi="Times New Roman" w:cs="Times New Roman"/>
          <w:sz w:val="24"/>
          <w:szCs w:val="24"/>
        </w:rPr>
        <w:t xml:space="preserve"> recoverable by statutory beneficiaries, workers’ compensation death benefits </w:t>
      </w:r>
      <w:r w:rsidRPr="00E8090C">
        <w:rPr>
          <w:rFonts w:ascii="Times New Roman" w:hAnsi="Times New Roman" w:cs="Times New Roman"/>
          <w:i/>
          <w:iCs/>
          <w:sz w:val="24"/>
          <w:szCs w:val="24"/>
        </w:rPr>
        <w:t>also</w:t>
      </w:r>
      <w:r>
        <w:rPr>
          <w:rFonts w:ascii="Times New Roman" w:hAnsi="Times New Roman" w:cs="Times New Roman"/>
          <w:sz w:val="24"/>
          <w:szCs w:val="24"/>
        </w:rPr>
        <w:t xml:space="preserve"> resemble certain aspects of </w:t>
      </w:r>
      <w:r w:rsidRPr="00E8090C">
        <w:rPr>
          <w:rFonts w:ascii="Times New Roman" w:hAnsi="Times New Roman" w:cs="Times New Roman"/>
          <w:b/>
          <w:bCs/>
          <w:sz w:val="24"/>
          <w:szCs w:val="24"/>
        </w:rPr>
        <w:t>survival actions</w:t>
      </w:r>
      <w:r>
        <w:rPr>
          <w:rFonts w:ascii="Times New Roman" w:hAnsi="Times New Roman" w:cs="Times New Roman"/>
          <w:sz w:val="24"/>
          <w:szCs w:val="24"/>
        </w:rPr>
        <w:t>.</w:t>
      </w:r>
    </w:p>
    <w:p w14:paraId="43B1EAA0" w14:textId="77777777" w:rsidR="00336EDF" w:rsidRDefault="00336EDF" w:rsidP="00336EDF">
      <w:pPr>
        <w:spacing w:after="0"/>
        <w:jc w:val="both"/>
        <w:rPr>
          <w:rFonts w:ascii="Times New Roman" w:hAnsi="Times New Roman" w:cs="Times New Roman"/>
          <w:sz w:val="24"/>
          <w:szCs w:val="24"/>
        </w:rPr>
      </w:pPr>
    </w:p>
    <w:p w14:paraId="3B8A1FB6" w14:textId="739683AB"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 xml:space="preserve">From a public policy perspective, workers’ compensation is a form of industrial insurance in which the premiums for the insurance are charged to industrial manufacturers and service providers with the understanding that the costs of the insurance will be recouped through 1) </w:t>
      </w:r>
      <w:r w:rsidRPr="00E8090C">
        <w:rPr>
          <w:rFonts w:ascii="Times New Roman" w:hAnsi="Times New Roman" w:cs="Times New Roman"/>
          <w:b/>
          <w:bCs/>
          <w:sz w:val="24"/>
          <w:szCs w:val="24"/>
        </w:rPr>
        <w:t>increased prices</w:t>
      </w:r>
      <w:r>
        <w:rPr>
          <w:rFonts w:ascii="Times New Roman" w:hAnsi="Times New Roman" w:cs="Times New Roman"/>
          <w:sz w:val="24"/>
          <w:szCs w:val="24"/>
        </w:rPr>
        <w:t xml:space="preserve"> paid by the consuming public; and 2) </w:t>
      </w:r>
      <w:r w:rsidRPr="00AD38D0">
        <w:rPr>
          <w:rFonts w:ascii="Times New Roman" w:hAnsi="Times New Roman" w:cs="Times New Roman"/>
          <w:b/>
          <w:bCs/>
          <w:sz w:val="24"/>
          <w:szCs w:val="24"/>
        </w:rPr>
        <w:t>de facto</w:t>
      </w:r>
      <w:r>
        <w:rPr>
          <w:rFonts w:ascii="Times New Roman" w:hAnsi="Times New Roman" w:cs="Times New Roman"/>
          <w:sz w:val="24"/>
          <w:szCs w:val="24"/>
        </w:rPr>
        <w:t xml:space="preserve"> </w:t>
      </w:r>
      <w:r w:rsidRPr="00AD38D0">
        <w:rPr>
          <w:rFonts w:ascii="Times New Roman" w:hAnsi="Times New Roman" w:cs="Times New Roman"/>
          <w:b/>
          <w:bCs/>
          <w:sz w:val="24"/>
          <w:szCs w:val="24"/>
        </w:rPr>
        <w:t>reduced wages</w:t>
      </w:r>
      <w:r>
        <w:rPr>
          <w:rFonts w:ascii="Times New Roman" w:hAnsi="Times New Roman" w:cs="Times New Roman"/>
          <w:sz w:val="24"/>
          <w:szCs w:val="24"/>
        </w:rPr>
        <w:t xml:space="preserve"> paid to workers by employers who have </w:t>
      </w:r>
      <w:r>
        <w:rPr>
          <w:rFonts w:ascii="Times New Roman" w:hAnsi="Times New Roman" w:cs="Times New Roman"/>
          <w:sz w:val="24"/>
          <w:szCs w:val="24"/>
        </w:rPr>
        <w:lastRenderedPageBreak/>
        <w:t xml:space="preserve">been required to pay the premiums. Although the scheme sounds in the nature of contract, it must always be remembered that </w:t>
      </w:r>
      <w:r w:rsidRPr="00AD38D0">
        <w:rPr>
          <w:rFonts w:ascii="Times New Roman" w:hAnsi="Times New Roman" w:cs="Times New Roman"/>
          <w:b/>
          <w:iCs/>
          <w:sz w:val="24"/>
          <w:szCs w:val="24"/>
          <w:u w:val="single"/>
        </w:rPr>
        <w:t>workers’ compensation is a tort substitute</w:t>
      </w:r>
      <w:r w:rsidRPr="00AD38D0">
        <w:rPr>
          <w:rFonts w:ascii="Times New Roman" w:hAnsi="Times New Roman" w:cs="Times New Roman"/>
          <w:iCs/>
          <w:sz w:val="24"/>
          <w:szCs w:val="24"/>
        </w:rPr>
        <w:t>.</w:t>
      </w:r>
      <w:r>
        <w:rPr>
          <w:rFonts w:ascii="Times New Roman" w:hAnsi="Times New Roman" w:cs="Times New Roman"/>
          <w:i/>
          <w:sz w:val="24"/>
          <w:szCs w:val="24"/>
        </w:rPr>
        <w:t xml:space="preserve"> </w:t>
      </w:r>
      <w:r w:rsidRPr="00AD38D0">
        <w:rPr>
          <w:rFonts w:ascii="Times New Roman" w:hAnsi="Times New Roman" w:cs="Times New Roman"/>
          <w:b/>
          <w:bCs/>
          <w:sz w:val="24"/>
          <w:szCs w:val="24"/>
        </w:rPr>
        <w:t>Workers’ compensation is not a discretionary state welfare benefit</w:t>
      </w:r>
      <w:r>
        <w:rPr>
          <w:rFonts w:ascii="Times New Roman" w:hAnsi="Times New Roman" w:cs="Times New Roman"/>
          <w:sz w:val="24"/>
          <w:szCs w:val="24"/>
        </w:rPr>
        <w:t xml:space="preserve">. To the extent workers’ compensation does </w:t>
      </w:r>
      <w:r w:rsidRPr="00AD38D0">
        <w:rPr>
          <w:rFonts w:ascii="Times New Roman" w:hAnsi="Times New Roman" w:cs="Times New Roman"/>
          <w:i/>
          <w:iCs/>
          <w:sz w:val="24"/>
          <w:szCs w:val="24"/>
        </w:rPr>
        <w:t xml:space="preserve">not </w:t>
      </w:r>
      <w:r>
        <w:rPr>
          <w:rFonts w:ascii="Times New Roman" w:hAnsi="Times New Roman" w:cs="Times New Roman"/>
          <w:sz w:val="24"/>
          <w:szCs w:val="24"/>
        </w:rPr>
        <w:t xml:space="preserve">adequately remedy workplace injury, the original premises of the </w:t>
      </w:r>
      <w:r w:rsidRPr="005D5E31">
        <w:rPr>
          <w:rFonts w:ascii="Times New Roman" w:hAnsi="Times New Roman" w:cs="Times New Roman"/>
          <w:i/>
          <w:sz w:val="24"/>
          <w:szCs w:val="24"/>
        </w:rPr>
        <w:t>quid pro quo</w:t>
      </w:r>
      <w:r>
        <w:rPr>
          <w:rFonts w:ascii="Times New Roman" w:hAnsi="Times New Roman" w:cs="Times New Roman"/>
          <w:sz w:val="24"/>
          <w:szCs w:val="24"/>
        </w:rPr>
        <w:t xml:space="preserve"> are called into question, and constitutional infirmities undoubtedly emerge unless the original right to a tort remedy is promptly reestablished.</w:t>
      </w:r>
      <w:r w:rsidRPr="00666305">
        <w:rPr>
          <w:rFonts w:ascii="Times New Roman" w:hAnsi="Times New Roman" w:cs="Times New Roman"/>
          <w:sz w:val="24"/>
          <w:szCs w:val="24"/>
          <w:vertAlign w:val="superscript"/>
        </w:rPr>
        <w:footnoteReference w:id="8"/>
      </w:r>
      <w:r>
        <w:rPr>
          <w:rFonts w:ascii="Times New Roman" w:hAnsi="Times New Roman" w:cs="Times New Roman"/>
          <w:sz w:val="24"/>
          <w:szCs w:val="24"/>
        </w:rPr>
        <w:t xml:space="preserve"> </w:t>
      </w:r>
    </w:p>
    <w:p w14:paraId="4D7AC81D" w14:textId="38449EBA" w:rsidR="00FF7482" w:rsidRDefault="00FF7482" w:rsidP="006A322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4C927E1" w14:textId="132C366F" w:rsidR="00FF7482" w:rsidRPr="008B479F" w:rsidRDefault="00FF7482" w:rsidP="00C15726">
      <w:pPr>
        <w:pStyle w:val="Heading2"/>
        <w:spacing w:before="0"/>
        <w:rPr>
          <w:rFonts w:ascii="Times New Roman" w:hAnsi="Times New Roman" w:cs="Times New Roman"/>
          <w:b/>
          <w:color w:val="auto"/>
        </w:rPr>
      </w:pPr>
      <w:bookmarkStart w:id="17" w:name="_Toc75269336"/>
      <w:r w:rsidRPr="008B479F">
        <w:rPr>
          <w:rFonts w:ascii="Times New Roman" w:hAnsi="Times New Roman" w:cs="Times New Roman"/>
          <w:b/>
          <w:color w:val="auto"/>
        </w:rPr>
        <w:t>History and Purpose of Wyoming Workers’ Compensation</w:t>
      </w:r>
      <w:bookmarkEnd w:id="17"/>
    </w:p>
    <w:p w14:paraId="3E8062F6" w14:textId="77777777" w:rsidR="00FF7482" w:rsidRPr="008B479F" w:rsidRDefault="00FF7482" w:rsidP="008A788C">
      <w:pPr>
        <w:spacing w:after="0"/>
      </w:pPr>
    </w:p>
    <w:p w14:paraId="61B55965" w14:textId="14377061"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The enactment of Wyoming Workers’ Compensation occurred during a wave of adoption of workers’ compensation statutes around the country. T</w:t>
      </w:r>
      <w:r w:rsidRPr="00D87F66">
        <w:rPr>
          <w:rFonts w:ascii="Times New Roman" w:hAnsi="Times New Roman" w:cs="Times New Roman"/>
          <w:sz w:val="24"/>
          <w:szCs w:val="24"/>
        </w:rPr>
        <w:t xml:space="preserve">he </w:t>
      </w:r>
      <w:r>
        <w:rPr>
          <w:rFonts w:ascii="Times New Roman" w:hAnsi="Times New Roman" w:cs="Times New Roman"/>
          <w:sz w:val="24"/>
          <w:szCs w:val="24"/>
        </w:rPr>
        <w:t xml:space="preserve">implementing </w:t>
      </w:r>
      <w:r w:rsidRPr="00D87F66">
        <w:rPr>
          <w:rFonts w:ascii="Times New Roman" w:hAnsi="Times New Roman" w:cs="Times New Roman"/>
          <w:sz w:val="24"/>
          <w:szCs w:val="24"/>
        </w:rPr>
        <w:t xml:space="preserve">bill was introduced in the labor committee, sent to the judiciary committee without comment, returned with minor amendments, and then put up for vote.  </w:t>
      </w:r>
      <w:r>
        <w:rPr>
          <w:rFonts w:ascii="Times New Roman" w:hAnsi="Times New Roman" w:cs="Times New Roman"/>
          <w:sz w:val="24"/>
          <w:szCs w:val="24"/>
        </w:rPr>
        <w:t>A</w:t>
      </w:r>
      <w:r w:rsidRPr="00D87F66">
        <w:rPr>
          <w:rFonts w:ascii="Times New Roman" w:hAnsi="Times New Roman" w:cs="Times New Roman"/>
          <w:sz w:val="24"/>
          <w:szCs w:val="24"/>
        </w:rPr>
        <w:t xml:space="preserve"> floor speech by </w:t>
      </w:r>
      <w:r>
        <w:rPr>
          <w:rFonts w:ascii="Times New Roman" w:hAnsi="Times New Roman" w:cs="Times New Roman"/>
          <w:sz w:val="24"/>
          <w:szCs w:val="24"/>
        </w:rPr>
        <w:t>Representative</w:t>
      </w:r>
      <w:r w:rsidRPr="00D87F66">
        <w:rPr>
          <w:rFonts w:ascii="Times New Roman" w:hAnsi="Times New Roman" w:cs="Times New Roman"/>
          <w:sz w:val="24"/>
          <w:szCs w:val="24"/>
        </w:rPr>
        <w:t xml:space="preserve"> George Young Jr.</w:t>
      </w:r>
      <w:r>
        <w:rPr>
          <w:rFonts w:ascii="Times New Roman" w:hAnsi="Times New Roman" w:cs="Times New Roman"/>
          <w:sz w:val="24"/>
          <w:szCs w:val="24"/>
        </w:rPr>
        <w:t>,</w:t>
      </w:r>
      <w:r w:rsidRPr="00D87F66">
        <w:rPr>
          <w:rFonts w:ascii="Times New Roman" w:hAnsi="Times New Roman" w:cs="Times New Roman"/>
          <w:sz w:val="24"/>
          <w:szCs w:val="24"/>
        </w:rPr>
        <w:t xml:space="preserve"> from Rock Springs,</w:t>
      </w:r>
      <w:r>
        <w:rPr>
          <w:rFonts w:ascii="Times New Roman" w:hAnsi="Times New Roman" w:cs="Times New Roman"/>
          <w:sz w:val="24"/>
          <w:szCs w:val="24"/>
        </w:rPr>
        <w:t xml:space="preserve"> expressed some</w:t>
      </w:r>
      <w:r w:rsidRPr="00D87F66">
        <w:rPr>
          <w:rFonts w:ascii="Times New Roman" w:hAnsi="Times New Roman" w:cs="Times New Roman"/>
          <w:sz w:val="24"/>
          <w:szCs w:val="24"/>
        </w:rPr>
        <w:t xml:space="preserve"> oppos</w:t>
      </w:r>
      <w:r>
        <w:rPr>
          <w:rFonts w:ascii="Times New Roman" w:hAnsi="Times New Roman" w:cs="Times New Roman"/>
          <w:sz w:val="24"/>
          <w:szCs w:val="24"/>
        </w:rPr>
        <w:t>ition to</w:t>
      </w:r>
      <w:r w:rsidRPr="00D87F66">
        <w:rPr>
          <w:rFonts w:ascii="Times New Roman" w:hAnsi="Times New Roman" w:cs="Times New Roman"/>
          <w:sz w:val="24"/>
          <w:szCs w:val="24"/>
        </w:rPr>
        <w:t xml:space="preserve"> the bill</w:t>
      </w:r>
      <w:r>
        <w:rPr>
          <w:rFonts w:ascii="Times New Roman" w:hAnsi="Times New Roman" w:cs="Times New Roman"/>
          <w:sz w:val="24"/>
          <w:szCs w:val="24"/>
        </w:rPr>
        <w:t xml:space="preserve"> because, as he saw it, the benefits provided under the bill were insufficient. In the end, it appears that Representative Young supported the bill in hopes of subsequent benefit improvements.</w:t>
      </w:r>
      <w:r w:rsidRPr="00D87F66">
        <w:rPr>
          <w:rFonts w:ascii="Times New Roman" w:hAnsi="Times New Roman" w:cs="Times New Roman"/>
          <w:sz w:val="24"/>
          <w:szCs w:val="24"/>
        </w:rPr>
        <w:t xml:space="preserve"> </w:t>
      </w:r>
      <w:r>
        <w:rPr>
          <w:rFonts w:ascii="Times New Roman" w:hAnsi="Times New Roman" w:cs="Times New Roman"/>
          <w:sz w:val="24"/>
          <w:szCs w:val="24"/>
        </w:rPr>
        <w:t>The bill, H.B. 147,</w:t>
      </w:r>
      <w:r w:rsidRPr="00D87F66">
        <w:rPr>
          <w:rFonts w:ascii="Times New Roman" w:hAnsi="Times New Roman" w:cs="Times New Roman"/>
          <w:sz w:val="24"/>
          <w:szCs w:val="24"/>
        </w:rPr>
        <w:t xml:space="preserve"> passed unanimously</w:t>
      </w:r>
      <w:r>
        <w:rPr>
          <w:rFonts w:ascii="Times New Roman" w:hAnsi="Times New Roman" w:cs="Times New Roman"/>
          <w:sz w:val="24"/>
          <w:szCs w:val="24"/>
        </w:rPr>
        <w:t xml:space="preserve"> in the House</w:t>
      </w:r>
      <w:r w:rsidRPr="00D87F66">
        <w:rPr>
          <w:rFonts w:ascii="Times New Roman" w:hAnsi="Times New Roman" w:cs="Times New Roman"/>
          <w:sz w:val="24"/>
          <w:szCs w:val="24"/>
        </w:rPr>
        <w:t xml:space="preserve"> and then went to the Senate, where it was </w:t>
      </w:r>
      <w:r>
        <w:rPr>
          <w:rFonts w:ascii="Times New Roman" w:hAnsi="Times New Roman" w:cs="Times New Roman"/>
          <w:sz w:val="24"/>
          <w:szCs w:val="24"/>
        </w:rPr>
        <w:t>“</w:t>
      </w:r>
      <w:r w:rsidRPr="00D87F66">
        <w:rPr>
          <w:rFonts w:ascii="Times New Roman" w:hAnsi="Times New Roman" w:cs="Times New Roman"/>
          <w:sz w:val="24"/>
          <w:szCs w:val="24"/>
        </w:rPr>
        <w:t>engrossed</w:t>
      </w:r>
      <w:r>
        <w:rPr>
          <w:rFonts w:ascii="Times New Roman" w:hAnsi="Times New Roman" w:cs="Times New Roman"/>
          <w:sz w:val="24"/>
          <w:szCs w:val="24"/>
        </w:rPr>
        <w:t>”</w:t>
      </w:r>
      <w:r w:rsidRPr="00D87F66">
        <w:rPr>
          <w:rFonts w:ascii="Times New Roman" w:hAnsi="Times New Roman" w:cs="Times New Roman"/>
          <w:sz w:val="24"/>
          <w:szCs w:val="24"/>
        </w:rPr>
        <w:t xml:space="preserve"> after passing with only</w:t>
      </w:r>
      <w:r>
        <w:rPr>
          <w:rFonts w:ascii="Times New Roman" w:hAnsi="Times New Roman" w:cs="Times New Roman"/>
          <w:sz w:val="24"/>
          <w:szCs w:val="24"/>
        </w:rPr>
        <w:t xml:space="preserve"> a single “</w:t>
      </w:r>
      <w:r w:rsidRPr="00D87F66">
        <w:rPr>
          <w:rFonts w:ascii="Times New Roman" w:hAnsi="Times New Roman" w:cs="Times New Roman"/>
          <w:sz w:val="24"/>
          <w:szCs w:val="24"/>
        </w:rPr>
        <w:t>no</w:t>
      </w:r>
      <w:r>
        <w:rPr>
          <w:rFonts w:ascii="Times New Roman" w:hAnsi="Times New Roman" w:cs="Times New Roman"/>
          <w:sz w:val="24"/>
          <w:szCs w:val="24"/>
        </w:rPr>
        <w:t>”</w:t>
      </w:r>
      <w:r w:rsidRPr="00D87F66">
        <w:rPr>
          <w:rFonts w:ascii="Times New Roman" w:hAnsi="Times New Roman" w:cs="Times New Roman"/>
          <w:sz w:val="24"/>
          <w:szCs w:val="24"/>
        </w:rPr>
        <w:t xml:space="preserve"> vote.</w:t>
      </w:r>
      <w:r w:rsidRPr="00666305">
        <w:rPr>
          <w:rFonts w:ascii="Times New Roman" w:hAnsi="Times New Roman" w:cs="Times New Roman"/>
          <w:sz w:val="24"/>
          <w:szCs w:val="24"/>
          <w:vertAlign w:val="superscript"/>
        </w:rPr>
        <w:footnoteReference w:id="9"/>
      </w:r>
      <w:r>
        <w:rPr>
          <w:rFonts w:ascii="Times New Roman" w:hAnsi="Times New Roman" w:cs="Times New Roman"/>
          <w:sz w:val="24"/>
          <w:szCs w:val="24"/>
        </w:rPr>
        <w:t xml:space="preserve"> An extended account of the historical origins of the Wyoming </w:t>
      </w:r>
      <w:r w:rsidR="007037BC">
        <w:rPr>
          <w:rFonts w:ascii="Times New Roman" w:hAnsi="Times New Roman" w:cs="Times New Roman"/>
          <w:sz w:val="24"/>
          <w:szCs w:val="24"/>
        </w:rPr>
        <w:t>W</w:t>
      </w:r>
      <w:r>
        <w:rPr>
          <w:rFonts w:ascii="Times New Roman" w:hAnsi="Times New Roman" w:cs="Times New Roman"/>
          <w:sz w:val="24"/>
          <w:szCs w:val="24"/>
        </w:rPr>
        <w:t xml:space="preserve">orkers’ </w:t>
      </w:r>
      <w:r w:rsidR="007037BC">
        <w:rPr>
          <w:rFonts w:ascii="Times New Roman" w:hAnsi="Times New Roman" w:cs="Times New Roman"/>
          <w:sz w:val="24"/>
          <w:szCs w:val="24"/>
        </w:rPr>
        <w:t>C</w:t>
      </w:r>
      <w:r>
        <w:rPr>
          <w:rFonts w:ascii="Times New Roman" w:hAnsi="Times New Roman" w:cs="Times New Roman"/>
          <w:sz w:val="24"/>
          <w:szCs w:val="24"/>
        </w:rPr>
        <w:t xml:space="preserve">ompensation </w:t>
      </w:r>
      <w:r w:rsidR="007037BC">
        <w:rPr>
          <w:rFonts w:ascii="Times New Roman" w:hAnsi="Times New Roman" w:cs="Times New Roman"/>
          <w:sz w:val="24"/>
          <w:szCs w:val="24"/>
        </w:rPr>
        <w:t>A</w:t>
      </w:r>
      <w:r>
        <w:rPr>
          <w:rFonts w:ascii="Times New Roman" w:hAnsi="Times New Roman" w:cs="Times New Roman"/>
          <w:sz w:val="24"/>
          <w:szCs w:val="24"/>
        </w:rPr>
        <w:t>ct has been recounted elsewhere,</w:t>
      </w:r>
      <w:r w:rsidRPr="00666305">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but it is important to note that the Legislature preliminarily enacted a bill authorizing voters to </w:t>
      </w:r>
      <w:r w:rsidRPr="00AD38D0">
        <w:rPr>
          <w:rFonts w:ascii="Times New Roman" w:hAnsi="Times New Roman" w:cs="Times New Roman"/>
          <w:b/>
          <w:bCs/>
          <w:sz w:val="24"/>
          <w:szCs w:val="24"/>
        </w:rPr>
        <w:t xml:space="preserve">amend the Wyoming </w:t>
      </w:r>
      <w:r w:rsidR="007037BC">
        <w:rPr>
          <w:rFonts w:ascii="Times New Roman" w:hAnsi="Times New Roman" w:cs="Times New Roman"/>
          <w:b/>
          <w:bCs/>
          <w:sz w:val="24"/>
          <w:szCs w:val="24"/>
        </w:rPr>
        <w:t>C</w:t>
      </w:r>
      <w:r w:rsidRPr="00AD38D0">
        <w:rPr>
          <w:rFonts w:ascii="Times New Roman" w:hAnsi="Times New Roman" w:cs="Times New Roman"/>
          <w:b/>
          <w:bCs/>
          <w:sz w:val="24"/>
          <w:szCs w:val="24"/>
        </w:rPr>
        <w:t>onstitution</w:t>
      </w:r>
      <w:r>
        <w:rPr>
          <w:rFonts w:ascii="Times New Roman" w:hAnsi="Times New Roman" w:cs="Times New Roman"/>
          <w:sz w:val="24"/>
          <w:szCs w:val="24"/>
        </w:rPr>
        <w:t xml:space="preserve">, </w:t>
      </w:r>
      <w:r w:rsidRPr="00AD38D0">
        <w:rPr>
          <w:rFonts w:ascii="Times New Roman" w:hAnsi="Times New Roman" w:cs="Times New Roman"/>
          <w:b/>
          <w:bCs/>
          <w:sz w:val="24"/>
          <w:szCs w:val="24"/>
        </w:rPr>
        <w:t>which broadly prohibited limitations on damages in personal injury cases</w:t>
      </w:r>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11"/>
      </w:r>
      <w:r>
        <w:rPr>
          <w:rFonts w:ascii="Times New Roman" w:hAnsi="Times New Roman" w:cs="Times New Roman"/>
          <w:sz w:val="24"/>
          <w:szCs w:val="24"/>
        </w:rPr>
        <w:t xml:space="preserve">   </w:t>
      </w:r>
    </w:p>
    <w:p w14:paraId="2DDF01C5" w14:textId="77777777" w:rsidR="00336EDF" w:rsidRDefault="00336EDF" w:rsidP="00336EDF">
      <w:pPr>
        <w:spacing w:after="0"/>
        <w:jc w:val="both"/>
        <w:rPr>
          <w:rFonts w:ascii="Times New Roman" w:hAnsi="Times New Roman" w:cs="Times New Roman"/>
          <w:sz w:val="24"/>
          <w:szCs w:val="24"/>
        </w:rPr>
      </w:pPr>
    </w:p>
    <w:p w14:paraId="2E4419B3" w14:textId="2972BED6"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 xml:space="preserve">The Wyoming workers’ compensation statute was enacted for the same reasons as similar such statutes in the United States. It is noteworthy that in an early declaration of the purposes for Wyoming enacting workers’ compensation, Governor Carey, in 1913, cited policy justifications enunciated by a </w:t>
      </w:r>
      <w:r w:rsidRPr="00AD38D0">
        <w:rPr>
          <w:rFonts w:ascii="Times New Roman" w:hAnsi="Times New Roman" w:cs="Times New Roman"/>
          <w:i/>
          <w:iCs/>
          <w:sz w:val="24"/>
          <w:szCs w:val="24"/>
        </w:rPr>
        <w:t>Wisconsin</w:t>
      </w:r>
      <w:r>
        <w:rPr>
          <w:rFonts w:ascii="Times New Roman" w:hAnsi="Times New Roman" w:cs="Times New Roman"/>
          <w:sz w:val="24"/>
          <w:szCs w:val="24"/>
        </w:rPr>
        <w:t xml:space="preserve"> legislative committee. The selection of Wisconsin as a comparator was significant because it was the </w:t>
      </w:r>
      <w:r w:rsidRPr="00AD38D0">
        <w:rPr>
          <w:rFonts w:ascii="Times New Roman" w:hAnsi="Times New Roman" w:cs="Times New Roman"/>
          <w:i/>
          <w:iCs/>
          <w:sz w:val="24"/>
          <w:szCs w:val="24"/>
        </w:rPr>
        <w:t>first</w:t>
      </w:r>
      <w:r>
        <w:rPr>
          <w:rFonts w:ascii="Times New Roman" w:hAnsi="Times New Roman" w:cs="Times New Roman"/>
          <w:sz w:val="24"/>
          <w:szCs w:val="24"/>
        </w:rPr>
        <w:t xml:space="preserve"> state enacting workers’ compensation in the United States. Thus, </w:t>
      </w:r>
      <w:r w:rsidRPr="00AD38D0">
        <w:rPr>
          <w:rFonts w:ascii="Times New Roman" w:hAnsi="Times New Roman" w:cs="Times New Roman"/>
          <w:b/>
          <w:bCs/>
          <w:sz w:val="24"/>
          <w:szCs w:val="24"/>
        </w:rPr>
        <w:t>Governor Carey firmly connected Wyoming’s policy aspirations to the national movement generally</w:t>
      </w:r>
      <w:r>
        <w:rPr>
          <w:rFonts w:ascii="Times New Roman" w:hAnsi="Times New Roman" w:cs="Times New Roman"/>
          <w:sz w:val="24"/>
          <w:szCs w:val="24"/>
        </w:rPr>
        <w:t>. The stated objectives in 1913 were:</w:t>
      </w:r>
    </w:p>
    <w:p w14:paraId="320FDC27" w14:textId="77777777" w:rsidR="00336EDF" w:rsidRDefault="00336EDF" w:rsidP="00336EDF">
      <w:pPr>
        <w:spacing w:after="0"/>
        <w:jc w:val="both"/>
        <w:rPr>
          <w:rFonts w:ascii="Times New Roman" w:hAnsi="Times New Roman" w:cs="Times New Roman"/>
          <w:sz w:val="24"/>
          <w:szCs w:val="24"/>
        </w:rPr>
      </w:pPr>
    </w:p>
    <w:p w14:paraId="70D43F4D" w14:textId="6165AD84" w:rsidR="00FF7482" w:rsidRDefault="00FF7482" w:rsidP="003B27A5">
      <w:pPr>
        <w:spacing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lastRenderedPageBreak/>
        <w:t xml:space="preserve">First, </w:t>
      </w:r>
      <w:r w:rsidRPr="002057DA">
        <w:rPr>
          <w:rFonts w:ascii="Times New Roman" w:hAnsi="Times New Roman" w:cs="Times New Roman"/>
          <w:b/>
          <w:bCs/>
          <w:sz w:val="24"/>
          <w:szCs w:val="24"/>
        </w:rPr>
        <w:t>to furnish prompt and reasonable compensation to the injured employee</w:t>
      </w:r>
      <w:r>
        <w:rPr>
          <w:rFonts w:ascii="Times New Roman" w:hAnsi="Times New Roman" w:cs="Times New Roman"/>
          <w:sz w:val="24"/>
          <w:szCs w:val="24"/>
        </w:rPr>
        <w:t>;</w:t>
      </w:r>
    </w:p>
    <w:p w14:paraId="5948BEC6" w14:textId="2D334814" w:rsidR="00FF7482" w:rsidRDefault="00FF7482" w:rsidP="003B27A5">
      <w:pPr>
        <w:spacing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Second, </w:t>
      </w:r>
      <w:r w:rsidRPr="002057DA">
        <w:rPr>
          <w:rFonts w:ascii="Times New Roman" w:hAnsi="Times New Roman" w:cs="Times New Roman"/>
          <w:b/>
          <w:bCs/>
          <w:sz w:val="24"/>
          <w:szCs w:val="24"/>
        </w:rPr>
        <w:t>to utilize for the injured employee a large portion of the great amount of money wasted under the present systems</w:t>
      </w:r>
      <w:r>
        <w:rPr>
          <w:rFonts w:ascii="Times New Roman" w:hAnsi="Times New Roman" w:cs="Times New Roman"/>
          <w:sz w:val="24"/>
          <w:szCs w:val="24"/>
        </w:rPr>
        <w:t>;</w:t>
      </w:r>
    </w:p>
    <w:p w14:paraId="2360E2C3" w14:textId="41F1D9E8" w:rsidR="00FF7482" w:rsidRDefault="00FF7482" w:rsidP="003B27A5">
      <w:pPr>
        <w:spacing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Third, </w:t>
      </w:r>
      <w:r w:rsidRPr="002057DA">
        <w:rPr>
          <w:rFonts w:ascii="Times New Roman" w:hAnsi="Times New Roman" w:cs="Times New Roman"/>
          <w:b/>
          <w:bCs/>
          <w:sz w:val="24"/>
          <w:szCs w:val="24"/>
        </w:rPr>
        <w:t>to provide a tribunal where disputes between employer and employee in regard to compensation may be settled promptly, cheaply, and summarily</w:t>
      </w:r>
      <w:r>
        <w:rPr>
          <w:rFonts w:ascii="Times New Roman" w:hAnsi="Times New Roman" w:cs="Times New Roman"/>
          <w:sz w:val="24"/>
          <w:szCs w:val="24"/>
        </w:rPr>
        <w:t>;</w:t>
      </w:r>
    </w:p>
    <w:p w14:paraId="76417E35" w14:textId="14491611" w:rsidR="00FF7482" w:rsidRDefault="00FF7482" w:rsidP="004E763C">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 xml:space="preserve">Fourth, </w:t>
      </w:r>
      <w:r w:rsidRPr="002057DA">
        <w:rPr>
          <w:rFonts w:ascii="Times New Roman" w:hAnsi="Times New Roman" w:cs="Times New Roman"/>
          <w:b/>
          <w:bCs/>
          <w:sz w:val="24"/>
          <w:szCs w:val="24"/>
        </w:rPr>
        <w:t>to provide a means for minimizing the number of accidents in industrial pursuits</w:t>
      </w:r>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12"/>
      </w:r>
    </w:p>
    <w:p w14:paraId="216D0A73" w14:textId="77777777" w:rsidR="00FF7482" w:rsidRDefault="00FF7482" w:rsidP="002057DA">
      <w:pPr>
        <w:spacing w:after="0"/>
        <w:jc w:val="both"/>
        <w:rPr>
          <w:rFonts w:ascii="Times New Roman" w:hAnsi="Times New Roman" w:cs="Times New Roman"/>
          <w:sz w:val="24"/>
          <w:szCs w:val="24"/>
        </w:rPr>
      </w:pPr>
    </w:p>
    <w:p w14:paraId="401F6FF4" w14:textId="038DE19C"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Thus, Wyoming appeared to enact workers’ compensation for the same reasons it was being enacted elsewhere in the country.</w:t>
      </w:r>
    </w:p>
    <w:p w14:paraId="7514D019" w14:textId="77777777" w:rsidR="00336EDF" w:rsidRDefault="00336EDF" w:rsidP="00336EDF">
      <w:pPr>
        <w:spacing w:after="0"/>
        <w:jc w:val="both"/>
        <w:rPr>
          <w:rFonts w:ascii="Times New Roman" w:hAnsi="Times New Roman" w:cs="Times New Roman"/>
          <w:sz w:val="24"/>
          <w:szCs w:val="24"/>
        </w:rPr>
      </w:pPr>
    </w:p>
    <w:p w14:paraId="38ABBA76" w14:textId="3A80324A"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 xml:space="preserve">In its </w:t>
      </w:r>
      <w:r w:rsidRPr="002057DA">
        <w:rPr>
          <w:rFonts w:ascii="Times New Roman" w:hAnsi="Times New Roman" w:cs="Times New Roman"/>
          <w:b/>
          <w:bCs/>
          <w:i/>
          <w:iCs/>
          <w:sz w:val="24"/>
          <w:szCs w:val="24"/>
        </w:rPr>
        <w:t>present</w:t>
      </w:r>
      <w:r>
        <w:rPr>
          <w:rFonts w:ascii="Times New Roman" w:hAnsi="Times New Roman" w:cs="Times New Roman"/>
          <w:sz w:val="24"/>
          <w:szCs w:val="24"/>
        </w:rPr>
        <w:t xml:space="preserve"> form, the legislative purpose of the Wyoming Workers’ Compensation Act is stated as follows:</w:t>
      </w:r>
    </w:p>
    <w:p w14:paraId="6316073D" w14:textId="77777777" w:rsidR="00336EDF" w:rsidRDefault="00336EDF" w:rsidP="00336EDF">
      <w:pPr>
        <w:spacing w:after="0"/>
        <w:jc w:val="both"/>
        <w:rPr>
          <w:rFonts w:ascii="Times New Roman" w:hAnsi="Times New Roman" w:cs="Times New Roman"/>
          <w:sz w:val="24"/>
          <w:szCs w:val="24"/>
        </w:rPr>
      </w:pPr>
    </w:p>
    <w:p w14:paraId="2EFCBB7D" w14:textId="02A97ED0" w:rsidR="00FF7482" w:rsidRDefault="00FF7482" w:rsidP="00336EDF">
      <w:pPr>
        <w:spacing w:after="0"/>
        <w:ind w:left="720" w:right="720"/>
        <w:jc w:val="both"/>
        <w:rPr>
          <w:rFonts w:ascii="Times New Roman" w:hAnsi="Times New Roman" w:cs="Times New Roman"/>
          <w:sz w:val="24"/>
          <w:szCs w:val="24"/>
        </w:rPr>
      </w:pPr>
      <w:r w:rsidRPr="00EF74A0">
        <w:rPr>
          <w:rFonts w:ascii="Times New Roman" w:hAnsi="Times New Roman" w:cs="Times New Roman"/>
          <w:sz w:val="24"/>
          <w:szCs w:val="24"/>
        </w:rPr>
        <w:t>It is the intent of the legislature in creating the Wyoming worker</w:t>
      </w:r>
      <w:r>
        <w:rPr>
          <w:rFonts w:ascii="Times New Roman" w:hAnsi="Times New Roman" w:cs="Times New Roman"/>
          <w:sz w:val="24"/>
          <w:szCs w:val="24"/>
        </w:rPr>
        <w:t>’</w:t>
      </w:r>
      <w:r w:rsidRPr="00EF74A0">
        <w:rPr>
          <w:rFonts w:ascii="Times New Roman" w:hAnsi="Times New Roman" w:cs="Times New Roman"/>
          <w:sz w:val="24"/>
          <w:szCs w:val="24"/>
        </w:rPr>
        <w:t>s compensation division that the laws administered by it to provide a worker</w:t>
      </w:r>
      <w:r>
        <w:rPr>
          <w:rFonts w:ascii="Times New Roman" w:hAnsi="Times New Roman" w:cs="Times New Roman"/>
          <w:sz w:val="24"/>
          <w:szCs w:val="24"/>
        </w:rPr>
        <w:t>’</w:t>
      </w:r>
      <w:r w:rsidRPr="00EF74A0">
        <w:rPr>
          <w:rFonts w:ascii="Times New Roman" w:hAnsi="Times New Roman" w:cs="Times New Roman"/>
          <w:sz w:val="24"/>
          <w:szCs w:val="24"/>
        </w:rPr>
        <w:t xml:space="preserve">s benefit system be interpreted </w:t>
      </w:r>
      <w:r w:rsidRPr="002057DA">
        <w:rPr>
          <w:rFonts w:ascii="Times New Roman" w:hAnsi="Times New Roman" w:cs="Times New Roman"/>
          <w:b/>
          <w:bCs/>
          <w:sz w:val="24"/>
          <w:szCs w:val="24"/>
        </w:rPr>
        <w:t>to assure the quick and efficient delivery of indemnity and medical benefits to injured and disabled workers at a reasonable cost to the employers who are subject to the Worker’s Compensation Act</w:t>
      </w:r>
      <w:r w:rsidRPr="0007565C">
        <w:rPr>
          <w:rFonts w:ascii="Times New Roman" w:hAnsi="Times New Roman" w:cs="Times New Roman"/>
          <w:sz w:val="24"/>
          <w:szCs w:val="24"/>
        </w:rPr>
        <w:t>.</w:t>
      </w:r>
      <w:r w:rsidRPr="00EF74A0">
        <w:rPr>
          <w:rFonts w:ascii="Times New Roman" w:hAnsi="Times New Roman" w:cs="Times New Roman"/>
          <w:sz w:val="24"/>
          <w:szCs w:val="24"/>
        </w:rPr>
        <w:t xml:space="preserve"> It is the specific intent of the legislature that benefit claims cases be decided on their merits and that the common law rule of “liberal construction” based on the supposed “remedial” basis of workers</w:t>
      </w:r>
      <w:r>
        <w:rPr>
          <w:rFonts w:ascii="Times New Roman" w:hAnsi="Times New Roman" w:cs="Times New Roman"/>
          <w:sz w:val="24"/>
          <w:szCs w:val="24"/>
        </w:rPr>
        <w:t>’</w:t>
      </w:r>
      <w:r w:rsidRPr="00EF74A0">
        <w:rPr>
          <w:rFonts w:ascii="Times New Roman" w:hAnsi="Times New Roman" w:cs="Times New Roman"/>
          <w:sz w:val="24"/>
          <w:szCs w:val="24"/>
        </w:rPr>
        <w:t xml:space="preserve"> benefits legislation shall not apply in these cases. The worker</w:t>
      </w:r>
      <w:r>
        <w:rPr>
          <w:rFonts w:ascii="Times New Roman" w:hAnsi="Times New Roman" w:cs="Times New Roman"/>
          <w:sz w:val="24"/>
          <w:szCs w:val="24"/>
        </w:rPr>
        <w:t>’</w:t>
      </w:r>
      <w:r w:rsidRPr="00EF74A0">
        <w:rPr>
          <w:rFonts w:ascii="Times New Roman" w:hAnsi="Times New Roman" w:cs="Times New Roman"/>
          <w:sz w:val="24"/>
          <w:szCs w:val="24"/>
        </w:rPr>
        <w:t>s benefit system in Wyoming is based on a mutual renunciation of common law rights and defenses by employers and employees alike. Accordingly, the legislature declares that the Worker</w:t>
      </w:r>
      <w:r>
        <w:rPr>
          <w:rFonts w:ascii="Times New Roman" w:hAnsi="Times New Roman" w:cs="Times New Roman"/>
          <w:sz w:val="24"/>
          <w:szCs w:val="24"/>
        </w:rPr>
        <w:t>’</w:t>
      </w:r>
      <w:r w:rsidRPr="00EF74A0">
        <w:rPr>
          <w:rFonts w:ascii="Times New Roman" w:hAnsi="Times New Roman" w:cs="Times New Roman"/>
          <w:sz w:val="24"/>
          <w:szCs w:val="24"/>
        </w:rPr>
        <w:t>s Compensation Act is not remedial in any sense and is not to be given a broad liberal construction in favor of any party.</w:t>
      </w:r>
      <w:r w:rsidRPr="00666305">
        <w:rPr>
          <w:rFonts w:ascii="Times New Roman" w:hAnsi="Times New Roman" w:cs="Times New Roman"/>
          <w:sz w:val="24"/>
          <w:szCs w:val="24"/>
          <w:vertAlign w:val="superscript"/>
        </w:rPr>
        <w:footnoteReference w:id="13"/>
      </w:r>
    </w:p>
    <w:p w14:paraId="046BDCC0" w14:textId="77777777" w:rsidR="00FF7482" w:rsidRDefault="00FF7482" w:rsidP="004E763C">
      <w:pPr>
        <w:spacing w:after="0"/>
        <w:ind w:firstLine="720"/>
        <w:jc w:val="both"/>
        <w:rPr>
          <w:rFonts w:ascii="Times New Roman" w:hAnsi="Times New Roman" w:cs="Times New Roman"/>
          <w:sz w:val="24"/>
          <w:szCs w:val="24"/>
        </w:rPr>
      </w:pPr>
    </w:p>
    <w:p w14:paraId="34DE9B91" w14:textId="4E5E1B0A" w:rsidR="00FF7482" w:rsidRDefault="00FF7482" w:rsidP="0010197A">
      <w:pPr>
        <w:spacing w:after="0"/>
        <w:jc w:val="both"/>
        <w:rPr>
          <w:rFonts w:ascii="Times New Roman" w:hAnsi="Times New Roman" w:cs="Times New Roman"/>
          <w:sz w:val="24"/>
          <w:szCs w:val="24"/>
        </w:rPr>
      </w:pPr>
      <w:r>
        <w:rPr>
          <w:rFonts w:ascii="Times New Roman" w:hAnsi="Times New Roman" w:cs="Times New Roman"/>
          <w:sz w:val="24"/>
          <w:szCs w:val="24"/>
        </w:rPr>
        <w:t xml:space="preserve">It is evident there is some tension between original and modified statements of the Wyoming Act’s purpose. </w:t>
      </w:r>
    </w:p>
    <w:p w14:paraId="6190FE8C" w14:textId="77777777" w:rsidR="00FF7482" w:rsidRDefault="00FF7482" w:rsidP="0010197A">
      <w:pPr>
        <w:spacing w:after="0"/>
        <w:jc w:val="both"/>
        <w:rPr>
          <w:rFonts w:ascii="Times New Roman" w:hAnsi="Times New Roman" w:cs="Times New Roman"/>
          <w:sz w:val="24"/>
          <w:szCs w:val="24"/>
        </w:rPr>
      </w:pPr>
    </w:p>
    <w:p w14:paraId="740BBB9A" w14:textId="26AEA3A1" w:rsidR="00FF7482" w:rsidRPr="008B479F" w:rsidRDefault="00FF7482" w:rsidP="00C15726">
      <w:pPr>
        <w:pStyle w:val="Heading2"/>
        <w:rPr>
          <w:rFonts w:ascii="Times New Roman" w:hAnsi="Times New Roman" w:cs="Times New Roman"/>
          <w:b/>
          <w:color w:val="auto"/>
        </w:rPr>
      </w:pPr>
      <w:bookmarkStart w:id="23" w:name="_Toc75269337"/>
      <w:r w:rsidRPr="008B479F">
        <w:rPr>
          <w:rFonts w:ascii="Times New Roman" w:hAnsi="Times New Roman" w:cs="Times New Roman"/>
          <w:b/>
          <w:color w:val="auto"/>
        </w:rPr>
        <w:t>Uniqueness of Wyoming’s Workers’ Compensation Statute</w:t>
      </w:r>
      <w:bookmarkEnd w:id="23"/>
      <w:r w:rsidRPr="008B479F">
        <w:rPr>
          <w:rFonts w:ascii="Times New Roman" w:hAnsi="Times New Roman" w:cs="Times New Roman"/>
          <w:b/>
          <w:color w:val="auto"/>
        </w:rPr>
        <w:t xml:space="preserve"> </w:t>
      </w:r>
    </w:p>
    <w:p w14:paraId="4CC4D136" w14:textId="77777777" w:rsidR="00FF7482" w:rsidRDefault="00FF7482" w:rsidP="006A3226">
      <w:pPr>
        <w:spacing w:after="0"/>
        <w:jc w:val="both"/>
        <w:rPr>
          <w:rFonts w:ascii="Times New Roman" w:hAnsi="Times New Roman" w:cs="Times New Roman"/>
          <w:sz w:val="24"/>
          <w:szCs w:val="24"/>
        </w:rPr>
      </w:pPr>
      <w:r>
        <w:rPr>
          <w:rFonts w:ascii="Times New Roman" w:hAnsi="Times New Roman" w:cs="Times New Roman"/>
          <w:sz w:val="24"/>
          <w:szCs w:val="24"/>
        </w:rPr>
        <w:tab/>
      </w:r>
    </w:p>
    <w:p w14:paraId="73A0D82B" w14:textId="1585166F" w:rsidR="00FF7482" w:rsidRDefault="00FF7482" w:rsidP="008F14BD">
      <w:pPr>
        <w:spacing w:after="0"/>
        <w:jc w:val="both"/>
        <w:rPr>
          <w:rFonts w:ascii="Times New Roman" w:hAnsi="Times New Roman" w:cs="Times New Roman"/>
          <w:sz w:val="24"/>
          <w:szCs w:val="24"/>
        </w:rPr>
      </w:pPr>
      <w:r>
        <w:rPr>
          <w:rFonts w:ascii="Times New Roman" w:hAnsi="Times New Roman" w:cs="Times New Roman"/>
          <w:sz w:val="24"/>
          <w:szCs w:val="24"/>
        </w:rPr>
        <w:t xml:space="preserve">Wyoming’s workers’ compensation statute is unique in several ways. To understand why it is so unique a bit more history will be canvassed. The Grand </w:t>
      </w:r>
      <w:r>
        <w:rPr>
          <w:rFonts w:ascii="Times New Roman" w:hAnsi="Times New Roman" w:cs="Times New Roman"/>
          <w:sz w:val="24"/>
          <w:szCs w:val="24"/>
        </w:rPr>
        <w:lastRenderedPageBreak/>
        <w:t xml:space="preserve">Bargain, referred to in Section 1.1 above, itself was </w:t>
      </w:r>
      <w:r w:rsidRPr="00AD38D0">
        <w:rPr>
          <w:rFonts w:ascii="Times New Roman" w:hAnsi="Times New Roman" w:cs="Times New Roman"/>
          <w:i/>
          <w:iCs/>
          <w:sz w:val="24"/>
          <w:szCs w:val="24"/>
        </w:rPr>
        <w:t>so</w:t>
      </w:r>
      <w:r>
        <w:rPr>
          <w:rFonts w:ascii="Times New Roman" w:hAnsi="Times New Roman" w:cs="Times New Roman"/>
          <w:sz w:val="24"/>
          <w:szCs w:val="24"/>
        </w:rPr>
        <w:t xml:space="preserve"> unique that many observers wondered whether courts would even uphold it as constitutional. Because of this uncertainty, several states began implementing the workers’ compensation model slowly and cautiously. For example, several states applied workers’ compensation statutes </w:t>
      </w:r>
      <w:r w:rsidRPr="00AD38D0">
        <w:rPr>
          <w:rFonts w:ascii="Times New Roman" w:hAnsi="Times New Roman" w:cs="Times New Roman"/>
          <w:i/>
          <w:iCs/>
          <w:sz w:val="24"/>
          <w:szCs w:val="24"/>
        </w:rPr>
        <w:t xml:space="preserve">only </w:t>
      </w:r>
      <w:r>
        <w:rPr>
          <w:rFonts w:ascii="Times New Roman" w:hAnsi="Times New Roman" w:cs="Times New Roman"/>
          <w:sz w:val="24"/>
          <w:szCs w:val="24"/>
        </w:rPr>
        <w:t>to extrahazardous employment.</w:t>
      </w:r>
      <w:r w:rsidRPr="00666305">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Some states preliminarily made participation in workers’ compensation </w:t>
      </w:r>
      <w:r w:rsidRPr="00AD38D0">
        <w:rPr>
          <w:rFonts w:ascii="Times New Roman" w:hAnsi="Times New Roman" w:cs="Times New Roman"/>
          <w:i/>
          <w:iCs/>
          <w:sz w:val="24"/>
          <w:szCs w:val="24"/>
        </w:rPr>
        <w:t>elective</w:t>
      </w:r>
      <w:r>
        <w:rPr>
          <w:rFonts w:ascii="Times New Roman" w:hAnsi="Times New Roman" w:cs="Times New Roman"/>
          <w:sz w:val="24"/>
          <w:szCs w:val="24"/>
        </w:rPr>
        <w:t xml:space="preserve"> with respect to employers, employees, or both. (Texas is the only U.S. state never to have changed the completely elective nature of its system; in a few states workers’ compensation has remained elective for </w:t>
      </w:r>
      <w:r w:rsidRPr="00A56CDD">
        <w:rPr>
          <w:rFonts w:ascii="Times New Roman" w:hAnsi="Times New Roman" w:cs="Times New Roman"/>
          <w:i/>
          <w:iCs/>
          <w:sz w:val="24"/>
          <w:szCs w:val="24"/>
        </w:rPr>
        <w:t>employees</w:t>
      </w:r>
      <w:r>
        <w:rPr>
          <w:rFonts w:ascii="Times New Roman" w:hAnsi="Times New Roman" w:cs="Times New Roman"/>
          <w:sz w:val="24"/>
          <w:szCs w:val="24"/>
        </w:rPr>
        <w:t xml:space="preserve"> in very narrow circumstances</w:t>
      </w:r>
      <w:r w:rsidR="008F14BD">
        <w:rPr>
          <w:rFonts w:ascii="Times New Roman" w:hAnsi="Times New Roman" w:cs="Times New Roman"/>
          <w:sz w:val="24"/>
          <w:szCs w:val="24"/>
        </w:rPr>
        <w:t>.</w:t>
      </w:r>
      <w:r>
        <w:rPr>
          <w:rFonts w:ascii="Times New Roman" w:hAnsi="Times New Roman" w:cs="Times New Roman"/>
          <w:sz w:val="24"/>
          <w:szCs w:val="24"/>
        </w:rPr>
        <w:t xml:space="preserve">) Eventually, after the United States Supreme Court upheld the constitutionality of one version of workers’ compensation, the New York Act—mandatory only with respect to ultrahazardous employment—in the celebrated case </w:t>
      </w:r>
      <w:bookmarkStart w:id="25" w:name="_Hlk517014518"/>
      <w:r w:rsidRPr="00317496">
        <w:rPr>
          <w:rFonts w:ascii="Times New Roman" w:hAnsi="Times New Roman" w:cs="Times New Roman"/>
          <w:i/>
          <w:sz w:val="24"/>
          <w:szCs w:val="24"/>
        </w:rPr>
        <w:t>New York Central Railroad Company v. White</w:t>
      </w:r>
      <w:r w:rsidRPr="00585D85">
        <w:rPr>
          <w:rFonts w:ascii="Times New Roman" w:hAnsi="Times New Roman" w:cs="Times New Roman"/>
          <w:sz w:val="24"/>
          <w:szCs w:val="24"/>
        </w:rPr>
        <w:t>,</w:t>
      </w:r>
      <w:r w:rsidR="006D1C6E" w:rsidRPr="00666305">
        <w:rPr>
          <w:rFonts w:ascii="Times New Roman" w:hAnsi="Times New Roman" w:cs="Times New Roman"/>
          <w:sz w:val="24"/>
          <w:szCs w:val="24"/>
          <w:vertAlign w:val="superscript"/>
        </w:rPr>
        <w:footnoteReference w:id="15"/>
      </w:r>
      <w:r w:rsidRPr="00585D85">
        <w:rPr>
          <w:rFonts w:ascii="Times New Roman" w:hAnsi="Times New Roman" w:cs="Times New Roman"/>
          <w:sz w:val="24"/>
          <w:szCs w:val="24"/>
        </w:rPr>
        <w:t xml:space="preserve"> </w:t>
      </w:r>
      <w:bookmarkEnd w:id="25"/>
      <w:r>
        <w:rPr>
          <w:rFonts w:ascii="Times New Roman" w:hAnsi="Times New Roman" w:cs="Times New Roman"/>
          <w:sz w:val="24"/>
          <w:szCs w:val="24"/>
        </w:rPr>
        <w:t>many states became more audacious in applying their statutes in mandatory fashion to most employers, extrahazardous and non-extrahazardous alike. Eventually, all states except Wyoming (and perhaps Illinois) appear to have simply excised references to statutory application only to extrahazardous employment</w:t>
      </w:r>
      <w:r w:rsidR="008F14BD">
        <w:rPr>
          <w:rFonts w:ascii="Times New Roman" w:hAnsi="Times New Roman" w:cs="Times New Roman"/>
          <w:sz w:val="24"/>
          <w:szCs w:val="24"/>
        </w:rPr>
        <w:t>s</w:t>
      </w:r>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Wyoming, for reasons that are somewhat unclear, has broadened (sometimes in counterintuitive ways) the class of employments defined as “extrahazardous.”</w:t>
      </w:r>
      <w:r w:rsidRPr="00666305">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Thus, Wyoming law still by its terms applies to </w:t>
      </w:r>
      <w:r w:rsidRPr="008609B8">
        <w:rPr>
          <w:rFonts w:ascii="Times New Roman" w:hAnsi="Times New Roman" w:cs="Times New Roman"/>
          <w:b/>
          <w:bCs/>
          <w:sz w:val="24"/>
          <w:szCs w:val="24"/>
        </w:rPr>
        <w:t>“extrahazardous”</w:t>
      </w:r>
      <w:r>
        <w:rPr>
          <w:rFonts w:ascii="Times New Roman" w:hAnsi="Times New Roman" w:cs="Times New Roman"/>
          <w:sz w:val="24"/>
          <w:szCs w:val="24"/>
        </w:rPr>
        <w:t xml:space="preserve"> employment, a reference that can be puzzling to out of state readers.</w:t>
      </w:r>
    </w:p>
    <w:p w14:paraId="0A0F4673" w14:textId="77777777" w:rsidR="00FF7482" w:rsidRDefault="00FF7482" w:rsidP="00714BDC">
      <w:pPr>
        <w:spacing w:after="0"/>
        <w:jc w:val="both"/>
        <w:rPr>
          <w:rFonts w:ascii="Times New Roman" w:hAnsi="Times New Roman" w:cs="Times New Roman"/>
          <w:sz w:val="24"/>
          <w:szCs w:val="24"/>
        </w:rPr>
      </w:pPr>
      <w:r>
        <w:rPr>
          <w:rFonts w:ascii="Times New Roman" w:hAnsi="Times New Roman" w:cs="Times New Roman"/>
          <w:sz w:val="24"/>
          <w:szCs w:val="24"/>
        </w:rPr>
        <w:tab/>
      </w:r>
    </w:p>
    <w:p w14:paraId="3D93DE97" w14:textId="622EF5C3"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Another unique feature of Wyoming’s statute is that the system of insuring employers against loss occasioned by exposure to liability for payment of benefits is </w:t>
      </w:r>
      <w:r w:rsidRPr="008609B8">
        <w:rPr>
          <w:rFonts w:ascii="Times New Roman" w:hAnsi="Times New Roman" w:cs="Times New Roman"/>
          <w:b/>
          <w:bCs/>
          <w:sz w:val="24"/>
          <w:szCs w:val="24"/>
        </w:rPr>
        <w:t>“monopolistic.”</w:t>
      </w:r>
      <w:r>
        <w:rPr>
          <w:rFonts w:ascii="Times New Roman" w:hAnsi="Times New Roman" w:cs="Times New Roman"/>
          <w:sz w:val="24"/>
          <w:szCs w:val="24"/>
        </w:rPr>
        <w:t xml:space="preserve"> A monopolistic system is one in which a state government is the exclusive guarantor and payor of workers’ compensation benefits. At this writing only Wyoming, Ohio, North Dakota, and Washington possess monopolistic systems (there were as many as seven at one time). All other states permit private insurance carriers to insure employers against workers’ compensation losses, though some states operate state funds </w:t>
      </w:r>
      <w:r w:rsidRPr="008609B8">
        <w:rPr>
          <w:rFonts w:ascii="Times New Roman" w:hAnsi="Times New Roman" w:cs="Times New Roman"/>
          <w:b/>
          <w:bCs/>
          <w:sz w:val="24"/>
          <w:szCs w:val="24"/>
        </w:rPr>
        <w:t>in addition to</w:t>
      </w:r>
      <w:r>
        <w:rPr>
          <w:rFonts w:ascii="Times New Roman" w:hAnsi="Times New Roman" w:cs="Times New Roman"/>
          <w:sz w:val="24"/>
          <w:szCs w:val="24"/>
        </w:rPr>
        <w:t xml:space="preserve"> overseeing a private workers’ compensation market.</w:t>
      </w:r>
      <w:r w:rsidR="00A06D0D">
        <w:rPr>
          <w:rFonts w:ascii="Times New Roman" w:hAnsi="Times New Roman" w:cs="Times New Roman"/>
          <w:sz w:val="24"/>
          <w:szCs w:val="24"/>
        </w:rPr>
        <w:t xml:space="preserve"> Wyoming is also one of only two states—North Dakota is the other—not permitting employers to self-insure following the posting of an adequate bond.</w:t>
      </w:r>
    </w:p>
    <w:p w14:paraId="0D11ABB4" w14:textId="77777777" w:rsidR="00951829" w:rsidRDefault="00951829" w:rsidP="00951829">
      <w:pPr>
        <w:spacing w:after="0"/>
        <w:jc w:val="both"/>
        <w:rPr>
          <w:rFonts w:ascii="Times New Roman" w:hAnsi="Times New Roman" w:cs="Times New Roman"/>
          <w:sz w:val="24"/>
          <w:szCs w:val="24"/>
        </w:rPr>
      </w:pPr>
    </w:p>
    <w:p w14:paraId="51909DEE" w14:textId="2068208F"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Wyoming has also uniquely established by statute a “Medical Commission” to resolve conflicts in medical evidence—that is, situations in which some medical evidence seems to show that an injured employee is entitled to specific types of workers’ compensation benefits while other evidence points to non-coverage. The </w:t>
      </w:r>
      <w:r>
        <w:rPr>
          <w:rFonts w:ascii="Times New Roman" w:hAnsi="Times New Roman" w:cs="Times New Roman"/>
          <w:sz w:val="24"/>
          <w:szCs w:val="24"/>
        </w:rPr>
        <w:lastRenderedPageBreak/>
        <w:t xml:space="preserve">approach of handling such evidentiary conflicts outside of a </w:t>
      </w:r>
      <w:r w:rsidRPr="00976B16">
        <w:rPr>
          <w:rFonts w:ascii="Times New Roman" w:hAnsi="Times New Roman" w:cs="Times New Roman"/>
          <w:b/>
          <w:bCs/>
          <w:sz w:val="24"/>
          <w:szCs w:val="24"/>
        </w:rPr>
        <w:t>traditional</w:t>
      </w:r>
      <w:r w:rsidR="00A06D0D">
        <w:rPr>
          <w:rFonts w:ascii="Times New Roman" w:hAnsi="Times New Roman" w:cs="Times New Roman"/>
          <w:b/>
          <w:bCs/>
          <w:sz w:val="24"/>
          <w:szCs w:val="24"/>
        </w:rPr>
        <w:t>, unitary</w:t>
      </w:r>
      <w:r w:rsidRPr="00976B16">
        <w:rPr>
          <w:rFonts w:ascii="Times New Roman" w:hAnsi="Times New Roman" w:cs="Times New Roman"/>
          <w:b/>
          <w:bCs/>
          <w:sz w:val="24"/>
          <w:szCs w:val="24"/>
        </w:rPr>
        <w:t xml:space="preserve"> </w:t>
      </w:r>
      <w:r>
        <w:rPr>
          <w:rFonts w:ascii="Times New Roman" w:hAnsi="Times New Roman" w:cs="Times New Roman"/>
          <w:sz w:val="24"/>
          <w:szCs w:val="24"/>
        </w:rPr>
        <w:t xml:space="preserve">administrative law adjudicatory body appears to be unique to Wyoming. While several states utilize systems in which cases are referred to </w:t>
      </w:r>
      <w:r w:rsidRPr="00976B16">
        <w:rPr>
          <w:rFonts w:ascii="Times New Roman" w:hAnsi="Times New Roman" w:cs="Times New Roman"/>
          <w:i/>
          <w:iCs/>
          <w:sz w:val="24"/>
          <w:szCs w:val="24"/>
        </w:rPr>
        <w:t>“independent”</w:t>
      </w:r>
      <w:r>
        <w:rPr>
          <w:rFonts w:ascii="Times New Roman" w:hAnsi="Times New Roman" w:cs="Times New Roman"/>
          <w:sz w:val="24"/>
          <w:szCs w:val="24"/>
        </w:rPr>
        <w:t xml:space="preserve"> or </w:t>
      </w:r>
      <w:r w:rsidRPr="00976B16">
        <w:rPr>
          <w:rFonts w:ascii="Times New Roman" w:hAnsi="Times New Roman" w:cs="Times New Roman"/>
          <w:i/>
          <w:iCs/>
          <w:sz w:val="24"/>
          <w:szCs w:val="24"/>
        </w:rPr>
        <w:t>“impartial”</w:t>
      </w:r>
      <w:r>
        <w:rPr>
          <w:rFonts w:ascii="Times New Roman" w:hAnsi="Times New Roman" w:cs="Times New Roman"/>
          <w:sz w:val="24"/>
          <w:szCs w:val="24"/>
        </w:rPr>
        <w:t xml:space="preserve"> medical examiners to resolve competing medical evidence generated by parties, no other states have taken the additional step of creating an entirely separate</w:t>
      </w:r>
      <w:r w:rsidR="00A06D0D">
        <w:rPr>
          <w:rFonts w:ascii="Times New Roman" w:hAnsi="Times New Roman" w:cs="Times New Roman"/>
          <w:sz w:val="24"/>
          <w:szCs w:val="24"/>
        </w:rPr>
        <w:t>, workers’ compensation dedicated</w:t>
      </w:r>
      <w:r>
        <w:rPr>
          <w:rFonts w:ascii="Times New Roman" w:hAnsi="Times New Roman" w:cs="Times New Roman"/>
          <w:sz w:val="24"/>
          <w:szCs w:val="24"/>
        </w:rPr>
        <w:t xml:space="preserve"> medical agency to hear and decide such cases. For example, under the Utah Act, a hearing officer may </w:t>
      </w:r>
      <w:r w:rsidRPr="00976B16">
        <w:rPr>
          <w:rFonts w:ascii="Times New Roman" w:hAnsi="Times New Roman" w:cs="Times New Roman"/>
          <w:b/>
          <w:bCs/>
          <w:i/>
          <w:iCs/>
          <w:sz w:val="24"/>
          <w:szCs w:val="24"/>
        </w:rPr>
        <w:t>refer</w:t>
      </w:r>
      <w:r>
        <w:rPr>
          <w:rFonts w:ascii="Times New Roman" w:hAnsi="Times New Roman" w:cs="Times New Roman"/>
          <w:sz w:val="24"/>
          <w:szCs w:val="24"/>
        </w:rPr>
        <w:t xml:space="preserve"> contested issues to a medical panel directly employed by the state but the referring hearing officer retains jurisdiction of and decides the case.</w:t>
      </w:r>
      <w:r w:rsidRPr="00666305">
        <w:rPr>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In Wyoming, full hearing jurisdiction of the case lies with the Medical Commission once statutory predicates are satisfied.</w:t>
      </w:r>
      <w:r w:rsidRPr="00666305">
        <w:rPr>
          <w:rFonts w:ascii="Times New Roman" w:hAnsi="Times New Roman" w:cs="Times New Roman"/>
          <w:sz w:val="24"/>
          <w:szCs w:val="24"/>
          <w:vertAlign w:val="superscript"/>
        </w:rPr>
        <w:footnoteReference w:id="19"/>
      </w:r>
      <w:r>
        <w:rPr>
          <w:rFonts w:ascii="Times New Roman" w:hAnsi="Times New Roman" w:cs="Times New Roman"/>
          <w:sz w:val="24"/>
          <w:szCs w:val="24"/>
        </w:rPr>
        <w:t xml:space="preserve"> The process will be discussed more fully in Chapter 7 of this Treatise. </w:t>
      </w:r>
    </w:p>
    <w:p w14:paraId="2FCFB35A" w14:textId="77777777" w:rsidR="00951829" w:rsidRDefault="00951829" w:rsidP="00951829">
      <w:pPr>
        <w:spacing w:after="0"/>
        <w:jc w:val="both"/>
        <w:rPr>
          <w:rFonts w:ascii="Times New Roman" w:hAnsi="Times New Roman" w:cs="Times New Roman"/>
          <w:sz w:val="24"/>
          <w:szCs w:val="24"/>
        </w:rPr>
      </w:pPr>
    </w:p>
    <w:p w14:paraId="031657AF" w14:textId="5D6BC661"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Finally, although </w:t>
      </w:r>
      <w:r w:rsidRPr="003E4C89">
        <w:rPr>
          <w:rFonts w:ascii="Times New Roman" w:hAnsi="Times New Roman" w:cs="Times New Roman"/>
          <w:b/>
          <w:sz w:val="24"/>
          <w:szCs w:val="24"/>
        </w:rPr>
        <w:t>Wyoming was initially a “liberal construction” state</w:t>
      </w:r>
      <w:r>
        <w:rPr>
          <w:rFonts w:ascii="Times New Roman" w:hAnsi="Times New Roman" w:cs="Times New Roman"/>
          <w:sz w:val="24"/>
          <w:szCs w:val="24"/>
        </w:rPr>
        <w:t>, “[i]</w:t>
      </w:r>
      <w:r w:rsidRPr="00DD063C">
        <w:rPr>
          <w:rFonts w:ascii="Times New Roman" w:hAnsi="Times New Roman" w:cs="Times New Roman"/>
          <w:sz w:val="24"/>
          <w:szCs w:val="24"/>
        </w:rPr>
        <w:t>n 1994, an amendment to the Wyoming Workers</w:t>
      </w:r>
      <w:r>
        <w:rPr>
          <w:rFonts w:ascii="Times New Roman" w:hAnsi="Times New Roman" w:cs="Times New Roman"/>
          <w:sz w:val="24"/>
          <w:szCs w:val="24"/>
        </w:rPr>
        <w:t>’</w:t>
      </w:r>
      <w:r w:rsidRPr="00DD063C">
        <w:rPr>
          <w:rFonts w:ascii="Times New Roman" w:hAnsi="Times New Roman" w:cs="Times New Roman"/>
          <w:sz w:val="24"/>
          <w:szCs w:val="24"/>
        </w:rPr>
        <w:t xml:space="preserve"> Compensation Act was adopted by the legislature with the apparent purpose of </w:t>
      </w:r>
      <w:r w:rsidRPr="003E4C89">
        <w:rPr>
          <w:rFonts w:ascii="Times New Roman" w:hAnsi="Times New Roman" w:cs="Times New Roman"/>
          <w:b/>
          <w:sz w:val="24"/>
          <w:szCs w:val="24"/>
        </w:rPr>
        <w:t>rejecting the rule of liberal construction</w:t>
      </w:r>
      <w:r w:rsidRPr="00DD063C">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20"/>
      </w:r>
      <w:r w:rsidRPr="00DD063C">
        <w:rPr>
          <w:rFonts w:ascii="Times New Roman" w:hAnsi="Times New Roman" w:cs="Times New Roman"/>
          <w:sz w:val="24"/>
          <w:szCs w:val="24"/>
        </w:rPr>
        <w:t xml:space="preserve"> The statute now provides in pertinent part:</w:t>
      </w:r>
      <w:r>
        <w:rPr>
          <w:rFonts w:ascii="Times New Roman" w:hAnsi="Times New Roman" w:cs="Times New Roman"/>
          <w:sz w:val="24"/>
          <w:szCs w:val="24"/>
        </w:rPr>
        <w:t xml:space="preserve"> </w:t>
      </w:r>
      <w:r w:rsidRPr="00DD063C">
        <w:rPr>
          <w:rFonts w:ascii="Times New Roman" w:hAnsi="Times New Roman" w:cs="Times New Roman"/>
          <w:sz w:val="24"/>
          <w:szCs w:val="24"/>
        </w:rPr>
        <w:t xml:space="preserve">(b) </w:t>
      </w:r>
      <w:r>
        <w:rPr>
          <w:rFonts w:ascii="Times New Roman" w:hAnsi="Times New Roman" w:cs="Times New Roman"/>
          <w:sz w:val="24"/>
          <w:szCs w:val="24"/>
        </w:rPr>
        <w:t xml:space="preserve"> . . . </w:t>
      </w:r>
      <w:r w:rsidRPr="00DD063C">
        <w:rPr>
          <w:rFonts w:ascii="Times New Roman" w:hAnsi="Times New Roman" w:cs="Times New Roman"/>
          <w:sz w:val="24"/>
          <w:szCs w:val="24"/>
        </w:rPr>
        <w:t xml:space="preserve">It is the specific intent of the legislature that benefit claims cases be decided on their merits and that the common law rule of </w:t>
      </w:r>
      <w:r w:rsidR="00B476DC">
        <w:rPr>
          <w:rFonts w:ascii="Times New Roman" w:hAnsi="Times New Roman" w:cs="Times New Roman"/>
          <w:sz w:val="24"/>
          <w:szCs w:val="24"/>
        </w:rPr>
        <w:t>‘</w:t>
      </w:r>
      <w:r w:rsidRPr="00DD063C">
        <w:rPr>
          <w:rFonts w:ascii="Times New Roman" w:hAnsi="Times New Roman" w:cs="Times New Roman"/>
          <w:sz w:val="24"/>
          <w:szCs w:val="24"/>
        </w:rPr>
        <w:t>liberal construction</w:t>
      </w:r>
      <w:r w:rsidR="00B476DC">
        <w:rPr>
          <w:rFonts w:ascii="Times New Roman" w:hAnsi="Times New Roman" w:cs="Times New Roman"/>
          <w:sz w:val="24"/>
          <w:szCs w:val="24"/>
        </w:rPr>
        <w:t>’</w:t>
      </w:r>
      <w:r w:rsidRPr="00DD063C">
        <w:rPr>
          <w:rFonts w:ascii="Times New Roman" w:hAnsi="Times New Roman" w:cs="Times New Roman"/>
          <w:sz w:val="24"/>
          <w:szCs w:val="24"/>
        </w:rPr>
        <w:t xml:space="preserve"> based on the supposed </w:t>
      </w:r>
      <w:r w:rsidR="00B476DC">
        <w:rPr>
          <w:rFonts w:ascii="Times New Roman" w:hAnsi="Times New Roman" w:cs="Times New Roman"/>
          <w:sz w:val="24"/>
          <w:szCs w:val="24"/>
        </w:rPr>
        <w:t>‘</w:t>
      </w:r>
      <w:r w:rsidRPr="00DD063C">
        <w:rPr>
          <w:rFonts w:ascii="Times New Roman" w:hAnsi="Times New Roman" w:cs="Times New Roman"/>
          <w:sz w:val="24"/>
          <w:szCs w:val="24"/>
        </w:rPr>
        <w:t>remedial</w:t>
      </w:r>
      <w:r w:rsidR="00B476DC">
        <w:rPr>
          <w:rFonts w:ascii="Times New Roman" w:hAnsi="Times New Roman" w:cs="Times New Roman"/>
          <w:sz w:val="24"/>
          <w:szCs w:val="24"/>
        </w:rPr>
        <w:t>’</w:t>
      </w:r>
      <w:r w:rsidRPr="00DD063C">
        <w:rPr>
          <w:rFonts w:ascii="Times New Roman" w:hAnsi="Times New Roman" w:cs="Times New Roman"/>
          <w:sz w:val="24"/>
          <w:szCs w:val="24"/>
        </w:rPr>
        <w:t xml:space="preserve"> basis of workers</w:t>
      </w:r>
      <w:r>
        <w:rPr>
          <w:rFonts w:ascii="Times New Roman" w:hAnsi="Times New Roman" w:cs="Times New Roman"/>
          <w:sz w:val="24"/>
          <w:szCs w:val="24"/>
        </w:rPr>
        <w:t>’</w:t>
      </w:r>
      <w:r w:rsidRPr="00DD063C">
        <w:rPr>
          <w:rFonts w:ascii="Times New Roman" w:hAnsi="Times New Roman" w:cs="Times New Roman"/>
          <w:sz w:val="24"/>
          <w:szCs w:val="24"/>
        </w:rPr>
        <w:t xml:space="preserve"> benefits legislation shall not apply in these cases</w:t>
      </w:r>
      <w:r>
        <w:rPr>
          <w:rFonts w:ascii="Times New Roman" w:hAnsi="Times New Roman" w:cs="Times New Roman"/>
          <w:sz w:val="24"/>
          <w:szCs w:val="24"/>
        </w:rPr>
        <w:t xml:space="preserve"> . . .”</w:t>
      </w:r>
      <w:r w:rsidRPr="00666305">
        <w:rPr>
          <w:rFonts w:ascii="Times New Roman" w:hAnsi="Times New Roman" w:cs="Times New Roman"/>
          <w:sz w:val="24"/>
          <w:szCs w:val="24"/>
          <w:vertAlign w:val="superscript"/>
        </w:rPr>
        <w:footnoteReference w:id="21"/>
      </w:r>
    </w:p>
    <w:p w14:paraId="49E7EB7E" w14:textId="77777777" w:rsidR="00951829" w:rsidRDefault="00951829" w:rsidP="00724980">
      <w:pPr>
        <w:spacing w:after="0"/>
        <w:jc w:val="both"/>
        <w:rPr>
          <w:rFonts w:ascii="Times New Roman" w:hAnsi="Times New Roman" w:cs="Times New Roman"/>
          <w:sz w:val="24"/>
          <w:szCs w:val="24"/>
        </w:rPr>
      </w:pPr>
    </w:p>
    <w:p w14:paraId="7278BAB0" w14:textId="693A85C8" w:rsidR="00FF7482" w:rsidRDefault="00FF7482" w:rsidP="00724980">
      <w:pPr>
        <w:spacing w:after="0"/>
        <w:jc w:val="both"/>
        <w:rPr>
          <w:rFonts w:ascii="Times New Roman" w:hAnsi="Times New Roman" w:cs="Times New Roman"/>
          <w:sz w:val="24"/>
          <w:szCs w:val="24"/>
        </w:rPr>
      </w:pPr>
      <w:r>
        <w:rPr>
          <w:rFonts w:ascii="Times New Roman" w:hAnsi="Times New Roman" w:cs="Times New Roman"/>
          <w:sz w:val="24"/>
          <w:szCs w:val="24"/>
        </w:rPr>
        <w:t>This amendment presents an interesting interpretive problem. In several areas of workers’ compensation law, the Wyoming Supreme Court rendered decisions with an eye to the generally applicable</w:t>
      </w:r>
      <w:r w:rsidRPr="00666305">
        <w:rPr>
          <w:rFonts w:ascii="Times New Roman" w:hAnsi="Times New Roman" w:cs="Times New Roman"/>
          <w:sz w:val="24"/>
          <w:szCs w:val="24"/>
          <w:vertAlign w:val="superscript"/>
        </w:rPr>
        <w:footnoteReference w:id="22"/>
      </w:r>
      <w:r>
        <w:rPr>
          <w:rFonts w:ascii="Times New Roman" w:hAnsi="Times New Roman" w:cs="Times New Roman"/>
          <w:sz w:val="24"/>
          <w:szCs w:val="24"/>
        </w:rPr>
        <w:t xml:space="preserve"> liberal interpretation canon. </w:t>
      </w:r>
      <w:r w:rsidRPr="00EF74A0">
        <w:rPr>
          <w:rFonts w:ascii="Times New Roman" w:hAnsi="Times New Roman" w:cs="Times New Roman"/>
          <w:b/>
          <w:sz w:val="24"/>
          <w:szCs w:val="24"/>
        </w:rPr>
        <w:t>The question is whether the law is somehow unsettled in connection with narrow issues decided under the</w:t>
      </w:r>
      <w:r w:rsidR="00A06D0D">
        <w:rPr>
          <w:rFonts w:ascii="Times New Roman" w:hAnsi="Times New Roman" w:cs="Times New Roman"/>
          <w:b/>
          <w:sz w:val="24"/>
          <w:szCs w:val="24"/>
        </w:rPr>
        <w:t xml:space="preserve"> prior</w:t>
      </w:r>
      <w:r w:rsidRPr="00EF74A0">
        <w:rPr>
          <w:rFonts w:ascii="Times New Roman" w:hAnsi="Times New Roman" w:cs="Times New Roman"/>
          <w:b/>
          <w:sz w:val="24"/>
          <w:szCs w:val="24"/>
        </w:rPr>
        <w:t xml:space="preserve"> liberal construction regime</w:t>
      </w:r>
      <w:r w:rsidRPr="0007565C">
        <w:rPr>
          <w:rFonts w:ascii="Times New Roman" w:hAnsi="Times New Roman" w:cs="Times New Roman"/>
          <w:bCs/>
          <w:sz w:val="24"/>
          <w:szCs w:val="24"/>
        </w:rPr>
        <w:t>.</w:t>
      </w:r>
      <w:r>
        <w:rPr>
          <w:rFonts w:ascii="Times New Roman" w:hAnsi="Times New Roman" w:cs="Times New Roman"/>
          <w:sz w:val="24"/>
          <w:szCs w:val="24"/>
        </w:rPr>
        <w:t xml:space="preserve"> In general</w:t>
      </w:r>
      <w:r w:rsidRPr="00EF74A0">
        <w:rPr>
          <w:rFonts w:ascii="Times New Roman" w:hAnsi="Times New Roman" w:cs="Times New Roman"/>
          <w:b/>
          <w:sz w:val="24"/>
          <w:szCs w:val="24"/>
        </w:rPr>
        <w:t xml:space="preserve">, </w:t>
      </w:r>
      <w:r w:rsidRPr="00976B16">
        <w:rPr>
          <w:rFonts w:ascii="Times New Roman" w:hAnsi="Times New Roman" w:cs="Times New Roman"/>
          <w:b/>
          <w:sz w:val="24"/>
          <w:szCs w:val="24"/>
        </w:rPr>
        <w:t>“</w:t>
      </w:r>
      <w:r w:rsidRPr="00976B16">
        <w:rPr>
          <w:rFonts w:ascii="Times New Roman" w:hAnsi="Times New Roman" w:cs="Times New Roman"/>
          <w:b/>
          <w:sz w:val="24"/>
          <w:szCs w:val="24"/>
          <w:u w:val="single"/>
        </w:rPr>
        <w:t>[c]ourts construe a new law as consistent with existing case law in the absence of weighty evidence that a legislature did not intend to adopt prior judicial interpretations when it enacted the new version of a law</w:t>
      </w:r>
      <w:r w:rsidRPr="0007565C">
        <w:rPr>
          <w:rFonts w:ascii="Times New Roman" w:hAnsi="Times New Roman" w:cs="Times New Roman"/>
          <w:b/>
          <w:bCs/>
          <w:sz w:val="24"/>
          <w:szCs w:val="24"/>
        </w:rPr>
        <w:t>.”</w:t>
      </w:r>
      <w:r w:rsidRPr="00666305">
        <w:rPr>
          <w:rFonts w:ascii="Times New Roman" w:hAnsi="Times New Roman" w:cs="Times New Roman"/>
          <w:sz w:val="24"/>
          <w:szCs w:val="24"/>
          <w:vertAlign w:val="superscript"/>
        </w:rPr>
        <w:footnoteReference w:id="23"/>
      </w:r>
      <w:r>
        <w:rPr>
          <w:rFonts w:ascii="Times New Roman" w:hAnsi="Times New Roman" w:cs="Times New Roman"/>
          <w:sz w:val="24"/>
          <w:szCs w:val="24"/>
        </w:rPr>
        <w:t xml:space="preserve"> Absent a legislative expression in 1994 to very broadly unsettle Wyoming workers’ compensation law, it would seem prudent for the Wyoming courts to follow this general interpretive rule. It is, of course, true that during the phase-in of the new statute, abolishing liberal construction, the Wyoming courts held that “</w:t>
      </w:r>
      <w:r w:rsidRPr="00873945">
        <w:rPr>
          <w:rFonts w:ascii="Times New Roman" w:hAnsi="Times New Roman" w:cs="Times New Roman"/>
          <w:sz w:val="24"/>
          <w:szCs w:val="24"/>
        </w:rPr>
        <w:t>the rule of liberal construction of a statute in favor of the claimant is applied when the statute at issue is silent as to the issue presented and precedes the legislature</w:t>
      </w:r>
      <w:r>
        <w:rPr>
          <w:rFonts w:ascii="Times New Roman" w:hAnsi="Times New Roman" w:cs="Times New Roman"/>
          <w:sz w:val="24"/>
          <w:szCs w:val="24"/>
        </w:rPr>
        <w:t>’</w:t>
      </w:r>
      <w:r w:rsidRPr="00873945">
        <w:rPr>
          <w:rFonts w:ascii="Times New Roman" w:hAnsi="Times New Roman" w:cs="Times New Roman"/>
          <w:sz w:val="24"/>
          <w:szCs w:val="24"/>
        </w:rPr>
        <w:t xml:space="preserve">s 1994 amendment to the </w:t>
      </w:r>
      <w:r w:rsidRPr="00873945">
        <w:rPr>
          <w:rFonts w:ascii="Times New Roman" w:hAnsi="Times New Roman" w:cs="Times New Roman"/>
          <w:sz w:val="24"/>
          <w:szCs w:val="24"/>
        </w:rPr>
        <w:lastRenderedPageBreak/>
        <w:t>preamble of the workers</w:t>
      </w:r>
      <w:r>
        <w:rPr>
          <w:rFonts w:ascii="Times New Roman" w:hAnsi="Times New Roman" w:cs="Times New Roman"/>
          <w:sz w:val="24"/>
          <w:szCs w:val="24"/>
        </w:rPr>
        <w:t>’</w:t>
      </w:r>
      <w:r w:rsidRPr="00873945">
        <w:rPr>
          <w:rFonts w:ascii="Times New Roman" w:hAnsi="Times New Roman" w:cs="Times New Roman"/>
          <w:sz w:val="24"/>
          <w:szCs w:val="24"/>
        </w:rPr>
        <w:t xml:space="preserve"> compensation statutes.</w:t>
      </w:r>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But that rule does not help with the problem of what to do about issues that were decided under </w:t>
      </w:r>
      <w:r w:rsidRPr="00976B16">
        <w:rPr>
          <w:rFonts w:ascii="Times New Roman" w:hAnsi="Times New Roman" w:cs="Times New Roman"/>
          <w:i/>
          <w:iCs/>
          <w:sz w:val="24"/>
          <w:szCs w:val="24"/>
        </w:rPr>
        <w:t>provisions of prior, liberal-construction versions of the statute that have been carried forward in newer versions of the statute enacted after the excising of the liberal construction preamble</w:t>
      </w:r>
      <w:r>
        <w:rPr>
          <w:rFonts w:ascii="Times New Roman" w:hAnsi="Times New Roman" w:cs="Times New Roman"/>
          <w:sz w:val="24"/>
          <w:szCs w:val="24"/>
        </w:rPr>
        <w:t>.</w:t>
      </w:r>
    </w:p>
    <w:p w14:paraId="111668E5" w14:textId="77777777" w:rsidR="00FF7482" w:rsidRPr="00DC486D" w:rsidRDefault="00FF7482" w:rsidP="006A3226">
      <w:pPr>
        <w:spacing w:after="0"/>
        <w:ind w:firstLine="720"/>
        <w:jc w:val="both"/>
        <w:rPr>
          <w:rFonts w:ascii="Times New Roman" w:hAnsi="Times New Roman" w:cs="Times New Roman"/>
          <w:sz w:val="24"/>
          <w:szCs w:val="24"/>
        </w:rPr>
      </w:pPr>
    </w:p>
    <w:p w14:paraId="0128ED1F" w14:textId="1C42B9DB" w:rsidR="00FF7482" w:rsidRPr="008B479F" w:rsidRDefault="00FF7482" w:rsidP="00C15726">
      <w:pPr>
        <w:pStyle w:val="Heading2"/>
        <w:spacing w:before="0"/>
        <w:rPr>
          <w:rFonts w:ascii="Times New Roman" w:hAnsi="Times New Roman" w:cs="Times New Roman"/>
          <w:b/>
          <w:color w:val="auto"/>
        </w:rPr>
      </w:pPr>
      <w:bookmarkStart w:id="35" w:name="_Toc75269338"/>
      <w:r w:rsidRPr="008B479F">
        <w:rPr>
          <w:rFonts w:ascii="Times New Roman" w:hAnsi="Times New Roman" w:cs="Times New Roman"/>
          <w:b/>
          <w:color w:val="auto"/>
        </w:rPr>
        <w:t>Fault is Irrelevant Under Wyoming Statute</w:t>
      </w:r>
      <w:bookmarkEnd w:id="35"/>
    </w:p>
    <w:p w14:paraId="61ABCC54" w14:textId="77777777" w:rsidR="00FF7482" w:rsidRDefault="00FF7482" w:rsidP="008A788C">
      <w:pPr>
        <w:spacing w:after="0"/>
        <w:jc w:val="both"/>
        <w:rPr>
          <w:rFonts w:ascii="Times New Roman" w:hAnsi="Times New Roman" w:cs="Times New Roman"/>
          <w:sz w:val="24"/>
          <w:szCs w:val="24"/>
        </w:rPr>
      </w:pPr>
      <w:r>
        <w:rPr>
          <w:rFonts w:ascii="Times New Roman" w:hAnsi="Times New Roman" w:cs="Times New Roman"/>
          <w:sz w:val="24"/>
          <w:szCs w:val="24"/>
        </w:rPr>
        <w:tab/>
      </w:r>
    </w:p>
    <w:p w14:paraId="3ACAA629" w14:textId="76254DAB" w:rsidR="00FF7482" w:rsidRDefault="00FF7482" w:rsidP="00434EDB">
      <w:pPr>
        <w:spacing w:after="0"/>
        <w:jc w:val="both"/>
        <w:rPr>
          <w:rFonts w:ascii="Times New Roman" w:hAnsi="Times New Roman" w:cs="Times New Roman"/>
          <w:sz w:val="24"/>
          <w:szCs w:val="24"/>
        </w:rPr>
      </w:pPr>
      <w:r>
        <w:rPr>
          <w:rFonts w:ascii="Times New Roman" w:hAnsi="Times New Roman" w:cs="Times New Roman"/>
          <w:sz w:val="24"/>
          <w:szCs w:val="24"/>
        </w:rPr>
        <w:t>Despite the uniqueness of the Wyoming statute, it remains a bedrock principle under Wyoming law (as under the law of all workers’ compensation statutes) that</w:t>
      </w:r>
      <w:r w:rsidR="001437DB">
        <w:rPr>
          <w:rFonts w:ascii="Times New Roman" w:hAnsi="Times New Roman" w:cs="Times New Roman"/>
          <w:sz w:val="24"/>
          <w:szCs w:val="24"/>
        </w:rPr>
        <w:t xml:space="preserve"> in connection with work-related injuries</w:t>
      </w:r>
      <w:r>
        <w:rPr>
          <w:rFonts w:ascii="Times New Roman" w:hAnsi="Times New Roman" w:cs="Times New Roman"/>
          <w:sz w:val="24"/>
          <w:szCs w:val="24"/>
        </w:rPr>
        <w:t xml:space="preserve"> tort law has been supplanted by workers’ compensation and that fault on the part of the employer </w:t>
      </w:r>
      <w:r w:rsidR="001437DB">
        <w:rPr>
          <w:rFonts w:ascii="Times New Roman" w:hAnsi="Times New Roman" w:cs="Times New Roman"/>
          <w:sz w:val="24"/>
          <w:szCs w:val="24"/>
        </w:rPr>
        <w:t>or</w:t>
      </w:r>
      <w:r>
        <w:rPr>
          <w:rFonts w:ascii="Times New Roman" w:hAnsi="Times New Roman" w:cs="Times New Roman"/>
          <w:sz w:val="24"/>
          <w:szCs w:val="24"/>
        </w:rPr>
        <w:t xml:space="preserve"> employee is irrelevant. This, indeed, is one of the core concepts of the “quid pro quo” or “Grand Bargain” of workers’ compensation. As an historical aside, this was a central feature of all original workers’ compensation acts, American and International.</w:t>
      </w:r>
      <w:r w:rsidRPr="00666305">
        <w:rPr>
          <w:rFonts w:ascii="Times New Roman" w:hAnsi="Times New Roman" w:cs="Times New Roman"/>
          <w:sz w:val="24"/>
          <w:szCs w:val="24"/>
          <w:vertAlign w:val="superscript"/>
        </w:rPr>
        <w:footnoteReference w:id="25"/>
      </w:r>
      <w:r>
        <w:rPr>
          <w:rFonts w:ascii="Times New Roman" w:hAnsi="Times New Roman" w:cs="Times New Roman"/>
          <w:sz w:val="24"/>
          <w:szCs w:val="24"/>
        </w:rPr>
        <w:t xml:space="preserve"> Wyoming has firmly adopted the principle.</w:t>
      </w:r>
      <w:r w:rsidRPr="00666305">
        <w:rPr>
          <w:rFonts w:ascii="Times New Roman" w:hAnsi="Times New Roman" w:cs="Times New Roman"/>
          <w:sz w:val="24"/>
          <w:szCs w:val="24"/>
          <w:vertAlign w:val="superscript"/>
        </w:rPr>
        <w:footnoteReference w:id="26"/>
      </w:r>
      <w:r>
        <w:rPr>
          <w:rFonts w:ascii="Times New Roman" w:hAnsi="Times New Roman" w:cs="Times New Roman"/>
          <w:sz w:val="24"/>
          <w:szCs w:val="24"/>
        </w:rPr>
        <w:t xml:space="preserve">  </w:t>
      </w:r>
    </w:p>
    <w:p w14:paraId="6DDC02AA" w14:textId="77777777" w:rsidR="00FF7482" w:rsidRPr="00DB6097" w:rsidRDefault="00FF7482" w:rsidP="006A3226">
      <w:pPr>
        <w:spacing w:after="0"/>
        <w:jc w:val="both"/>
        <w:rPr>
          <w:rFonts w:ascii="Times New Roman" w:hAnsi="Times New Roman" w:cs="Times New Roman"/>
          <w:sz w:val="24"/>
          <w:szCs w:val="24"/>
        </w:rPr>
      </w:pPr>
    </w:p>
    <w:p w14:paraId="638FEE48" w14:textId="15EEE2E1" w:rsidR="00FF7482" w:rsidRPr="006A3226" w:rsidRDefault="00FF7482" w:rsidP="00C15726">
      <w:pPr>
        <w:pStyle w:val="Heading2"/>
        <w:spacing w:before="0"/>
        <w:jc w:val="both"/>
        <w:rPr>
          <w:rFonts w:ascii="Times New Roman" w:hAnsi="Times New Roman" w:cs="Times New Roman"/>
          <w:sz w:val="24"/>
          <w:szCs w:val="24"/>
        </w:rPr>
      </w:pPr>
      <w:bookmarkStart w:id="39" w:name="_Toc75269339"/>
      <w:r w:rsidRPr="006A3226">
        <w:rPr>
          <w:rFonts w:ascii="Times New Roman" w:hAnsi="Times New Roman" w:cs="Times New Roman"/>
          <w:b/>
          <w:color w:val="auto"/>
        </w:rPr>
        <w:t>Exclusive Remedy Rule Generally</w:t>
      </w:r>
      <w:bookmarkEnd w:id="39"/>
    </w:p>
    <w:p w14:paraId="703D376D" w14:textId="2EEA0A0A" w:rsidR="00FF7482" w:rsidRPr="006A3226" w:rsidRDefault="00FF7482" w:rsidP="006A3226">
      <w:pPr>
        <w:pStyle w:val="Heading2"/>
        <w:numPr>
          <w:ilvl w:val="0"/>
          <w:numId w:val="0"/>
        </w:numPr>
        <w:spacing w:before="0"/>
        <w:ind w:left="662"/>
        <w:jc w:val="both"/>
        <w:rPr>
          <w:rFonts w:ascii="Times New Roman" w:hAnsi="Times New Roman" w:cs="Times New Roman"/>
          <w:sz w:val="24"/>
          <w:szCs w:val="24"/>
        </w:rPr>
      </w:pPr>
      <w:r w:rsidRPr="006A3226">
        <w:rPr>
          <w:rFonts w:ascii="Times New Roman" w:hAnsi="Times New Roman" w:cs="Times New Roman"/>
          <w:sz w:val="24"/>
          <w:szCs w:val="24"/>
        </w:rPr>
        <w:tab/>
      </w:r>
    </w:p>
    <w:p w14:paraId="31BD1C95" w14:textId="04C151E7" w:rsidR="00FF7482" w:rsidRDefault="00FF7482" w:rsidP="00161C22">
      <w:pPr>
        <w:spacing w:after="0"/>
        <w:jc w:val="both"/>
        <w:rPr>
          <w:rFonts w:ascii="Times New Roman" w:hAnsi="Times New Roman" w:cs="Times New Roman"/>
          <w:sz w:val="24"/>
          <w:szCs w:val="24"/>
        </w:rPr>
      </w:pPr>
      <w:r>
        <w:rPr>
          <w:rFonts w:ascii="Times New Roman" w:hAnsi="Times New Roman" w:cs="Times New Roman"/>
          <w:sz w:val="24"/>
          <w:szCs w:val="24"/>
        </w:rPr>
        <w:t xml:space="preserve">In the American system, it is explicitly understood under the vast majority of modern statutes that workers’ compensation benefits are an employee’s </w:t>
      </w:r>
      <w:r w:rsidRPr="00422594">
        <w:rPr>
          <w:rFonts w:ascii="Times New Roman" w:hAnsi="Times New Roman" w:cs="Times New Roman"/>
          <w:b/>
          <w:bCs/>
          <w:sz w:val="24"/>
          <w:szCs w:val="24"/>
        </w:rPr>
        <w:t>exclusive remedy</w:t>
      </w:r>
      <w:r>
        <w:rPr>
          <w:rFonts w:ascii="Times New Roman" w:hAnsi="Times New Roman" w:cs="Times New Roman"/>
          <w:sz w:val="24"/>
          <w:szCs w:val="24"/>
        </w:rPr>
        <w:t xml:space="preserve"> against her employer for workplace injury.</w:t>
      </w:r>
      <w:r w:rsidRPr="00666305">
        <w:rPr>
          <w:rFonts w:ascii="Times New Roman" w:hAnsi="Times New Roman" w:cs="Times New Roman"/>
          <w:sz w:val="24"/>
          <w:szCs w:val="24"/>
          <w:vertAlign w:val="superscript"/>
        </w:rPr>
        <w:footnoteReference w:id="27"/>
      </w:r>
      <w:r>
        <w:rPr>
          <w:rFonts w:ascii="Times New Roman" w:hAnsi="Times New Roman" w:cs="Times New Roman"/>
          <w:sz w:val="24"/>
          <w:szCs w:val="24"/>
        </w:rPr>
        <w:t xml:space="preserve"> As mentioned in Section 1.3, however, many initial workers’ compensation statutes, because of constitutional concerns, provided employees with the </w:t>
      </w:r>
      <w:r w:rsidRPr="00422594">
        <w:rPr>
          <w:rFonts w:ascii="Times New Roman" w:hAnsi="Times New Roman" w:cs="Times New Roman"/>
          <w:i/>
          <w:iCs/>
          <w:sz w:val="24"/>
          <w:szCs w:val="24"/>
        </w:rPr>
        <w:t>option</w:t>
      </w:r>
      <w:r>
        <w:rPr>
          <w:rFonts w:ascii="Times New Roman" w:hAnsi="Times New Roman" w:cs="Times New Roman"/>
          <w:sz w:val="24"/>
          <w:szCs w:val="24"/>
        </w:rPr>
        <w:t xml:space="preserve"> to sue in tort rather than to pursue workers’ compensation benefits. Texas, as mentioned, retains this feature of its statute; and, in some instances, state statutes preserve election for employers </w:t>
      </w:r>
      <w:r w:rsidRPr="00422594">
        <w:rPr>
          <w:rFonts w:ascii="Times New Roman" w:hAnsi="Times New Roman" w:cs="Times New Roman"/>
          <w:i/>
          <w:iCs/>
          <w:sz w:val="24"/>
          <w:szCs w:val="24"/>
        </w:rPr>
        <w:t>in certain economic sectors</w:t>
      </w:r>
      <w:r>
        <w:rPr>
          <w:rFonts w:ascii="Times New Roman" w:hAnsi="Times New Roman" w:cs="Times New Roman"/>
          <w:sz w:val="24"/>
          <w:szCs w:val="24"/>
        </w:rPr>
        <w:t xml:space="preserve"> such as the </w:t>
      </w:r>
      <w:r w:rsidRPr="00422594">
        <w:rPr>
          <w:rFonts w:ascii="Times New Roman" w:hAnsi="Times New Roman" w:cs="Times New Roman"/>
          <w:i/>
          <w:iCs/>
          <w:sz w:val="24"/>
          <w:szCs w:val="24"/>
        </w:rPr>
        <w:t>agricultural</w:t>
      </w:r>
      <w:r>
        <w:rPr>
          <w:rFonts w:ascii="Times New Roman" w:hAnsi="Times New Roman" w:cs="Times New Roman"/>
          <w:sz w:val="24"/>
          <w:szCs w:val="24"/>
        </w:rPr>
        <w:t xml:space="preserve"> sector, and for employees in very narrow circumstances.</w:t>
      </w:r>
      <w:r w:rsidRPr="00666305">
        <w:rPr>
          <w:rFonts w:ascii="Times New Roman" w:hAnsi="Times New Roman" w:cs="Times New Roman"/>
          <w:sz w:val="24"/>
          <w:szCs w:val="24"/>
          <w:vertAlign w:val="superscript"/>
        </w:rPr>
        <w:footnoteReference w:id="28"/>
      </w:r>
      <w:r>
        <w:rPr>
          <w:rFonts w:ascii="Times New Roman" w:hAnsi="Times New Roman" w:cs="Times New Roman"/>
          <w:sz w:val="24"/>
          <w:szCs w:val="24"/>
        </w:rPr>
        <w:t xml:space="preserve"> Also, where employers are required to obtain workers’ compensation coverage and do not, they may be liable to an injured employee in tort, and may be prevented in that litigation from raising traditional affirmative defenses to a negligence action.</w:t>
      </w:r>
      <w:r w:rsidRPr="00666305">
        <w:rPr>
          <w:rFonts w:ascii="Times New Roman" w:hAnsi="Times New Roman" w:cs="Times New Roman"/>
          <w:sz w:val="24"/>
          <w:szCs w:val="24"/>
          <w:vertAlign w:val="superscript"/>
        </w:rPr>
        <w:footnoteReference w:id="29"/>
      </w:r>
      <w:r>
        <w:rPr>
          <w:rFonts w:ascii="Times New Roman" w:hAnsi="Times New Roman" w:cs="Times New Roman"/>
          <w:sz w:val="24"/>
          <w:szCs w:val="24"/>
        </w:rPr>
        <w:t xml:space="preserve"> This “deprivation of defenses” approach is similar to that taken under federal tort “liability statutes” preceding enactment of </w:t>
      </w:r>
      <w:r>
        <w:rPr>
          <w:rFonts w:ascii="Times New Roman" w:hAnsi="Times New Roman" w:cs="Times New Roman"/>
          <w:sz w:val="24"/>
          <w:szCs w:val="24"/>
        </w:rPr>
        <w:lastRenderedPageBreak/>
        <w:t>workers’ compensation statutes, most notably the Federal Employers’ Liability Act of 1908 (FELA),</w:t>
      </w:r>
      <w:r w:rsidRPr="00666305">
        <w:rPr>
          <w:rFonts w:ascii="Times New Roman" w:hAnsi="Times New Roman" w:cs="Times New Roman"/>
          <w:sz w:val="24"/>
          <w:szCs w:val="24"/>
          <w:vertAlign w:val="superscript"/>
        </w:rPr>
        <w:footnoteReference w:id="30"/>
      </w:r>
      <w:r>
        <w:rPr>
          <w:rFonts w:ascii="Times New Roman" w:hAnsi="Times New Roman" w:cs="Times New Roman"/>
          <w:sz w:val="24"/>
          <w:szCs w:val="24"/>
        </w:rPr>
        <w:t xml:space="preserve"> which remains applicable to American railroad employers under present law.  </w:t>
      </w:r>
    </w:p>
    <w:p w14:paraId="671081E5" w14:textId="77777777" w:rsidR="00FF7482" w:rsidRDefault="00FF7482" w:rsidP="00341AD0">
      <w:pPr>
        <w:spacing w:after="0"/>
        <w:jc w:val="both"/>
        <w:rPr>
          <w:rFonts w:ascii="Times New Roman" w:hAnsi="Times New Roman" w:cs="Times New Roman"/>
          <w:sz w:val="24"/>
          <w:szCs w:val="24"/>
        </w:rPr>
      </w:pPr>
    </w:p>
    <w:p w14:paraId="17F27211" w14:textId="7ADE6BBD" w:rsidR="00FF7482" w:rsidRPr="008B479F" w:rsidRDefault="00FF7482" w:rsidP="00C15726">
      <w:pPr>
        <w:pStyle w:val="Heading2"/>
        <w:spacing w:before="0"/>
        <w:rPr>
          <w:rFonts w:ascii="Times New Roman" w:hAnsi="Times New Roman" w:cs="Times New Roman"/>
          <w:b/>
          <w:color w:val="auto"/>
        </w:rPr>
      </w:pPr>
      <w:bookmarkStart w:id="46" w:name="_Toc75269340"/>
      <w:r w:rsidRPr="008B479F">
        <w:rPr>
          <w:rFonts w:ascii="Times New Roman" w:hAnsi="Times New Roman" w:cs="Times New Roman"/>
          <w:b/>
          <w:color w:val="auto"/>
        </w:rPr>
        <w:t>Exclusive Remedy Rule in Wyoming</w:t>
      </w:r>
      <w:bookmarkEnd w:id="46"/>
    </w:p>
    <w:p w14:paraId="73AB1090" w14:textId="77777777" w:rsidR="00FF7482" w:rsidRDefault="00FF7482" w:rsidP="00FE123E">
      <w:pPr>
        <w:spacing w:after="0"/>
        <w:jc w:val="both"/>
        <w:rPr>
          <w:rFonts w:ascii="Times New Roman" w:hAnsi="Times New Roman" w:cs="Times New Roman"/>
          <w:sz w:val="24"/>
          <w:szCs w:val="24"/>
        </w:rPr>
      </w:pPr>
      <w:r>
        <w:rPr>
          <w:rFonts w:ascii="Times New Roman" w:hAnsi="Times New Roman" w:cs="Times New Roman"/>
          <w:sz w:val="24"/>
          <w:szCs w:val="24"/>
        </w:rPr>
        <w:tab/>
      </w:r>
    </w:p>
    <w:p w14:paraId="7962EF58" w14:textId="639A895D"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Wyoming not only adheres statutorily to the exclusive remedy rule,</w:t>
      </w:r>
      <w:r w:rsidRPr="00666305">
        <w:rPr>
          <w:rFonts w:ascii="Times New Roman" w:hAnsi="Times New Roman" w:cs="Times New Roman"/>
          <w:sz w:val="24"/>
          <w:szCs w:val="24"/>
          <w:vertAlign w:val="superscript"/>
        </w:rPr>
        <w:footnoteReference w:id="31"/>
      </w:r>
      <w:r>
        <w:rPr>
          <w:rFonts w:ascii="Times New Roman" w:hAnsi="Times New Roman" w:cs="Times New Roman"/>
          <w:sz w:val="24"/>
          <w:szCs w:val="24"/>
        </w:rPr>
        <w:t xml:space="preserve"> it seems compelled to do so by the state’s constitution. </w:t>
      </w:r>
    </w:p>
    <w:p w14:paraId="5433A0D5" w14:textId="77777777" w:rsidR="00951829" w:rsidRDefault="00951829" w:rsidP="00951829">
      <w:pPr>
        <w:spacing w:after="0"/>
        <w:jc w:val="both"/>
        <w:rPr>
          <w:rFonts w:ascii="Times New Roman" w:hAnsi="Times New Roman" w:cs="Times New Roman"/>
          <w:sz w:val="24"/>
          <w:szCs w:val="24"/>
        </w:rPr>
      </w:pPr>
    </w:p>
    <w:p w14:paraId="0CD9F9FB" w14:textId="72C5840D" w:rsidR="00FF7482" w:rsidRDefault="00FF7482" w:rsidP="00951829">
      <w:pPr>
        <w:spacing w:after="0"/>
        <w:ind w:left="720" w:right="720"/>
        <w:jc w:val="both"/>
        <w:rPr>
          <w:rStyle w:val="Hyperlink"/>
          <w:rFonts w:ascii="Times New Roman" w:hAnsi="Times New Roman" w:cs="Times New Roman"/>
          <w:sz w:val="24"/>
          <w:szCs w:val="24"/>
          <w:vertAlign w:val="superscript"/>
        </w:rPr>
      </w:pPr>
      <w:r w:rsidRPr="00E26950">
        <w:rPr>
          <w:rFonts w:ascii="Times New Roman" w:hAnsi="Times New Roman" w:cs="Times New Roman"/>
          <w:sz w:val="24"/>
          <w:szCs w:val="24"/>
        </w:rPr>
        <w:t xml:space="preserve">The right of each employee to compensation from </w:t>
      </w:r>
      <w:r>
        <w:rPr>
          <w:rFonts w:ascii="Times New Roman" w:hAnsi="Times New Roman" w:cs="Times New Roman"/>
          <w:sz w:val="24"/>
          <w:szCs w:val="24"/>
        </w:rPr>
        <w:t>[the workers’ compensation]</w:t>
      </w:r>
      <w:r w:rsidRPr="00E26950">
        <w:rPr>
          <w:rFonts w:ascii="Times New Roman" w:hAnsi="Times New Roman" w:cs="Times New Roman"/>
          <w:sz w:val="24"/>
          <w:szCs w:val="24"/>
        </w:rPr>
        <w:t xml:space="preserve"> fund shall be in lieu of and shall take the place of any and all rights of action against any employer contributing as required by law to such fund in favor of any person or persons by reason of any such injuries or death.</w:t>
      </w:r>
      <w:r w:rsidRPr="00666305">
        <w:rPr>
          <w:rFonts w:ascii="Times New Roman" w:hAnsi="Times New Roman" w:cs="Times New Roman"/>
          <w:sz w:val="24"/>
          <w:szCs w:val="24"/>
          <w:vertAlign w:val="superscript"/>
        </w:rPr>
        <w:footnoteReference w:id="32"/>
      </w:r>
    </w:p>
    <w:p w14:paraId="3B2AF0E7" w14:textId="77777777" w:rsidR="00951829" w:rsidRPr="00E26950" w:rsidRDefault="00951829" w:rsidP="00951829">
      <w:pPr>
        <w:spacing w:after="0"/>
        <w:ind w:left="720" w:right="720"/>
        <w:jc w:val="both"/>
        <w:rPr>
          <w:rFonts w:ascii="Times New Roman" w:hAnsi="Times New Roman" w:cs="Times New Roman"/>
          <w:sz w:val="24"/>
          <w:szCs w:val="24"/>
        </w:rPr>
      </w:pPr>
    </w:p>
    <w:p w14:paraId="719477D6" w14:textId="0EF11371"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This language has been interpreted by the Wyoming courts to mean that </w:t>
      </w:r>
      <w:r>
        <w:rPr>
          <w:rFonts w:ascii="Times New Roman" w:hAnsi="Times New Roman" w:cs="Times New Roman"/>
          <w:b/>
          <w:sz w:val="24"/>
          <w:szCs w:val="24"/>
        </w:rPr>
        <w:t>tort</w:t>
      </w:r>
      <w:r w:rsidRPr="00DA62A3">
        <w:rPr>
          <w:rFonts w:ascii="Times New Roman" w:hAnsi="Times New Roman" w:cs="Times New Roman"/>
          <w:b/>
          <w:sz w:val="24"/>
          <w:szCs w:val="24"/>
        </w:rPr>
        <w:t xml:space="preserve"> actions by employees against their employers are </w:t>
      </w:r>
      <w:r w:rsidRPr="007E6860">
        <w:rPr>
          <w:rFonts w:ascii="Times New Roman" w:hAnsi="Times New Roman" w:cs="Times New Roman"/>
          <w:b/>
          <w:sz w:val="24"/>
          <w:szCs w:val="24"/>
          <w:u w:val="single"/>
        </w:rPr>
        <w:t>absolutely barred</w:t>
      </w:r>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33"/>
      </w:r>
      <w:r>
        <w:rPr>
          <w:rFonts w:ascii="Times New Roman" w:hAnsi="Times New Roman" w:cs="Times New Roman"/>
          <w:sz w:val="24"/>
          <w:szCs w:val="24"/>
        </w:rPr>
        <w:t xml:space="preserve"> The current version of the Wyoming Workers’ Compensation Act states, </w:t>
      </w:r>
    </w:p>
    <w:p w14:paraId="3CC8085E" w14:textId="77777777" w:rsidR="00951829" w:rsidRDefault="00951829" w:rsidP="00951829">
      <w:pPr>
        <w:spacing w:after="0"/>
        <w:jc w:val="both"/>
        <w:rPr>
          <w:rFonts w:ascii="Times New Roman" w:hAnsi="Times New Roman" w:cs="Times New Roman"/>
          <w:sz w:val="24"/>
          <w:szCs w:val="24"/>
        </w:rPr>
      </w:pPr>
    </w:p>
    <w:p w14:paraId="322BF6BA" w14:textId="3C880581" w:rsidR="00FF7482" w:rsidRDefault="00FF7482" w:rsidP="00951829">
      <w:pPr>
        <w:spacing w:after="0"/>
        <w:ind w:left="720" w:right="720"/>
        <w:jc w:val="both"/>
        <w:rPr>
          <w:rStyle w:val="Hyperlink"/>
          <w:rFonts w:ascii="Times New Roman" w:hAnsi="Times New Roman" w:cs="Times New Roman"/>
          <w:sz w:val="24"/>
          <w:szCs w:val="24"/>
          <w:vertAlign w:val="superscript"/>
        </w:rPr>
      </w:pPr>
      <w:r w:rsidRPr="00F816F9">
        <w:rPr>
          <w:rFonts w:ascii="Times New Roman" w:hAnsi="Times New Roman" w:cs="Times New Roman"/>
          <w:sz w:val="24"/>
          <w:szCs w:val="24"/>
        </w:rPr>
        <w:t>The rights and remedies provided in this act for an employee including any joint employee, and his dependents for injuries incurred in extrahazardous employments are in lieu of all other rights and remedies against any employer and any joint employer making contributions required by this act, or their employees acting within the scope of their employment unless the employees intentionally act to cause physical harm or injury to the injured employee, but do not supersede any rights and remedies available to an employee and his dependents against any other person.</w:t>
      </w:r>
      <w:r w:rsidRPr="00666305">
        <w:rPr>
          <w:rFonts w:ascii="Times New Roman" w:hAnsi="Times New Roman" w:cs="Times New Roman"/>
          <w:sz w:val="24"/>
          <w:szCs w:val="24"/>
          <w:vertAlign w:val="superscript"/>
        </w:rPr>
        <w:footnoteReference w:id="34"/>
      </w:r>
    </w:p>
    <w:p w14:paraId="520FDAB8" w14:textId="77777777" w:rsidR="00951829" w:rsidRDefault="00951829" w:rsidP="00951829">
      <w:pPr>
        <w:spacing w:after="0"/>
        <w:ind w:left="720" w:right="720"/>
        <w:jc w:val="both"/>
        <w:rPr>
          <w:rFonts w:ascii="Times New Roman" w:hAnsi="Times New Roman" w:cs="Times New Roman"/>
          <w:sz w:val="24"/>
          <w:szCs w:val="24"/>
        </w:rPr>
      </w:pPr>
    </w:p>
    <w:p w14:paraId="6DCA11BB" w14:textId="68C56E4C"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The Wyoming </w:t>
      </w:r>
      <w:r w:rsidR="00951829">
        <w:rPr>
          <w:rFonts w:ascii="Times New Roman" w:hAnsi="Times New Roman" w:cs="Times New Roman"/>
          <w:sz w:val="24"/>
          <w:szCs w:val="24"/>
        </w:rPr>
        <w:t>A</w:t>
      </w:r>
      <w:r>
        <w:rPr>
          <w:rFonts w:ascii="Times New Roman" w:hAnsi="Times New Roman" w:cs="Times New Roman"/>
          <w:sz w:val="24"/>
          <w:szCs w:val="24"/>
        </w:rPr>
        <w:t xml:space="preserve">ct additionally holds that </w:t>
      </w:r>
      <w:r w:rsidRPr="00DA62A3">
        <w:rPr>
          <w:rFonts w:ascii="Times New Roman" w:hAnsi="Times New Roman" w:cs="Times New Roman"/>
          <w:b/>
          <w:sz w:val="24"/>
          <w:szCs w:val="24"/>
        </w:rPr>
        <w:t xml:space="preserve">an employer </w:t>
      </w:r>
      <w:r w:rsidRPr="00222134">
        <w:rPr>
          <w:rFonts w:ascii="Times New Roman" w:hAnsi="Times New Roman" w:cs="Times New Roman"/>
          <w:b/>
          <w:sz w:val="24"/>
          <w:szCs w:val="24"/>
          <w:u w:val="single"/>
        </w:rPr>
        <w:t>is</w:t>
      </w:r>
      <w:r w:rsidRPr="00DA62A3">
        <w:rPr>
          <w:rFonts w:ascii="Times New Roman" w:hAnsi="Times New Roman" w:cs="Times New Roman"/>
          <w:b/>
          <w:sz w:val="24"/>
          <w:szCs w:val="24"/>
        </w:rPr>
        <w:t xml:space="preserve"> liable to her employees in tort if the employer has </w:t>
      </w:r>
      <w:r w:rsidRPr="00222134">
        <w:rPr>
          <w:rFonts w:ascii="Times New Roman" w:hAnsi="Times New Roman" w:cs="Times New Roman"/>
          <w:b/>
          <w:sz w:val="24"/>
          <w:szCs w:val="24"/>
          <w:u w:val="single"/>
        </w:rPr>
        <w:t>not</w:t>
      </w:r>
      <w:r w:rsidRPr="00DA62A3">
        <w:rPr>
          <w:rFonts w:ascii="Times New Roman" w:hAnsi="Times New Roman" w:cs="Times New Roman"/>
          <w:b/>
          <w:sz w:val="24"/>
          <w:szCs w:val="24"/>
        </w:rPr>
        <w:t xml:space="preserve"> qualified for coverage under the Act or, if qualified, “has not paid the required premium on an injured employee</w:t>
      </w:r>
      <w:r>
        <w:rPr>
          <w:rFonts w:ascii="Times New Roman" w:hAnsi="Times New Roman" w:cs="Times New Roman"/>
          <w:b/>
          <w:sz w:val="24"/>
          <w:szCs w:val="24"/>
        </w:rPr>
        <w:t>’</w:t>
      </w:r>
      <w:r w:rsidRPr="00DA62A3">
        <w:rPr>
          <w:rFonts w:ascii="Times New Roman" w:hAnsi="Times New Roman" w:cs="Times New Roman"/>
          <w:b/>
          <w:sz w:val="24"/>
          <w:szCs w:val="24"/>
        </w:rPr>
        <w:t>s earnings within thirty (30) days of the date due.”</w:t>
      </w:r>
      <w:r w:rsidRPr="00666305">
        <w:rPr>
          <w:rFonts w:ascii="Times New Roman" w:hAnsi="Times New Roman" w:cs="Times New Roman"/>
          <w:sz w:val="24"/>
          <w:szCs w:val="24"/>
          <w:vertAlign w:val="superscript"/>
        </w:rPr>
        <w:footnoteReference w:id="35"/>
      </w:r>
      <w:r>
        <w:rPr>
          <w:rFonts w:ascii="Times New Roman" w:hAnsi="Times New Roman" w:cs="Times New Roman"/>
          <w:sz w:val="24"/>
          <w:szCs w:val="24"/>
        </w:rPr>
        <w:t xml:space="preserve"> Nevertheless, </w:t>
      </w:r>
      <w:r w:rsidRPr="00DA62A3">
        <w:rPr>
          <w:rFonts w:ascii="Times New Roman" w:hAnsi="Times New Roman" w:cs="Times New Roman"/>
          <w:b/>
          <w:sz w:val="24"/>
          <w:szCs w:val="24"/>
        </w:rPr>
        <w:t xml:space="preserve">the immunity </w:t>
      </w:r>
      <w:r w:rsidRPr="00DA62A3">
        <w:rPr>
          <w:rFonts w:ascii="Times New Roman" w:hAnsi="Times New Roman" w:cs="Times New Roman"/>
          <w:b/>
          <w:sz w:val="24"/>
          <w:szCs w:val="24"/>
        </w:rPr>
        <w:lastRenderedPageBreak/>
        <w:t>provisions of the Workers</w:t>
      </w:r>
      <w:r w:rsidR="006D1C6E">
        <w:rPr>
          <w:rFonts w:ascii="Times New Roman" w:hAnsi="Times New Roman" w:cs="Times New Roman"/>
          <w:b/>
          <w:sz w:val="24"/>
          <w:szCs w:val="24"/>
        </w:rPr>
        <w:t>’</w:t>
      </w:r>
      <w:r w:rsidRPr="00DA62A3">
        <w:rPr>
          <w:rFonts w:ascii="Times New Roman" w:hAnsi="Times New Roman" w:cs="Times New Roman"/>
          <w:b/>
          <w:sz w:val="24"/>
          <w:szCs w:val="24"/>
        </w:rPr>
        <w:t xml:space="preserve"> Compensation Act are to be narrowly construed</w:t>
      </w:r>
      <w:r w:rsidRPr="00DA62A3">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36"/>
      </w:r>
      <w:r>
        <w:rPr>
          <w:rFonts w:ascii="Times New Roman" w:hAnsi="Times New Roman" w:cs="Times New Roman"/>
          <w:sz w:val="24"/>
          <w:szCs w:val="24"/>
        </w:rPr>
        <w:t xml:space="preserve"> </w:t>
      </w:r>
      <w:r w:rsidRPr="00DA62A3">
        <w:rPr>
          <w:rFonts w:ascii="Times New Roman" w:hAnsi="Times New Roman" w:cs="Times New Roman"/>
          <w:sz w:val="24"/>
          <w:szCs w:val="24"/>
        </w:rPr>
        <w:t xml:space="preserve">An entity asserting </w:t>
      </w:r>
      <w:r w:rsidRPr="00D364E4">
        <w:rPr>
          <w:rFonts w:ascii="Times New Roman" w:hAnsi="Times New Roman" w:cs="Times New Roman"/>
          <w:b/>
          <w:sz w:val="24"/>
          <w:szCs w:val="24"/>
        </w:rPr>
        <w:t>the defense of immunity under the worker</w:t>
      </w:r>
      <w:r>
        <w:rPr>
          <w:rFonts w:ascii="Times New Roman" w:hAnsi="Times New Roman" w:cs="Times New Roman"/>
          <w:b/>
          <w:sz w:val="24"/>
          <w:szCs w:val="24"/>
        </w:rPr>
        <w:t>’</w:t>
      </w:r>
      <w:r w:rsidRPr="00D364E4">
        <w:rPr>
          <w:rFonts w:ascii="Times New Roman" w:hAnsi="Times New Roman" w:cs="Times New Roman"/>
          <w:b/>
          <w:sz w:val="24"/>
          <w:szCs w:val="24"/>
        </w:rPr>
        <w:t>s compensation statute</w:t>
      </w:r>
      <w:r>
        <w:rPr>
          <w:rFonts w:ascii="Times New Roman" w:hAnsi="Times New Roman" w:cs="Times New Roman"/>
          <w:b/>
          <w:sz w:val="24"/>
          <w:szCs w:val="24"/>
        </w:rPr>
        <w:t xml:space="preserve"> (Wyoming courts consistent with the Wyoming statute frequently speak of “exclusive remedy” in terms of “</w:t>
      </w:r>
      <w:r w:rsidRPr="007E6860">
        <w:rPr>
          <w:rFonts w:ascii="Times New Roman" w:hAnsi="Times New Roman" w:cs="Times New Roman"/>
          <w:b/>
          <w:sz w:val="24"/>
          <w:szCs w:val="24"/>
          <w:u w:val="single"/>
        </w:rPr>
        <w:t>immunity</w:t>
      </w:r>
      <w:r>
        <w:rPr>
          <w:rFonts w:ascii="Times New Roman" w:hAnsi="Times New Roman" w:cs="Times New Roman"/>
          <w:b/>
          <w:sz w:val="24"/>
          <w:szCs w:val="24"/>
        </w:rPr>
        <w:t>”)</w:t>
      </w:r>
      <w:r w:rsidRPr="00D364E4">
        <w:rPr>
          <w:rFonts w:ascii="Times New Roman" w:hAnsi="Times New Roman" w:cs="Times New Roman"/>
          <w:b/>
          <w:sz w:val="24"/>
          <w:szCs w:val="24"/>
        </w:rPr>
        <w:t xml:space="preserve"> must establish that it is (1) an employer, (2) who pays into the worker</w:t>
      </w:r>
      <w:r>
        <w:rPr>
          <w:rFonts w:ascii="Times New Roman" w:hAnsi="Times New Roman" w:cs="Times New Roman"/>
          <w:b/>
          <w:sz w:val="24"/>
          <w:szCs w:val="24"/>
        </w:rPr>
        <w:t>’</w:t>
      </w:r>
      <w:r w:rsidRPr="00D364E4">
        <w:rPr>
          <w:rFonts w:ascii="Times New Roman" w:hAnsi="Times New Roman" w:cs="Times New Roman"/>
          <w:b/>
          <w:sz w:val="24"/>
          <w:szCs w:val="24"/>
        </w:rPr>
        <w:t>s compensation fund, (3) as required by law</w:t>
      </w:r>
      <w:r w:rsidRPr="00DA62A3">
        <w:rPr>
          <w:rFonts w:ascii="Times New Roman" w:hAnsi="Times New Roman" w:cs="Times New Roman"/>
          <w:sz w:val="24"/>
          <w:szCs w:val="24"/>
        </w:rPr>
        <w:t>.</w:t>
      </w:r>
    </w:p>
    <w:p w14:paraId="29C05939" w14:textId="77777777" w:rsidR="00951829" w:rsidRDefault="00951829" w:rsidP="00951829">
      <w:pPr>
        <w:spacing w:after="0"/>
        <w:jc w:val="both"/>
        <w:rPr>
          <w:rFonts w:ascii="Times New Roman" w:hAnsi="Times New Roman" w:cs="Times New Roman"/>
          <w:sz w:val="24"/>
          <w:szCs w:val="24"/>
        </w:rPr>
      </w:pPr>
    </w:p>
    <w:p w14:paraId="55177CA7" w14:textId="152F9941"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In Wyoming, an important exception to the exclusive remedy rule exists where a type of injury is </w:t>
      </w:r>
      <w:r w:rsidRPr="00222134">
        <w:rPr>
          <w:rFonts w:ascii="Times New Roman" w:hAnsi="Times New Roman" w:cs="Times New Roman"/>
          <w:b/>
          <w:bCs/>
          <w:sz w:val="24"/>
          <w:szCs w:val="24"/>
        </w:rPr>
        <w:t>categorically excluded</w:t>
      </w:r>
      <w:r>
        <w:rPr>
          <w:rFonts w:ascii="Times New Roman" w:hAnsi="Times New Roman" w:cs="Times New Roman"/>
          <w:sz w:val="24"/>
          <w:szCs w:val="24"/>
        </w:rPr>
        <w:t xml:space="preserve"> from coverage. In </w:t>
      </w:r>
      <w:bookmarkStart w:id="54" w:name="_Hlk518320044"/>
      <w:r w:rsidRPr="000173C7">
        <w:rPr>
          <w:rFonts w:ascii="Times New Roman" w:hAnsi="Times New Roman" w:cs="Times New Roman"/>
          <w:i/>
          <w:sz w:val="24"/>
          <w:szCs w:val="24"/>
        </w:rPr>
        <w:t>Cook v. Shoshone First Bank</w:t>
      </w:r>
      <w:bookmarkEnd w:id="54"/>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37"/>
      </w:r>
      <w:r>
        <w:rPr>
          <w:rFonts w:ascii="Times New Roman" w:hAnsi="Times New Roman" w:cs="Times New Roman"/>
          <w:sz w:val="24"/>
          <w:szCs w:val="24"/>
        </w:rPr>
        <w:t xml:space="preserve"> for example, an employee was put on administrative leave after $1200 was discovered missing.</w:t>
      </w:r>
      <w:r w:rsidRPr="00666305">
        <w:rPr>
          <w:rFonts w:ascii="Times New Roman" w:hAnsi="Times New Roman" w:cs="Times New Roman"/>
          <w:sz w:val="24"/>
          <w:szCs w:val="24"/>
          <w:vertAlign w:val="superscript"/>
        </w:rPr>
        <w:footnoteReference w:id="38"/>
      </w:r>
      <w:r>
        <w:rPr>
          <w:rFonts w:ascii="Times New Roman" w:hAnsi="Times New Roman" w:cs="Times New Roman"/>
          <w:sz w:val="24"/>
          <w:szCs w:val="24"/>
        </w:rPr>
        <w:t xml:space="preserve"> The distraught employee committed suicide and the deceased employee’s mother, as estate administrator, brought suit in (essentially) a survivor action under Wyoming law.</w:t>
      </w:r>
      <w:r w:rsidRPr="00666305">
        <w:rPr>
          <w:rFonts w:ascii="Times New Roman" w:hAnsi="Times New Roman" w:cs="Times New Roman"/>
          <w:sz w:val="24"/>
          <w:szCs w:val="24"/>
          <w:vertAlign w:val="superscript"/>
        </w:rPr>
        <w:footnoteReference w:id="39"/>
      </w:r>
      <w:r>
        <w:rPr>
          <w:rFonts w:ascii="Times New Roman" w:hAnsi="Times New Roman" w:cs="Times New Roman"/>
          <w:sz w:val="24"/>
          <w:szCs w:val="24"/>
        </w:rPr>
        <w:t xml:space="preserve"> The district court granted the employer’s motion for summary judgment. The Wyoming Supreme Court affirmed the district court’s ruling </w:t>
      </w:r>
      <w:r w:rsidRPr="00222134">
        <w:rPr>
          <w:rFonts w:ascii="Times New Roman" w:hAnsi="Times New Roman" w:cs="Times New Roman"/>
          <w:b/>
          <w:bCs/>
          <w:sz w:val="24"/>
          <w:szCs w:val="24"/>
        </w:rPr>
        <w:t>except insofar as it was based on the exclusive remedy rule</w:t>
      </w:r>
      <w:r>
        <w:rPr>
          <w:rFonts w:ascii="Times New Roman" w:hAnsi="Times New Roman" w:cs="Times New Roman"/>
          <w:sz w:val="24"/>
          <w:szCs w:val="24"/>
        </w:rPr>
        <w:t>. In Wyoming, a mental injury is covered under the workers’ compensation act only if “</w:t>
      </w:r>
      <w:r w:rsidRPr="000458FD">
        <w:rPr>
          <w:rFonts w:ascii="Times New Roman" w:hAnsi="Times New Roman" w:cs="Times New Roman"/>
          <w:sz w:val="24"/>
          <w:szCs w:val="24"/>
        </w:rPr>
        <w:t>it is caused by a compensable physical injury, it occurs subsequent to or simultaneously with, the physical injury and it is established by clear and convincing evidence</w:t>
      </w:r>
      <w:r>
        <w:rPr>
          <w:rFonts w:ascii="Times New Roman" w:hAnsi="Times New Roman" w:cs="Times New Roman"/>
          <w:sz w:val="24"/>
          <w:szCs w:val="24"/>
        </w:rPr>
        <w:t xml:space="preserve"> . . .”</w:t>
      </w:r>
      <w:r w:rsidRPr="00666305">
        <w:rPr>
          <w:rFonts w:ascii="Times New Roman" w:hAnsi="Times New Roman" w:cs="Times New Roman"/>
          <w:sz w:val="24"/>
          <w:szCs w:val="24"/>
          <w:vertAlign w:val="superscript"/>
        </w:rPr>
        <w:footnoteReference w:id="40"/>
      </w:r>
      <w:r>
        <w:rPr>
          <w:rFonts w:ascii="Times New Roman" w:hAnsi="Times New Roman" w:cs="Times New Roman"/>
          <w:sz w:val="24"/>
          <w:szCs w:val="24"/>
        </w:rPr>
        <w:t xml:space="preserve">  Moreover, “</w:t>
      </w:r>
      <w:r w:rsidRPr="00907AB9">
        <w:rPr>
          <w:rFonts w:ascii="Times New Roman" w:hAnsi="Times New Roman" w:cs="Times New Roman"/>
          <w:sz w:val="24"/>
          <w:szCs w:val="24"/>
        </w:rPr>
        <w:t>claims are not covered where the mental injury and resulting suicide were not caused by a compensable physical injury.</w:t>
      </w:r>
      <w:r>
        <w:rPr>
          <w:rFonts w:ascii="Times New Roman" w:hAnsi="Times New Roman" w:cs="Times New Roman"/>
          <w:sz w:val="24"/>
          <w:szCs w:val="24"/>
        </w:rPr>
        <w:t>”</w:t>
      </w:r>
      <w:r w:rsidRPr="00666305">
        <w:rPr>
          <w:rFonts w:ascii="Times New Roman" w:hAnsi="Times New Roman" w:cs="Times New Roman"/>
          <w:sz w:val="24"/>
          <w:szCs w:val="24"/>
          <w:vertAlign w:val="superscript"/>
        </w:rPr>
        <w:footnoteReference w:id="41"/>
      </w:r>
      <w:r>
        <w:rPr>
          <w:rFonts w:ascii="Times New Roman" w:hAnsi="Times New Roman" w:cs="Times New Roman"/>
          <w:sz w:val="24"/>
          <w:szCs w:val="24"/>
        </w:rPr>
        <w:t xml:space="preserve"> It followed that </w:t>
      </w:r>
      <w:r w:rsidRPr="00222134">
        <w:rPr>
          <w:rFonts w:ascii="Times New Roman" w:hAnsi="Times New Roman" w:cs="Times New Roman"/>
          <w:b/>
          <w:bCs/>
          <w:sz w:val="24"/>
          <w:szCs w:val="24"/>
        </w:rPr>
        <w:t>the employee’s claim was not covered by workers’ compensation and, consequently, could not have acted as a bar to the employee’s death action</w:t>
      </w:r>
      <w:r>
        <w:rPr>
          <w:rFonts w:ascii="Times New Roman" w:hAnsi="Times New Roman" w:cs="Times New Roman"/>
          <w:sz w:val="24"/>
          <w:szCs w:val="24"/>
        </w:rPr>
        <w:t>, which was ultimately found not to be substantively meritorious.</w:t>
      </w:r>
      <w:r w:rsidRPr="00666305">
        <w:rPr>
          <w:rFonts w:ascii="Times New Roman" w:hAnsi="Times New Roman" w:cs="Times New Roman"/>
          <w:sz w:val="24"/>
          <w:szCs w:val="24"/>
          <w:vertAlign w:val="superscript"/>
        </w:rPr>
        <w:footnoteReference w:id="42"/>
      </w:r>
    </w:p>
    <w:p w14:paraId="44C2D7C4" w14:textId="77777777" w:rsidR="00951829" w:rsidRDefault="00951829" w:rsidP="00951829">
      <w:pPr>
        <w:spacing w:after="0"/>
        <w:jc w:val="both"/>
        <w:rPr>
          <w:rFonts w:ascii="Times New Roman" w:hAnsi="Times New Roman" w:cs="Times New Roman"/>
          <w:sz w:val="24"/>
          <w:szCs w:val="24"/>
        </w:rPr>
      </w:pPr>
    </w:p>
    <w:p w14:paraId="0442BB5E" w14:textId="34852FB3"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An even more recent example of the same principle may be found in </w:t>
      </w:r>
      <w:bookmarkStart w:id="62" w:name="_Hlk520704916"/>
      <w:r w:rsidRPr="00961422">
        <w:rPr>
          <w:rFonts w:ascii="Times New Roman" w:hAnsi="Times New Roman" w:cs="Times New Roman"/>
          <w:i/>
          <w:sz w:val="24"/>
          <w:szCs w:val="24"/>
        </w:rPr>
        <w:t>Collins v. COP Wyoming</w:t>
      </w:r>
      <w:r>
        <w:rPr>
          <w:rFonts w:ascii="Times New Roman" w:hAnsi="Times New Roman" w:cs="Times New Roman"/>
          <w:sz w:val="24"/>
          <w:szCs w:val="24"/>
        </w:rPr>
        <w:t>.</w:t>
      </w:r>
      <w:bookmarkEnd w:id="62"/>
      <w:r w:rsidRPr="00666305">
        <w:rPr>
          <w:rFonts w:ascii="Times New Roman" w:hAnsi="Times New Roman" w:cs="Times New Roman"/>
          <w:sz w:val="24"/>
          <w:szCs w:val="24"/>
          <w:vertAlign w:val="superscript"/>
        </w:rPr>
        <w:footnoteReference w:id="43"/>
      </w:r>
      <w:r>
        <w:rPr>
          <w:rFonts w:ascii="Times New Roman" w:hAnsi="Times New Roman" w:cs="Times New Roman"/>
          <w:sz w:val="24"/>
          <w:szCs w:val="24"/>
        </w:rPr>
        <w:t xml:space="preserve"> In that case, the claimant filed a civil suit against the employer and a co-employee for negligent infliction of emotional distress in connection with the workers’ compensation-covered death of his son. Both father and son were employees of the employer, and the father witnessed the death on the job. The trial court dismissed the suit, finding</w:t>
      </w:r>
      <w:r w:rsidRPr="007017FB">
        <w:rPr>
          <w:rFonts w:ascii="Times New Roman" w:hAnsi="Times New Roman" w:cs="Times New Roman"/>
          <w:sz w:val="24"/>
          <w:szCs w:val="24"/>
        </w:rPr>
        <w:t xml:space="preserve"> that </w:t>
      </w:r>
      <w:r>
        <w:rPr>
          <w:rFonts w:ascii="Times New Roman" w:hAnsi="Times New Roman" w:cs="Times New Roman"/>
          <w:sz w:val="24"/>
          <w:szCs w:val="24"/>
        </w:rPr>
        <w:t>“</w:t>
      </w:r>
      <w:r w:rsidRPr="007017FB">
        <w:rPr>
          <w:rFonts w:ascii="Times New Roman" w:hAnsi="Times New Roman" w:cs="Times New Roman"/>
          <w:sz w:val="24"/>
          <w:szCs w:val="24"/>
        </w:rPr>
        <w:t xml:space="preserve">the claims of the father were derivative of the covered death of the son and were therefore </w:t>
      </w:r>
      <w:r w:rsidRPr="00222134">
        <w:rPr>
          <w:rFonts w:ascii="Times New Roman" w:hAnsi="Times New Roman" w:cs="Times New Roman"/>
          <w:b/>
          <w:bCs/>
          <w:sz w:val="24"/>
          <w:szCs w:val="24"/>
        </w:rPr>
        <w:t>barred by worker’s compensation immunity</w:t>
      </w:r>
      <w:r w:rsidRPr="007017FB">
        <w:rPr>
          <w:rFonts w:ascii="Times New Roman" w:hAnsi="Times New Roman" w:cs="Times New Roman"/>
          <w:sz w:val="24"/>
          <w:szCs w:val="24"/>
        </w:rPr>
        <w:t>.</w:t>
      </w:r>
      <w:r>
        <w:rPr>
          <w:rFonts w:ascii="Times New Roman" w:hAnsi="Times New Roman" w:cs="Times New Roman"/>
          <w:sz w:val="24"/>
          <w:szCs w:val="24"/>
        </w:rPr>
        <w:t xml:space="preserve">” The Wyoming Supreme Court </w:t>
      </w:r>
      <w:r w:rsidRPr="00222134">
        <w:rPr>
          <w:rFonts w:ascii="Times New Roman" w:hAnsi="Times New Roman" w:cs="Times New Roman"/>
          <w:b/>
          <w:bCs/>
          <w:sz w:val="24"/>
          <w:szCs w:val="24"/>
        </w:rPr>
        <w:t>reversed</w:t>
      </w:r>
      <w:r>
        <w:rPr>
          <w:rFonts w:ascii="Times New Roman" w:hAnsi="Times New Roman" w:cs="Times New Roman"/>
          <w:sz w:val="24"/>
          <w:szCs w:val="24"/>
        </w:rPr>
        <w:t>:</w:t>
      </w:r>
    </w:p>
    <w:p w14:paraId="7AE78ECE" w14:textId="77777777" w:rsidR="00951829" w:rsidRDefault="00951829" w:rsidP="00951829">
      <w:pPr>
        <w:spacing w:after="0"/>
        <w:jc w:val="both"/>
        <w:rPr>
          <w:rFonts w:ascii="Times New Roman" w:hAnsi="Times New Roman" w:cs="Times New Roman"/>
          <w:sz w:val="24"/>
          <w:szCs w:val="24"/>
        </w:rPr>
      </w:pPr>
    </w:p>
    <w:p w14:paraId="1E62DE48" w14:textId="205E70B2" w:rsidR="00FF7482" w:rsidRDefault="00FF7482" w:rsidP="000E29EB">
      <w:pPr>
        <w:spacing w:after="0"/>
        <w:ind w:left="720" w:righ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father’s] </w:t>
      </w:r>
      <w:r w:rsidRPr="007017FB">
        <w:rPr>
          <w:rFonts w:ascii="Times New Roman" w:hAnsi="Times New Roman" w:cs="Times New Roman"/>
          <w:sz w:val="24"/>
          <w:szCs w:val="24"/>
        </w:rPr>
        <w:t>claim for emotional distress is a claim for a mental injury that is not caused by a compensable physical injury to him; therefore</w:t>
      </w:r>
      <w:r>
        <w:rPr>
          <w:rFonts w:ascii="Times New Roman" w:hAnsi="Times New Roman" w:cs="Times New Roman"/>
          <w:sz w:val="24"/>
          <w:szCs w:val="24"/>
        </w:rPr>
        <w:t>,</w:t>
      </w:r>
      <w:r w:rsidRPr="007017FB">
        <w:rPr>
          <w:rFonts w:ascii="Times New Roman" w:hAnsi="Times New Roman" w:cs="Times New Roman"/>
          <w:sz w:val="24"/>
          <w:szCs w:val="24"/>
        </w:rPr>
        <w:t xml:space="preserve"> </w:t>
      </w:r>
      <w:r w:rsidRPr="007017FB">
        <w:rPr>
          <w:rFonts w:ascii="Times New Roman" w:hAnsi="Times New Roman" w:cs="Times New Roman"/>
          <w:b/>
          <w:sz w:val="24"/>
          <w:szCs w:val="24"/>
        </w:rPr>
        <w:t>it is not compensable under Wyoming worker</w:t>
      </w:r>
      <w:r>
        <w:rPr>
          <w:rFonts w:ascii="Times New Roman" w:hAnsi="Times New Roman" w:cs="Times New Roman"/>
          <w:b/>
          <w:sz w:val="24"/>
          <w:szCs w:val="24"/>
        </w:rPr>
        <w:t>’</w:t>
      </w:r>
      <w:r w:rsidRPr="007017FB">
        <w:rPr>
          <w:rFonts w:ascii="Times New Roman" w:hAnsi="Times New Roman" w:cs="Times New Roman"/>
          <w:b/>
          <w:sz w:val="24"/>
          <w:szCs w:val="24"/>
        </w:rPr>
        <w:t>s compensation, and neither COP Wyoming nor [the co-employee] is entitled to worker</w:t>
      </w:r>
      <w:r>
        <w:rPr>
          <w:rFonts w:ascii="Times New Roman" w:hAnsi="Times New Roman" w:cs="Times New Roman"/>
          <w:b/>
          <w:sz w:val="24"/>
          <w:szCs w:val="24"/>
        </w:rPr>
        <w:t>’</w:t>
      </w:r>
      <w:r w:rsidRPr="007017FB">
        <w:rPr>
          <w:rFonts w:ascii="Times New Roman" w:hAnsi="Times New Roman" w:cs="Times New Roman"/>
          <w:b/>
          <w:sz w:val="24"/>
          <w:szCs w:val="24"/>
        </w:rPr>
        <w:t>s compensation immunity on that basis</w:t>
      </w:r>
      <w:r w:rsidRPr="007017FB">
        <w:rPr>
          <w:rFonts w:ascii="Times New Roman" w:hAnsi="Times New Roman" w:cs="Times New Roman"/>
          <w:sz w:val="24"/>
          <w:szCs w:val="24"/>
        </w:rPr>
        <w:t>.</w:t>
      </w:r>
    </w:p>
    <w:p w14:paraId="621630CF" w14:textId="77777777" w:rsidR="00951829" w:rsidRDefault="00951829" w:rsidP="00951829">
      <w:pPr>
        <w:spacing w:after="0"/>
        <w:ind w:left="720" w:right="720"/>
        <w:jc w:val="both"/>
        <w:rPr>
          <w:rFonts w:ascii="Times New Roman" w:hAnsi="Times New Roman" w:cs="Times New Roman"/>
          <w:sz w:val="24"/>
          <w:szCs w:val="24"/>
        </w:rPr>
      </w:pPr>
    </w:p>
    <w:p w14:paraId="4B968AB3" w14:textId="287C44AA"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Furthermore, though the father’s claimed emotional distress (a workers’ compensation-excluded “mental injury,” </w:t>
      </w:r>
      <w:r w:rsidRPr="002105D8">
        <w:rPr>
          <w:rFonts w:ascii="Times New Roman" w:hAnsi="Times New Roman" w:cs="Times New Roman"/>
          <w:i/>
          <w:sz w:val="24"/>
          <w:szCs w:val="24"/>
        </w:rPr>
        <w:t>see infra</w:t>
      </w:r>
      <w:r>
        <w:rPr>
          <w:rFonts w:ascii="Times New Roman" w:hAnsi="Times New Roman" w:cs="Times New Roman"/>
          <w:sz w:val="24"/>
          <w:szCs w:val="24"/>
        </w:rPr>
        <w:t xml:space="preserve">. Section 3.12) was in a sense “derivative” of a covered workers’ compensation injury, </w:t>
      </w:r>
      <w:r w:rsidRPr="00222134">
        <w:rPr>
          <w:rFonts w:ascii="Times New Roman" w:hAnsi="Times New Roman" w:cs="Times New Roman"/>
          <w:b/>
          <w:bCs/>
          <w:sz w:val="24"/>
          <w:szCs w:val="24"/>
        </w:rPr>
        <w:t>“[i]t is an injury which is outside of the ‘grand bargain’ because workers’ compensation provides no remedy for it, and he should be permitted to go forward to try to establish his [tort] claim . . .</w:t>
      </w:r>
      <w:r w:rsidRPr="0007565C">
        <w:rPr>
          <w:rFonts w:ascii="Times New Roman" w:hAnsi="Times New Roman" w:cs="Times New Roman"/>
          <w:b/>
          <w:bCs/>
          <w:sz w:val="24"/>
          <w:szCs w:val="24"/>
        </w:rPr>
        <w:t>”</w:t>
      </w:r>
    </w:p>
    <w:p w14:paraId="31DA2578" w14:textId="77777777" w:rsidR="00951829" w:rsidRDefault="00951829" w:rsidP="00951829">
      <w:pPr>
        <w:spacing w:after="0"/>
        <w:jc w:val="both"/>
        <w:rPr>
          <w:rFonts w:ascii="Times New Roman" w:hAnsi="Times New Roman" w:cs="Times New Roman"/>
          <w:b/>
          <w:bCs/>
          <w:i/>
          <w:iCs/>
          <w:sz w:val="24"/>
          <w:szCs w:val="24"/>
        </w:rPr>
      </w:pPr>
    </w:p>
    <w:p w14:paraId="4F2E21F4" w14:textId="60EF4BAA" w:rsidR="00FF7482" w:rsidRDefault="00FF7482" w:rsidP="00951829">
      <w:pPr>
        <w:spacing w:after="0"/>
        <w:jc w:val="both"/>
        <w:rPr>
          <w:rFonts w:ascii="Times New Roman" w:hAnsi="Times New Roman" w:cs="Times New Roman"/>
          <w:sz w:val="24"/>
          <w:szCs w:val="24"/>
        </w:rPr>
      </w:pPr>
      <w:r w:rsidRPr="00222134">
        <w:rPr>
          <w:rFonts w:ascii="Times New Roman" w:hAnsi="Times New Roman" w:cs="Times New Roman"/>
          <w:b/>
          <w:bCs/>
          <w:i/>
          <w:iCs/>
          <w:sz w:val="24"/>
          <w:szCs w:val="24"/>
        </w:rPr>
        <w:t>Unlike the situation in a majority of states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4"/>
      </w:r>
      <w:r>
        <w:rPr>
          <w:rFonts w:ascii="Times New Roman" w:hAnsi="Times New Roman" w:cs="Times New Roman"/>
          <w:sz w:val="24"/>
          <w:szCs w:val="24"/>
        </w:rPr>
        <w:t xml:space="preserve"> under the terms of Wyoming workers’ compensation immunity, </w:t>
      </w:r>
      <w:r w:rsidRPr="00222134">
        <w:rPr>
          <w:rFonts w:ascii="Times New Roman" w:hAnsi="Times New Roman" w:cs="Times New Roman"/>
          <w:b/>
          <w:bCs/>
          <w:sz w:val="24"/>
          <w:szCs w:val="24"/>
          <w:u w:val="single"/>
        </w:rPr>
        <w:t>the exclusive remedy rule applies even to an employer’s intentional torts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5"/>
      </w:r>
      <w:r>
        <w:rPr>
          <w:rFonts w:ascii="Times New Roman" w:hAnsi="Times New Roman" w:cs="Times New Roman"/>
          <w:sz w:val="24"/>
          <w:szCs w:val="24"/>
        </w:rPr>
        <w:t xml:space="preserve"> as is implicitly evident from the prior discussion of </w:t>
      </w:r>
      <w:r w:rsidRPr="00961422">
        <w:rPr>
          <w:rFonts w:ascii="Times New Roman" w:hAnsi="Times New Roman" w:cs="Times New Roman"/>
          <w:i/>
          <w:sz w:val="24"/>
          <w:szCs w:val="24"/>
        </w:rPr>
        <w:t>Collins v. COP Wyoming</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6"/>
      </w:r>
      <w:r>
        <w:rPr>
          <w:rFonts w:ascii="Times New Roman" w:hAnsi="Times New Roman" w:cs="Times New Roman"/>
          <w:sz w:val="24"/>
          <w:szCs w:val="24"/>
        </w:rPr>
        <w:t xml:space="preserve"> which revolved around a claim of </w:t>
      </w:r>
      <w:r w:rsidRPr="00222134">
        <w:rPr>
          <w:rFonts w:ascii="Times New Roman" w:hAnsi="Times New Roman" w:cs="Times New Roman"/>
          <w:b/>
          <w:bCs/>
          <w:sz w:val="24"/>
          <w:szCs w:val="24"/>
        </w:rPr>
        <w:t>intentional</w:t>
      </w:r>
      <w:r>
        <w:rPr>
          <w:rFonts w:ascii="Times New Roman" w:hAnsi="Times New Roman" w:cs="Times New Roman"/>
          <w:sz w:val="24"/>
          <w:szCs w:val="24"/>
        </w:rPr>
        <w:t xml:space="preserve"> infliction of emotional distress. Had mental injuries </w:t>
      </w:r>
      <w:r w:rsidRPr="00222134">
        <w:rPr>
          <w:rFonts w:ascii="Times New Roman" w:hAnsi="Times New Roman" w:cs="Times New Roman"/>
          <w:i/>
          <w:iCs/>
          <w:sz w:val="24"/>
          <w:szCs w:val="24"/>
        </w:rPr>
        <w:t xml:space="preserve">not </w:t>
      </w:r>
      <w:r>
        <w:rPr>
          <w:rFonts w:ascii="Times New Roman" w:hAnsi="Times New Roman" w:cs="Times New Roman"/>
          <w:sz w:val="24"/>
          <w:szCs w:val="24"/>
        </w:rPr>
        <w:t xml:space="preserve">been categorically excluded from coverage under the statute, the immunity/exclusive remedy bar to a tort suit </w:t>
      </w:r>
      <w:r w:rsidRPr="009C08AF">
        <w:rPr>
          <w:rFonts w:ascii="Times New Roman" w:hAnsi="Times New Roman" w:cs="Times New Roman"/>
          <w:i/>
          <w:sz w:val="24"/>
          <w:szCs w:val="24"/>
        </w:rPr>
        <w:t>would</w:t>
      </w:r>
      <w:r>
        <w:rPr>
          <w:rFonts w:ascii="Times New Roman" w:hAnsi="Times New Roman" w:cs="Times New Roman"/>
          <w:sz w:val="24"/>
          <w:szCs w:val="24"/>
        </w:rPr>
        <w:t xml:space="preserve"> have applied. There is also no provision under Wyoming law for enhanced benefits if, for example, an employer’s “serious and willful misconduct” causes a work-related injury.</w:t>
      </w:r>
      <w:r w:rsidRPr="00112C9C">
        <w:rPr>
          <w:rFonts w:ascii="Times New Roman" w:hAnsi="Times New Roman" w:cs="Times New Roman"/>
          <w:sz w:val="24"/>
          <w:szCs w:val="24"/>
          <w:vertAlign w:val="superscript"/>
        </w:rPr>
        <w:footnoteReference w:id="47"/>
      </w:r>
      <w:r>
        <w:rPr>
          <w:rFonts w:ascii="Times New Roman" w:hAnsi="Times New Roman" w:cs="Times New Roman"/>
          <w:sz w:val="24"/>
          <w:szCs w:val="24"/>
        </w:rPr>
        <w:t xml:space="preserve"> </w:t>
      </w:r>
    </w:p>
    <w:p w14:paraId="20067541" w14:textId="3BD756EA"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31CD8C2" w14:textId="66EFE33B" w:rsidR="00FF7482" w:rsidRDefault="00FF7482" w:rsidP="00951829">
      <w:pPr>
        <w:spacing w:after="0"/>
        <w:jc w:val="both"/>
        <w:rPr>
          <w:rFonts w:ascii="Times New Roman" w:hAnsi="Times New Roman" w:cs="Times New Roman"/>
          <w:sz w:val="24"/>
          <w:szCs w:val="24"/>
        </w:rPr>
      </w:pPr>
      <w:r w:rsidRPr="00222134">
        <w:rPr>
          <w:rFonts w:ascii="Times New Roman" w:hAnsi="Times New Roman" w:cs="Times New Roman"/>
          <w:b/>
          <w:bCs/>
          <w:i/>
          <w:iCs/>
          <w:sz w:val="24"/>
          <w:szCs w:val="24"/>
        </w:rPr>
        <w:t xml:space="preserve">One may argue about whether this model of </w:t>
      </w:r>
      <w:r w:rsidRPr="00222134">
        <w:rPr>
          <w:rFonts w:ascii="Times New Roman" w:hAnsi="Times New Roman" w:cs="Times New Roman"/>
          <w:b/>
          <w:bCs/>
          <w:i/>
          <w:iCs/>
          <w:sz w:val="24"/>
          <w:szCs w:val="24"/>
          <w:u w:val="single"/>
        </w:rPr>
        <w:t>absolute</w:t>
      </w:r>
      <w:r w:rsidRPr="00222134">
        <w:rPr>
          <w:rFonts w:ascii="Times New Roman" w:hAnsi="Times New Roman" w:cs="Times New Roman"/>
          <w:b/>
          <w:bCs/>
          <w:i/>
          <w:iCs/>
          <w:sz w:val="24"/>
          <w:szCs w:val="24"/>
        </w:rPr>
        <w:t xml:space="preserve"> immunity provides adequate deterrence to encourage employer investment in employee safety</w:t>
      </w:r>
      <w:r>
        <w:rPr>
          <w:rFonts w:ascii="Times New Roman" w:hAnsi="Times New Roman" w:cs="Times New Roman"/>
          <w:sz w:val="24"/>
          <w:szCs w:val="24"/>
        </w:rPr>
        <w:t>. But it is at any rate not inconsistent with the statute’s definition of “injury,” which is broader than “injury by accident.” It is always difficult to argue that a statute defining injury in terms of “accident” encompasses intentional conduct within its exclusivity provisions.</w:t>
      </w:r>
      <w:r w:rsidRPr="00112C9C">
        <w:rPr>
          <w:rFonts w:ascii="Times New Roman" w:hAnsi="Times New Roman" w:cs="Times New Roman"/>
          <w:sz w:val="24"/>
          <w:szCs w:val="24"/>
          <w:vertAlign w:val="superscript"/>
        </w:rPr>
        <w:footnoteReference w:id="48"/>
      </w:r>
    </w:p>
    <w:p w14:paraId="2AC00C6C" w14:textId="77777777" w:rsidR="00FF7482" w:rsidRDefault="00FF7482" w:rsidP="004E763C">
      <w:pPr>
        <w:spacing w:after="0"/>
        <w:jc w:val="both"/>
        <w:rPr>
          <w:rFonts w:ascii="Times New Roman" w:hAnsi="Times New Roman" w:cs="Times New Roman"/>
          <w:sz w:val="24"/>
          <w:szCs w:val="24"/>
        </w:rPr>
      </w:pPr>
    </w:p>
    <w:p w14:paraId="1455D308" w14:textId="486E6C3D" w:rsidR="00FF7482" w:rsidRDefault="00FF7482" w:rsidP="004E763C">
      <w:pPr>
        <w:spacing w:after="0"/>
        <w:jc w:val="both"/>
        <w:rPr>
          <w:rFonts w:ascii="Times New Roman" w:hAnsi="Times New Roman" w:cs="Times New Roman"/>
          <w:sz w:val="24"/>
          <w:szCs w:val="24"/>
        </w:rPr>
      </w:pPr>
      <w:r>
        <w:rPr>
          <w:rFonts w:ascii="Times New Roman" w:hAnsi="Times New Roman" w:cs="Times New Roman"/>
          <w:sz w:val="24"/>
          <w:szCs w:val="24"/>
        </w:rPr>
        <w:t xml:space="preserve">Lastly, it is sometimes not clear if an entity is in fact an “employer” eligible for workers’ compensation tort immunity. The problem emerges periodically in the context of joint employment, where an employee attempts to sue in tort a joint employer whom the employee contends is not </w:t>
      </w:r>
      <w:r w:rsidRPr="001A4D31">
        <w:rPr>
          <w:rFonts w:ascii="Times New Roman" w:hAnsi="Times New Roman" w:cs="Times New Roman"/>
          <w:b/>
          <w:bCs/>
          <w:sz w:val="24"/>
          <w:szCs w:val="24"/>
          <w:u w:val="single"/>
        </w:rPr>
        <w:t>the</w:t>
      </w:r>
      <w:r>
        <w:rPr>
          <w:rFonts w:ascii="Times New Roman" w:hAnsi="Times New Roman" w:cs="Times New Roman"/>
          <w:sz w:val="24"/>
          <w:szCs w:val="24"/>
        </w:rPr>
        <w:t xml:space="preserve"> employer. The Wyoming courts </w:t>
      </w:r>
      <w:r>
        <w:rPr>
          <w:rFonts w:ascii="Times New Roman" w:hAnsi="Times New Roman" w:cs="Times New Roman"/>
          <w:sz w:val="24"/>
          <w:szCs w:val="24"/>
        </w:rPr>
        <w:lastRenderedPageBreak/>
        <w:t xml:space="preserve">have held </w:t>
      </w:r>
      <w:r w:rsidRPr="00735B67">
        <w:rPr>
          <w:rFonts w:ascii="Times New Roman" w:hAnsi="Times New Roman" w:cs="Times New Roman"/>
          <w:sz w:val="24"/>
          <w:szCs w:val="24"/>
        </w:rPr>
        <w:t xml:space="preserve">that </w:t>
      </w:r>
      <w:r>
        <w:rPr>
          <w:rFonts w:ascii="Times New Roman" w:hAnsi="Times New Roman" w:cs="Times New Roman"/>
          <w:sz w:val="24"/>
          <w:szCs w:val="24"/>
        </w:rPr>
        <w:t>“</w:t>
      </w:r>
      <w:r w:rsidRPr="00735B67">
        <w:rPr>
          <w:rFonts w:ascii="Times New Roman" w:hAnsi="Times New Roman" w:cs="Times New Roman"/>
          <w:sz w:val="24"/>
          <w:szCs w:val="24"/>
        </w:rPr>
        <w:t>immunity provisions in the Wyoming Worker's Compensation Act should be narrowly construed.</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9"/>
      </w:r>
      <w:r>
        <w:rPr>
          <w:rFonts w:ascii="Times New Roman" w:hAnsi="Times New Roman" w:cs="Times New Roman"/>
          <w:sz w:val="24"/>
          <w:szCs w:val="24"/>
        </w:rPr>
        <w:t xml:space="preserve"> As the Wyoming Supreme Court has explained, “[b]</w:t>
      </w:r>
      <w:r w:rsidRPr="000E66C0">
        <w:rPr>
          <w:rFonts w:ascii="Times New Roman" w:hAnsi="Times New Roman" w:cs="Times New Roman"/>
          <w:sz w:val="24"/>
          <w:szCs w:val="24"/>
        </w:rPr>
        <w:t>ecause the Act was not intended to abrogate common-law remedies, this court has held that amending legislation must contain clear and precise language before common-law rights can be taken away</w:t>
      </w:r>
      <w:r w:rsidRPr="001A4D31">
        <w:rPr>
          <w:rFonts w:ascii="Times New Roman" w:hAnsi="Times New Roman" w:cs="Times New Roman"/>
          <w:bCs/>
          <w:sz w:val="24"/>
          <w:szCs w:val="24"/>
        </w:rPr>
        <w:t>.”</w:t>
      </w:r>
      <w:r w:rsidRPr="00112C9C">
        <w:rPr>
          <w:rFonts w:ascii="Times New Roman" w:hAnsi="Times New Roman" w:cs="Times New Roman"/>
          <w:sz w:val="24"/>
          <w:szCs w:val="24"/>
          <w:vertAlign w:val="superscript"/>
        </w:rPr>
        <w:footnoteReference w:id="50"/>
      </w:r>
      <w:r w:rsidRPr="00A022B7">
        <w:rPr>
          <w:rFonts w:ascii="Times New Roman" w:hAnsi="Times New Roman" w:cs="Times New Roman"/>
          <w:b/>
          <w:sz w:val="24"/>
          <w:szCs w:val="24"/>
        </w:rPr>
        <w:t xml:space="preserve"> “An entity asserting the defense of immunity under the worker's compensation statute must establish that it is (1) an employer, (2) who pays into the worker's compensation fund, (3) as required by law.”</w:t>
      </w:r>
      <w:r w:rsidRPr="00112C9C">
        <w:rPr>
          <w:rFonts w:ascii="Times New Roman" w:hAnsi="Times New Roman" w:cs="Times New Roman"/>
          <w:sz w:val="24"/>
          <w:szCs w:val="24"/>
          <w:vertAlign w:val="superscript"/>
        </w:rPr>
        <w:footnoteReference w:id="51"/>
      </w:r>
      <w:r>
        <w:rPr>
          <w:rFonts w:ascii="Times New Roman" w:hAnsi="Times New Roman" w:cs="Times New Roman"/>
          <w:sz w:val="24"/>
          <w:szCs w:val="24"/>
        </w:rPr>
        <w:t xml:space="preserve"> Thus, the burden is on the putative joint employer to establish its immunity. </w:t>
      </w:r>
      <w:bookmarkStart w:id="75" w:name="_Hlk24352112"/>
      <w:r>
        <w:rPr>
          <w:rFonts w:ascii="Times New Roman" w:hAnsi="Times New Roman" w:cs="Times New Roman"/>
          <w:sz w:val="24"/>
          <w:szCs w:val="24"/>
        </w:rPr>
        <w:t>(</w:t>
      </w:r>
      <w:r w:rsidRPr="00EF5C68">
        <w:rPr>
          <w:rFonts w:ascii="Times New Roman" w:hAnsi="Times New Roman" w:cs="Times New Roman"/>
          <w:i/>
          <w:iCs/>
          <w:sz w:val="24"/>
          <w:szCs w:val="24"/>
        </w:rPr>
        <w:t>See</w:t>
      </w:r>
      <w:r>
        <w:rPr>
          <w:rFonts w:ascii="Times New Roman" w:hAnsi="Times New Roman" w:cs="Times New Roman"/>
          <w:sz w:val="24"/>
          <w:szCs w:val="24"/>
        </w:rPr>
        <w:t xml:space="preserve"> </w:t>
      </w:r>
      <w:r w:rsidRPr="001A4D31">
        <w:rPr>
          <w:rFonts w:ascii="Times New Roman" w:hAnsi="Times New Roman" w:cs="Times New Roman"/>
          <w:i/>
          <w:iCs/>
          <w:sz w:val="24"/>
          <w:szCs w:val="24"/>
        </w:rPr>
        <w:t>infra</w:t>
      </w:r>
      <w:r>
        <w:rPr>
          <w:rFonts w:ascii="Times New Roman" w:hAnsi="Times New Roman" w:cs="Times New Roman"/>
          <w:sz w:val="24"/>
          <w:szCs w:val="24"/>
        </w:rPr>
        <w:t xml:space="preserve">. this Treatise at Section 2.16) </w:t>
      </w:r>
      <w:bookmarkEnd w:id="75"/>
    </w:p>
    <w:p w14:paraId="4B7CC823" w14:textId="77777777" w:rsidR="00FF7482" w:rsidRDefault="00FF7482" w:rsidP="004E763C">
      <w:pPr>
        <w:spacing w:after="0"/>
        <w:jc w:val="both"/>
        <w:rPr>
          <w:rFonts w:ascii="Times New Roman" w:hAnsi="Times New Roman" w:cs="Times New Roman"/>
          <w:sz w:val="24"/>
          <w:szCs w:val="24"/>
        </w:rPr>
      </w:pPr>
    </w:p>
    <w:p w14:paraId="467289BB" w14:textId="0B4E6CF6" w:rsidR="00FF7482" w:rsidRPr="009426B1" w:rsidRDefault="00FF7482" w:rsidP="00951829">
      <w:pPr>
        <w:pStyle w:val="Heading2"/>
        <w:spacing w:before="0"/>
        <w:rPr>
          <w:rFonts w:ascii="Times New Roman" w:hAnsi="Times New Roman" w:cs="Times New Roman"/>
          <w:b/>
          <w:sz w:val="24"/>
          <w:szCs w:val="24"/>
        </w:rPr>
      </w:pPr>
      <w:bookmarkStart w:id="76" w:name="_Toc75269341"/>
      <w:r w:rsidRPr="009426B1">
        <w:rPr>
          <w:rFonts w:ascii="Times New Roman" w:hAnsi="Times New Roman" w:cs="Times New Roman"/>
          <w:b/>
          <w:color w:val="auto"/>
        </w:rPr>
        <w:t>Co-Employee Immunit</w:t>
      </w:r>
      <w:r>
        <w:rPr>
          <w:rFonts w:ascii="Times New Roman" w:hAnsi="Times New Roman" w:cs="Times New Roman"/>
          <w:b/>
          <w:color w:val="auto"/>
        </w:rPr>
        <w:t>y Generally</w:t>
      </w:r>
      <w:bookmarkEnd w:id="76"/>
    </w:p>
    <w:p w14:paraId="4542EF3C" w14:textId="77777777" w:rsidR="00951829" w:rsidRDefault="00951829" w:rsidP="00951829">
      <w:pPr>
        <w:spacing w:after="0"/>
        <w:jc w:val="both"/>
        <w:rPr>
          <w:rFonts w:ascii="Times New Roman" w:hAnsi="Times New Roman" w:cs="Times New Roman"/>
          <w:sz w:val="24"/>
          <w:szCs w:val="24"/>
        </w:rPr>
      </w:pPr>
    </w:p>
    <w:p w14:paraId="7926E575" w14:textId="3D056C40" w:rsidR="00FF7482" w:rsidRDefault="00FF7482" w:rsidP="00951829">
      <w:pPr>
        <w:spacing w:after="0"/>
        <w:jc w:val="both"/>
        <w:rPr>
          <w:rFonts w:ascii="Times New Roman" w:hAnsi="Times New Roman" w:cs="Times New Roman"/>
          <w:sz w:val="24"/>
          <w:szCs w:val="24"/>
        </w:rPr>
      </w:pPr>
      <w:r w:rsidRPr="009426B1">
        <w:rPr>
          <w:rFonts w:ascii="Times New Roman" w:hAnsi="Times New Roman" w:cs="Times New Roman"/>
          <w:sz w:val="24"/>
          <w:szCs w:val="24"/>
        </w:rPr>
        <w:t xml:space="preserve">States sometimes extend the immunity from tort liability provided to employers by operation of the exclusive remedy rule to </w:t>
      </w:r>
      <w:r w:rsidRPr="001A4D31">
        <w:rPr>
          <w:rFonts w:ascii="Times New Roman" w:hAnsi="Times New Roman" w:cs="Times New Roman"/>
          <w:i/>
          <w:iCs/>
          <w:sz w:val="24"/>
          <w:szCs w:val="24"/>
        </w:rPr>
        <w:t>co-employees</w:t>
      </w:r>
      <w:r>
        <w:rPr>
          <w:rFonts w:ascii="Times New Roman" w:hAnsi="Times New Roman" w:cs="Times New Roman"/>
          <w:sz w:val="24"/>
          <w:szCs w:val="24"/>
        </w:rPr>
        <w:t xml:space="preserve"> of an injured employee</w:t>
      </w:r>
      <w:r w:rsidRPr="009426B1">
        <w:rPr>
          <w:rFonts w:ascii="Times New Roman" w:hAnsi="Times New Roman" w:cs="Times New Roman"/>
          <w:sz w:val="24"/>
          <w:szCs w:val="24"/>
        </w:rPr>
        <w:t xml:space="preserve">. </w:t>
      </w:r>
      <w:r>
        <w:rPr>
          <w:rFonts w:ascii="Times New Roman" w:hAnsi="Times New Roman" w:cs="Times New Roman"/>
          <w:sz w:val="24"/>
          <w:szCs w:val="24"/>
        </w:rPr>
        <w:t xml:space="preserve">The highly respected </w:t>
      </w:r>
      <w:r w:rsidRPr="00C92284">
        <w:rPr>
          <w:rFonts w:ascii="Times New Roman" w:hAnsi="Times New Roman" w:cs="Times New Roman"/>
          <w:i/>
          <w:sz w:val="24"/>
          <w:szCs w:val="24"/>
        </w:rPr>
        <w:t>Larson</w:t>
      </w:r>
      <w:r>
        <w:rPr>
          <w:rFonts w:ascii="Times New Roman" w:hAnsi="Times New Roman" w:cs="Times New Roman"/>
          <w:sz w:val="24"/>
          <w:szCs w:val="24"/>
        </w:rPr>
        <w:t>’s multistate</w:t>
      </w:r>
      <w:r w:rsidR="00227C21">
        <w:rPr>
          <w:rFonts w:ascii="Times New Roman" w:hAnsi="Times New Roman" w:cs="Times New Roman"/>
          <w:sz w:val="24"/>
          <w:szCs w:val="24"/>
        </w:rPr>
        <w:t xml:space="preserve"> workers’ compensation</w:t>
      </w:r>
      <w:r>
        <w:rPr>
          <w:rFonts w:ascii="Times New Roman" w:hAnsi="Times New Roman" w:cs="Times New Roman"/>
          <w:sz w:val="24"/>
          <w:szCs w:val="24"/>
        </w:rPr>
        <w:t xml:space="preserve"> treatise (which will be referred to frequently in this Treatise) states that </w:t>
      </w:r>
      <w:r w:rsidRPr="009B65EC">
        <w:rPr>
          <w:rFonts w:ascii="Times New Roman" w:hAnsi="Times New Roman" w:cs="Times New Roman"/>
          <w:sz w:val="24"/>
          <w:szCs w:val="24"/>
        </w:rPr>
        <w:t>six jurisdictions</w:t>
      </w:r>
      <w:r>
        <w:rPr>
          <w:rFonts w:ascii="Times New Roman" w:hAnsi="Times New Roman" w:cs="Times New Roman"/>
          <w:sz w:val="24"/>
          <w:szCs w:val="24"/>
        </w:rPr>
        <w:t xml:space="preserve"> extend tort immunity </w:t>
      </w:r>
      <w:r w:rsidRPr="001A4D31">
        <w:rPr>
          <w:rFonts w:ascii="Times New Roman" w:hAnsi="Times New Roman" w:cs="Times New Roman"/>
          <w:i/>
          <w:iCs/>
          <w:sz w:val="24"/>
          <w:szCs w:val="24"/>
        </w:rPr>
        <w:t xml:space="preserve">only </w:t>
      </w:r>
      <w:r w:rsidRPr="009B65EC">
        <w:rPr>
          <w:rFonts w:ascii="Times New Roman" w:hAnsi="Times New Roman" w:cs="Times New Roman"/>
          <w:sz w:val="24"/>
          <w:szCs w:val="24"/>
        </w:rPr>
        <w:t>to the employer</w:t>
      </w:r>
      <w:r>
        <w:rPr>
          <w:rFonts w:ascii="Times New Roman" w:hAnsi="Times New Roman" w:cs="Times New Roman"/>
          <w:sz w:val="24"/>
          <w:szCs w:val="24"/>
        </w:rPr>
        <w:t>; while in</w:t>
      </w:r>
      <w:r w:rsidRPr="009B65EC">
        <w:rPr>
          <w:rFonts w:ascii="Times New Roman" w:hAnsi="Times New Roman" w:cs="Times New Roman"/>
          <w:sz w:val="24"/>
          <w:szCs w:val="24"/>
        </w:rPr>
        <w:t xml:space="preserve"> thirty-four additional states, although co</w:t>
      </w:r>
      <w:r>
        <w:rPr>
          <w:rFonts w:ascii="Times New Roman" w:hAnsi="Times New Roman" w:cs="Times New Roman"/>
          <w:sz w:val="24"/>
          <w:szCs w:val="24"/>
        </w:rPr>
        <w:t>-</w:t>
      </w:r>
      <w:r w:rsidRPr="009B65EC">
        <w:rPr>
          <w:rFonts w:ascii="Times New Roman" w:hAnsi="Times New Roman" w:cs="Times New Roman"/>
          <w:sz w:val="24"/>
          <w:szCs w:val="24"/>
        </w:rPr>
        <w:t xml:space="preserve">employee liability for negligence has been abolished by statute, it has been retained, either by statute or by judicial decision, for </w:t>
      </w:r>
      <w:r w:rsidRPr="001A4D31">
        <w:rPr>
          <w:rFonts w:ascii="Times New Roman" w:hAnsi="Times New Roman" w:cs="Times New Roman"/>
          <w:i/>
          <w:iCs/>
          <w:sz w:val="24"/>
          <w:szCs w:val="24"/>
        </w:rPr>
        <w:t>intentional</w:t>
      </w:r>
      <w:r w:rsidRPr="009B65EC">
        <w:rPr>
          <w:rFonts w:ascii="Times New Roman" w:hAnsi="Times New Roman" w:cs="Times New Roman"/>
          <w:sz w:val="24"/>
          <w:szCs w:val="24"/>
        </w:rPr>
        <w:t xml:space="preserve"> wrongs.</w:t>
      </w:r>
      <w:r w:rsidRPr="00112C9C">
        <w:rPr>
          <w:rFonts w:ascii="Times New Roman" w:hAnsi="Times New Roman" w:cs="Times New Roman"/>
          <w:sz w:val="24"/>
          <w:szCs w:val="24"/>
          <w:vertAlign w:val="superscript"/>
        </w:rPr>
        <w:footnoteReference w:id="52"/>
      </w:r>
      <w:r w:rsidRPr="009B65EC">
        <w:rPr>
          <w:rFonts w:ascii="Times New Roman" w:hAnsi="Times New Roman" w:cs="Times New Roman"/>
          <w:sz w:val="24"/>
          <w:szCs w:val="24"/>
        </w:rPr>
        <w:t xml:space="preserve"> </w:t>
      </w:r>
      <w:r>
        <w:rPr>
          <w:rFonts w:ascii="Times New Roman" w:hAnsi="Times New Roman" w:cs="Times New Roman"/>
          <w:sz w:val="24"/>
          <w:szCs w:val="24"/>
        </w:rPr>
        <w:t xml:space="preserve">In essence, these states hold either that co-employees are not “third parties,” which are almost universally </w:t>
      </w:r>
      <w:r w:rsidRPr="001A4D31">
        <w:rPr>
          <w:rFonts w:ascii="Times New Roman" w:hAnsi="Times New Roman" w:cs="Times New Roman"/>
          <w:i/>
          <w:iCs/>
          <w:sz w:val="24"/>
          <w:szCs w:val="24"/>
        </w:rPr>
        <w:t xml:space="preserve">not </w:t>
      </w:r>
      <w:r>
        <w:rPr>
          <w:rFonts w:ascii="Times New Roman" w:hAnsi="Times New Roman" w:cs="Times New Roman"/>
          <w:sz w:val="24"/>
          <w:szCs w:val="24"/>
        </w:rPr>
        <w:t>immune from tort suits under state workers’ compensation systems, or that co-employees engaging</w:t>
      </w:r>
      <w:r w:rsidR="00D55E22">
        <w:rPr>
          <w:rFonts w:ascii="Times New Roman" w:hAnsi="Times New Roman" w:cs="Times New Roman"/>
          <w:sz w:val="24"/>
          <w:szCs w:val="24"/>
        </w:rPr>
        <w:t xml:space="preserve"> in</w:t>
      </w:r>
      <w:r>
        <w:rPr>
          <w:rFonts w:ascii="Times New Roman" w:hAnsi="Times New Roman" w:cs="Times New Roman"/>
          <w:sz w:val="24"/>
          <w:szCs w:val="24"/>
        </w:rPr>
        <w:t xml:space="preserve"> intentionally tortious conduct are not within the </w:t>
      </w:r>
      <w:r w:rsidRPr="001A4D31">
        <w:rPr>
          <w:rFonts w:ascii="Times New Roman" w:hAnsi="Times New Roman" w:cs="Times New Roman"/>
          <w:i/>
          <w:iCs/>
          <w:sz w:val="24"/>
          <w:szCs w:val="24"/>
        </w:rPr>
        <w:t>quid pro quo</w:t>
      </w:r>
      <w:r>
        <w:rPr>
          <w:rFonts w:ascii="Times New Roman" w:hAnsi="Times New Roman" w:cs="Times New Roman"/>
          <w:sz w:val="24"/>
          <w:szCs w:val="24"/>
        </w:rPr>
        <w:t xml:space="preserve"> scheme.</w:t>
      </w:r>
      <w:r w:rsidRPr="00112C9C">
        <w:rPr>
          <w:rFonts w:ascii="Times New Roman" w:hAnsi="Times New Roman" w:cs="Times New Roman"/>
          <w:sz w:val="24"/>
          <w:szCs w:val="24"/>
          <w:vertAlign w:val="superscript"/>
        </w:rPr>
        <w:footnoteReference w:id="53"/>
      </w:r>
      <w:r>
        <w:rPr>
          <w:rFonts w:ascii="Times New Roman" w:hAnsi="Times New Roman" w:cs="Times New Roman"/>
          <w:sz w:val="24"/>
          <w:szCs w:val="24"/>
        </w:rPr>
        <w:t xml:space="preserve">  </w:t>
      </w:r>
    </w:p>
    <w:p w14:paraId="1F5B15E8" w14:textId="77777777" w:rsidR="00A1543A" w:rsidRDefault="00A1543A" w:rsidP="00951829">
      <w:pPr>
        <w:spacing w:after="0"/>
        <w:jc w:val="both"/>
        <w:rPr>
          <w:rFonts w:ascii="Times New Roman" w:hAnsi="Times New Roman" w:cs="Times New Roman"/>
          <w:sz w:val="24"/>
          <w:szCs w:val="24"/>
        </w:rPr>
      </w:pPr>
    </w:p>
    <w:p w14:paraId="28D7C36A" w14:textId="09AFB22B"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The strongest argument </w:t>
      </w:r>
      <w:r w:rsidRPr="001A4D31">
        <w:rPr>
          <w:rFonts w:ascii="Times New Roman" w:hAnsi="Times New Roman" w:cs="Times New Roman"/>
          <w:i/>
          <w:iCs/>
          <w:sz w:val="24"/>
          <w:szCs w:val="24"/>
        </w:rPr>
        <w:t>supporting</w:t>
      </w:r>
      <w:r>
        <w:rPr>
          <w:rFonts w:ascii="Times New Roman" w:hAnsi="Times New Roman" w:cs="Times New Roman"/>
          <w:sz w:val="24"/>
          <w:szCs w:val="24"/>
        </w:rPr>
        <w:t xml:space="preserve"> co-employee liability is that, if a statute does not explicitly distinguish co-employees from other third parties, courts should not read such a distinction into the structure.</w:t>
      </w:r>
      <w:r w:rsidRPr="00112C9C">
        <w:rPr>
          <w:rFonts w:ascii="Times New Roman" w:hAnsi="Times New Roman" w:cs="Times New Roman"/>
          <w:sz w:val="24"/>
          <w:szCs w:val="24"/>
          <w:vertAlign w:val="superscript"/>
        </w:rPr>
        <w:footnoteReference w:id="54"/>
      </w:r>
      <w:r>
        <w:rPr>
          <w:rFonts w:ascii="Times New Roman" w:hAnsi="Times New Roman" w:cs="Times New Roman"/>
          <w:sz w:val="24"/>
          <w:szCs w:val="24"/>
        </w:rPr>
        <w:t xml:space="preserve"> This argument would seem to have greatest force where damages for personal injuries are protected by a state constitution. The strongest argument </w:t>
      </w:r>
      <w:r w:rsidRPr="001A4D31">
        <w:rPr>
          <w:rFonts w:ascii="Times New Roman" w:hAnsi="Times New Roman" w:cs="Times New Roman"/>
          <w:i/>
          <w:iCs/>
          <w:sz w:val="24"/>
          <w:szCs w:val="24"/>
        </w:rPr>
        <w:t>against</w:t>
      </w:r>
      <w:r>
        <w:rPr>
          <w:rFonts w:ascii="Times New Roman" w:hAnsi="Times New Roman" w:cs="Times New Roman"/>
          <w:sz w:val="24"/>
          <w:szCs w:val="24"/>
        </w:rPr>
        <w:t xml:space="preserve"> co-employee liability is that employees, in giving up common law actions against their employer pursuant to the quid pro quo, might reasonably expect that litigation within the employment relation </w:t>
      </w:r>
      <w:r w:rsidRPr="001468F0">
        <w:rPr>
          <w:rFonts w:ascii="Times New Roman" w:hAnsi="Times New Roman" w:cs="Times New Roman"/>
          <w:i/>
          <w:iCs/>
          <w:sz w:val="24"/>
          <w:szCs w:val="24"/>
        </w:rPr>
        <w:t>generally</w:t>
      </w:r>
      <w:r>
        <w:rPr>
          <w:rFonts w:ascii="Times New Roman" w:hAnsi="Times New Roman" w:cs="Times New Roman"/>
          <w:sz w:val="24"/>
          <w:szCs w:val="24"/>
        </w:rPr>
        <w:t xml:space="preserve"> has been extinguished.</w:t>
      </w:r>
      <w:r w:rsidRPr="00112C9C">
        <w:rPr>
          <w:rFonts w:ascii="Times New Roman" w:hAnsi="Times New Roman" w:cs="Times New Roman"/>
          <w:sz w:val="24"/>
          <w:szCs w:val="24"/>
          <w:vertAlign w:val="superscript"/>
        </w:rPr>
        <w:footnoteReference w:id="55"/>
      </w:r>
      <w:r>
        <w:rPr>
          <w:rFonts w:ascii="Times New Roman" w:hAnsi="Times New Roman" w:cs="Times New Roman"/>
          <w:sz w:val="24"/>
          <w:szCs w:val="24"/>
        </w:rPr>
        <w:t xml:space="preserve"> Some legislatures have concluded that allowing litigation between employees in such circumstances, among other things, </w:t>
      </w:r>
      <w:r>
        <w:rPr>
          <w:rFonts w:ascii="Times New Roman" w:hAnsi="Times New Roman" w:cs="Times New Roman"/>
          <w:sz w:val="24"/>
          <w:szCs w:val="24"/>
        </w:rPr>
        <w:lastRenderedPageBreak/>
        <w:t>“</w:t>
      </w:r>
      <w:r w:rsidRPr="00361ED6">
        <w:rPr>
          <w:rFonts w:ascii="Times New Roman" w:hAnsi="Times New Roman" w:cs="Times New Roman"/>
          <w:sz w:val="24"/>
          <w:szCs w:val="24"/>
        </w:rPr>
        <w:t>has a disruptive effect upon the relationship among employees and supervisory and management personnel.</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56"/>
      </w:r>
    </w:p>
    <w:p w14:paraId="6734C51B" w14:textId="77777777" w:rsidR="00FF7482" w:rsidRDefault="00FF7482" w:rsidP="006A3226">
      <w:pPr>
        <w:spacing w:after="0"/>
        <w:ind w:firstLine="720"/>
        <w:jc w:val="both"/>
        <w:rPr>
          <w:rFonts w:ascii="Times New Roman" w:hAnsi="Times New Roman" w:cs="Times New Roman"/>
          <w:sz w:val="24"/>
          <w:szCs w:val="24"/>
        </w:rPr>
      </w:pPr>
    </w:p>
    <w:p w14:paraId="43C87BFA" w14:textId="28447920" w:rsidR="00FF7482" w:rsidRPr="009103F8" w:rsidRDefault="00FF7482" w:rsidP="00C15726">
      <w:pPr>
        <w:pStyle w:val="Heading2"/>
        <w:rPr>
          <w:rFonts w:ascii="Times New Roman" w:hAnsi="Times New Roman" w:cs="Times New Roman"/>
          <w:b/>
          <w:sz w:val="24"/>
          <w:szCs w:val="24"/>
        </w:rPr>
      </w:pPr>
      <w:bookmarkStart w:id="82" w:name="_Toc75269342"/>
      <w:r w:rsidRPr="009103F8">
        <w:rPr>
          <w:rFonts w:ascii="Times New Roman" w:hAnsi="Times New Roman" w:cs="Times New Roman"/>
          <w:b/>
          <w:color w:val="auto"/>
        </w:rPr>
        <w:t>Co-Employee Liability in Wyoming</w:t>
      </w:r>
      <w:bookmarkEnd w:id="82"/>
    </w:p>
    <w:p w14:paraId="745C89E0" w14:textId="1D224319" w:rsidR="00FF7482" w:rsidRDefault="00FF7482" w:rsidP="009103F8">
      <w:pPr>
        <w:pStyle w:val="Heading2"/>
        <w:numPr>
          <w:ilvl w:val="0"/>
          <w:numId w:val="0"/>
        </w:numPr>
        <w:ind w:left="666"/>
        <w:rPr>
          <w:rFonts w:ascii="Times New Roman" w:hAnsi="Times New Roman" w:cs="Times New Roman"/>
          <w:b/>
          <w:sz w:val="24"/>
          <w:szCs w:val="24"/>
        </w:rPr>
      </w:pPr>
    </w:p>
    <w:p w14:paraId="3B08B3B3" w14:textId="671A315E" w:rsidR="00FF7482" w:rsidRDefault="00FF7482" w:rsidP="00A1543A">
      <w:pPr>
        <w:spacing w:after="0"/>
        <w:jc w:val="both"/>
        <w:rPr>
          <w:rFonts w:ascii="Times New Roman" w:hAnsi="Times New Roman" w:cs="Times New Roman"/>
          <w:sz w:val="24"/>
          <w:szCs w:val="24"/>
        </w:rPr>
      </w:pPr>
      <w:r w:rsidRPr="009103F8">
        <w:rPr>
          <w:rFonts w:ascii="Times New Roman" w:hAnsi="Times New Roman" w:cs="Times New Roman"/>
          <w:sz w:val="24"/>
          <w:szCs w:val="24"/>
        </w:rPr>
        <w:t>W.S</w:t>
      </w:r>
      <w:r>
        <w:rPr>
          <w:rFonts w:ascii="Times New Roman" w:hAnsi="Times New Roman" w:cs="Times New Roman"/>
          <w:sz w:val="24"/>
          <w:szCs w:val="24"/>
        </w:rPr>
        <w:t>.</w:t>
      </w:r>
      <w:r w:rsidRPr="009103F8">
        <w:rPr>
          <w:rFonts w:ascii="Times New Roman" w:hAnsi="Times New Roman" w:cs="Times New Roman"/>
          <w:sz w:val="24"/>
          <w:szCs w:val="24"/>
        </w:rPr>
        <w:t xml:space="preserve"> </w:t>
      </w:r>
      <w:r w:rsidRPr="00A83283">
        <w:rPr>
          <w:rFonts w:ascii="Times New Roman" w:hAnsi="Times New Roman" w:cs="Times New Roman"/>
          <w:sz w:val="24"/>
          <w:szCs w:val="24"/>
        </w:rPr>
        <w:t xml:space="preserve">§ </w:t>
      </w:r>
      <w:hyperlink r:id="rId22" w:history="1">
        <w:r w:rsidRPr="00A83283">
          <w:rPr>
            <w:rStyle w:val="Hyperlink"/>
            <w:rFonts w:ascii="Times New Roman" w:hAnsi="Times New Roman" w:cs="Times New Roman"/>
            <w:sz w:val="24"/>
            <w:szCs w:val="24"/>
          </w:rPr>
          <w:t>27–14–104(a)</w:t>
        </w:r>
      </w:hyperlink>
      <w:r>
        <w:rPr>
          <w:rFonts w:ascii="Times New Roman" w:hAnsi="Times New Roman" w:cs="Times New Roman"/>
          <w:sz w:val="24"/>
          <w:szCs w:val="24"/>
        </w:rPr>
        <w:t xml:space="preserve"> states that,</w:t>
      </w:r>
    </w:p>
    <w:p w14:paraId="72E4CD18" w14:textId="77777777" w:rsidR="00A1543A" w:rsidRDefault="00A1543A" w:rsidP="00A1543A">
      <w:pPr>
        <w:spacing w:after="0"/>
        <w:jc w:val="both"/>
        <w:rPr>
          <w:rFonts w:ascii="Times New Roman" w:hAnsi="Times New Roman" w:cs="Times New Roman"/>
          <w:sz w:val="24"/>
          <w:szCs w:val="24"/>
        </w:rPr>
      </w:pPr>
    </w:p>
    <w:p w14:paraId="4972B209" w14:textId="4E9D173E" w:rsidR="00FF7482" w:rsidRDefault="00FF7482" w:rsidP="000E29EB">
      <w:pPr>
        <w:spacing w:after="0"/>
        <w:ind w:left="720" w:right="720"/>
        <w:jc w:val="both"/>
        <w:rPr>
          <w:rFonts w:ascii="Times New Roman" w:hAnsi="Times New Roman" w:cs="Times New Roman"/>
          <w:sz w:val="24"/>
          <w:szCs w:val="24"/>
        </w:rPr>
      </w:pPr>
      <w:r w:rsidRPr="00912B72">
        <w:rPr>
          <w:rFonts w:ascii="Times New Roman" w:hAnsi="Times New Roman" w:cs="Times New Roman"/>
          <w:sz w:val="24"/>
          <w:szCs w:val="24"/>
        </w:rPr>
        <w:t xml:space="preserve">The rights and remedies provided in this act for an employee including any joint employee, and his dependents for injuries incurred in extrahazardous employments are in lieu of all other rights and remedies against any employer and any joint employer making contributions required by this act, </w:t>
      </w:r>
      <w:r w:rsidRPr="00912B72">
        <w:rPr>
          <w:rFonts w:ascii="Times New Roman" w:hAnsi="Times New Roman" w:cs="Times New Roman"/>
          <w:b/>
          <w:sz w:val="24"/>
          <w:szCs w:val="24"/>
        </w:rPr>
        <w:t>or their employees</w:t>
      </w:r>
      <w:r w:rsidRPr="00912B72">
        <w:rPr>
          <w:rFonts w:ascii="Times New Roman" w:hAnsi="Times New Roman" w:cs="Times New Roman"/>
          <w:sz w:val="24"/>
          <w:szCs w:val="24"/>
        </w:rPr>
        <w:t xml:space="preserve"> acting within the scope of their employment </w:t>
      </w:r>
      <w:r w:rsidRPr="00912B72">
        <w:rPr>
          <w:rFonts w:ascii="Times New Roman" w:hAnsi="Times New Roman" w:cs="Times New Roman"/>
          <w:b/>
          <w:sz w:val="24"/>
          <w:szCs w:val="24"/>
        </w:rPr>
        <w:t>unless the employees intentionally act to cause physical harm or injury to the injured employee</w:t>
      </w:r>
      <w:r w:rsidRPr="00912B72">
        <w:rPr>
          <w:rFonts w:ascii="Times New Roman" w:hAnsi="Times New Roman" w:cs="Times New Roman"/>
          <w:sz w:val="24"/>
          <w:szCs w:val="24"/>
        </w:rPr>
        <w:t>, but do not supersede any rights and remedies available to an employee and his dependents against any other person.</w:t>
      </w:r>
    </w:p>
    <w:p w14:paraId="7B91735F" w14:textId="77777777" w:rsidR="00A1543A" w:rsidRDefault="00A1543A" w:rsidP="00A1543A">
      <w:pPr>
        <w:spacing w:after="0"/>
        <w:ind w:left="720" w:right="720"/>
        <w:jc w:val="both"/>
        <w:rPr>
          <w:rFonts w:ascii="Times New Roman" w:hAnsi="Times New Roman" w:cs="Times New Roman"/>
          <w:sz w:val="24"/>
          <w:szCs w:val="24"/>
        </w:rPr>
      </w:pPr>
    </w:p>
    <w:p w14:paraId="347B07B0" w14:textId="18F989DC" w:rsidR="00FF7482" w:rsidRDefault="00FF7482" w:rsidP="00A1543A">
      <w:pPr>
        <w:spacing w:after="0"/>
        <w:jc w:val="both"/>
        <w:rPr>
          <w:rFonts w:ascii="Times New Roman" w:hAnsi="Times New Roman" w:cs="Times New Roman"/>
          <w:sz w:val="24"/>
          <w:szCs w:val="24"/>
        </w:rPr>
      </w:pPr>
      <w:r>
        <w:rPr>
          <w:rFonts w:ascii="Times New Roman" w:hAnsi="Times New Roman" w:cs="Times New Roman"/>
          <w:b/>
          <w:sz w:val="24"/>
          <w:szCs w:val="24"/>
        </w:rPr>
        <w:t>“</w:t>
      </w:r>
      <w:r w:rsidRPr="00912B72">
        <w:rPr>
          <w:rFonts w:ascii="Times New Roman" w:hAnsi="Times New Roman" w:cs="Times New Roman"/>
          <w:b/>
          <w:sz w:val="24"/>
          <w:szCs w:val="24"/>
        </w:rPr>
        <w:t xml:space="preserve">This definition tells us when a co-employee is not liable—he is </w:t>
      </w:r>
      <w:r w:rsidRPr="00341377">
        <w:rPr>
          <w:rFonts w:ascii="Times New Roman" w:hAnsi="Times New Roman" w:cs="Times New Roman"/>
          <w:b/>
          <w:sz w:val="24"/>
          <w:szCs w:val="24"/>
          <w:u w:val="single"/>
        </w:rPr>
        <w:t>not</w:t>
      </w:r>
      <w:r w:rsidRPr="00912B72">
        <w:rPr>
          <w:rFonts w:ascii="Times New Roman" w:hAnsi="Times New Roman" w:cs="Times New Roman"/>
          <w:b/>
          <w:sz w:val="24"/>
          <w:szCs w:val="24"/>
        </w:rPr>
        <w:t xml:space="preserve"> liable if he is </w:t>
      </w:r>
      <w:r w:rsidRPr="00341377">
        <w:rPr>
          <w:rFonts w:ascii="Times New Roman" w:hAnsi="Times New Roman" w:cs="Times New Roman"/>
          <w:b/>
          <w:sz w:val="24"/>
          <w:szCs w:val="24"/>
          <w:u w:val="single"/>
        </w:rPr>
        <w:t>merely negligent</w:t>
      </w:r>
      <w:r w:rsidRPr="00912B72">
        <w:rPr>
          <w:rFonts w:ascii="Times New Roman" w:hAnsi="Times New Roman" w:cs="Times New Roman"/>
          <w:sz w:val="24"/>
          <w:szCs w:val="24"/>
        </w:rPr>
        <w:t>.</w:t>
      </w:r>
      <w:r>
        <w:rPr>
          <w:rFonts w:ascii="Times New Roman" w:hAnsi="Times New Roman" w:cs="Times New Roman"/>
          <w:sz w:val="24"/>
          <w:szCs w:val="24"/>
        </w:rPr>
        <w:t xml:space="preserve"> </w:t>
      </w:r>
      <w:r w:rsidRPr="00341377">
        <w:rPr>
          <w:rFonts w:ascii="Times New Roman" w:hAnsi="Times New Roman" w:cs="Times New Roman"/>
          <w:b/>
          <w:sz w:val="24"/>
          <w:szCs w:val="24"/>
        </w:rPr>
        <w:t>The trouble this Court has repeatedly faced over the years has been trying to draw the line—somewhere beyond negligence—that results in liability</w:t>
      </w:r>
      <w:r>
        <w:rPr>
          <w:rFonts w:ascii="Times New Roman" w:hAnsi="Times New Roman" w:cs="Times New Roman"/>
          <w:b/>
          <w:sz w:val="24"/>
          <w:szCs w:val="24"/>
        </w:rPr>
        <w:t>.</w:t>
      </w:r>
      <w:r w:rsidRPr="00341377">
        <w:rPr>
          <w:rFonts w:ascii="Times New Roman" w:hAnsi="Times New Roman" w:cs="Times New Roman"/>
          <w:b/>
          <w:sz w:val="24"/>
          <w:szCs w:val="24"/>
        </w:rPr>
        <w:t>”</w:t>
      </w:r>
      <w:r w:rsidRPr="00112C9C">
        <w:rPr>
          <w:rFonts w:ascii="Times New Roman" w:hAnsi="Times New Roman" w:cs="Times New Roman"/>
          <w:sz w:val="24"/>
          <w:szCs w:val="24"/>
          <w:vertAlign w:val="superscript"/>
        </w:rPr>
        <w:footnoteReference w:id="57"/>
      </w:r>
      <w:r>
        <w:rPr>
          <w:rFonts w:ascii="Times New Roman" w:hAnsi="Times New Roman" w:cs="Times New Roman"/>
          <w:b/>
          <w:sz w:val="24"/>
          <w:szCs w:val="24"/>
        </w:rPr>
        <w:t xml:space="preserve"> </w:t>
      </w:r>
      <w:r w:rsidRPr="00006D82">
        <w:rPr>
          <w:rFonts w:ascii="Times New Roman" w:hAnsi="Times New Roman" w:cs="Times New Roman"/>
          <w:iCs/>
          <w:sz w:val="24"/>
          <w:szCs w:val="24"/>
        </w:rPr>
        <w:t>In</w:t>
      </w:r>
      <w:r w:rsidRPr="00BC5B6E">
        <w:rPr>
          <w:rFonts w:ascii="Times New Roman" w:hAnsi="Times New Roman" w:cs="Times New Roman"/>
          <w:i/>
          <w:sz w:val="24"/>
          <w:szCs w:val="24"/>
        </w:rPr>
        <w:t xml:space="preserve"> Formisano v. Gaston</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58"/>
      </w:r>
      <w:r>
        <w:rPr>
          <w:rFonts w:ascii="Times New Roman" w:hAnsi="Times New Roman" w:cs="Times New Roman"/>
          <w:sz w:val="24"/>
          <w:szCs w:val="24"/>
        </w:rPr>
        <w:t xml:space="preserve"> the Wyoming Supreme Court upheld a district court’s granting of summary judgment for the defendant-employee where an employee alleged, in substance, that a co-employee’s failure to get adequate rest led to a truck going off the road, seriously injuring the plaintiff-employee’s back.</w:t>
      </w:r>
      <w:r w:rsidRPr="00112C9C">
        <w:rPr>
          <w:rFonts w:ascii="Times New Roman" w:hAnsi="Times New Roman" w:cs="Times New Roman"/>
          <w:sz w:val="24"/>
          <w:szCs w:val="24"/>
          <w:vertAlign w:val="superscript"/>
        </w:rPr>
        <w:footnoteReference w:id="59"/>
      </w:r>
      <w:r>
        <w:rPr>
          <w:rFonts w:ascii="Times New Roman" w:hAnsi="Times New Roman" w:cs="Times New Roman"/>
          <w:sz w:val="24"/>
          <w:szCs w:val="24"/>
        </w:rPr>
        <w:t xml:space="preserve">  After cataloguing Wyoming co-employee cases,</w:t>
      </w:r>
      <w:r w:rsidRPr="00112C9C">
        <w:rPr>
          <w:rFonts w:ascii="Times New Roman" w:hAnsi="Times New Roman" w:cs="Times New Roman"/>
          <w:sz w:val="24"/>
          <w:szCs w:val="24"/>
          <w:vertAlign w:val="superscript"/>
        </w:rPr>
        <w:footnoteReference w:id="60"/>
      </w:r>
      <w:r>
        <w:rPr>
          <w:rFonts w:ascii="Times New Roman" w:hAnsi="Times New Roman" w:cs="Times New Roman"/>
          <w:sz w:val="24"/>
          <w:szCs w:val="24"/>
        </w:rPr>
        <w:t xml:space="preserve"> the Court synthesized and endorsed the following test for co-employee liability in Wyoming:</w:t>
      </w:r>
    </w:p>
    <w:p w14:paraId="317A078A" w14:textId="77777777" w:rsidR="00A1543A" w:rsidRDefault="00A1543A" w:rsidP="00A1543A">
      <w:pPr>
        <w:spacing w:after="0"/>
        <w:jc w:val="both"/>
        <w:rPr>
          <w:rFonts w:ascii="Times New Roman" w:hAnsi="Times New Roman" w:cs="Times New Roman"/>
          <w:sz w:val="24"/>
          <w:szCs w:val="24"/>
        </w:rPr>
      </w:pPr>
    </w:p>
    <w:p w14:paraId="76706B46" w14:textId="5FC168B4" w:rsidR="00FF7482" w:rsidRDefault="00FF7482" w:rsidP="000E29EB">
      <w:pPr>
        <w:spacing w:after="0"/>
        <w:ind w:left="720" w:right="720"/>
        <w:jc w:val="both"/>
        <w:rPr>
          <w:rFonts w:ascii="Times New Roman" w:hAnsi="Times New Roman" w:cs="Times New Roman"/>
          <w:sz w:val="24"/>
          <w:szCs w:val="24"/>
        </w:rPr>
      </w:pPr>
      <w:r w:rsidRPr="00780F47">
        <w:rPr>
          <w:rFonts w:ascii="Times New Roman" w:hAnsi="Times New Roman" w:cs="Times New Roman"/>
          <w:sz w:val="24"/>
          <w:szCs w:val="24"/>
        </w:rPr>
        <w:t xml:space="preserve">A co-employee is liable to another co-employee if the employee acts intentionally to cause physical harm or injury. </w:t>
      </w:r>
      <w:r w:rsidRPr="00ED46B1">
        <w:rPr>
          <w:rFonts w:ascii="Times New Roman" w:hAnsi="Times New Roman" w:cs="Times New Roman"/>
          <w:b/>
          <w:sz w:val="24"/>
          <w:szCs w:val="24"/>
          <w:u w:val="single"/>
        </w:rPr>
        <w:t>To act intentionally to cause physical injury is to act with willful and wanton misconduct</w:t>
      </w:r>
      <w:r w:rsidRPr="0007565C">
        <w:rPr>
          <w:rFonts w:ascii="Times New Roman" w:hAnsi="Times New Roman" w:cs="Times New Roman"/>
          <w:bCs/>
          <w:sz w:val="24"/>
          <w:szCs w:val="24"/>
        </w:rPr>
        <w:t xml:space="preserve">. </w:t>
      </w:r>
      <w:r w:rsidRPr="00780F47">
        <w:rPr>
          <w:rFonts w:ascii="Times New Roman" w:hAnsi="Times New Roman" w:cs="Times New Roman"/>
          <w:b/>
          <w:sz w:val="24"/>
          <w:szCs w:val="24"/>
        </w:rPr>
        <w:t>Willful and wanton misconduct is the intentional doing of an act, or an intentional failure to do an act, in reckless disregard of the consequences and under circumstances and conditions that a reasonable person would know, or have reason to know, that such conduct would, in a high degree of probability, result in harm to another</w:t>
      </w:r>
      <w:r w:rsidRPr="0007565C">
        <w:rPr>
          <w:rFonts w:ascii="Times New Roman" w:hAnsi="Times New Roman" w:cs="Times New Roman"/>
          <w:bCs/>
          <w:sz w:val="24"/>
          <w:szCs w:val="24"/>
        </w:rPr>
        <w:t>.</w:t>
      </w:r>
      <w:r w:rsidRPr="00780F47">
        <w:rPr>
          <w:rFonts w:ascii="Times New Roman" w:hAnsi="Times New Roman" w:cs="Times New Roman"/>
          <w:sz w:val="24"/>
          <w:szCs w:val="24"/>
        </w:rPr>
        <w:t xml:space="preserve"> In the context of co-</w:t>
      </w:r>
      <w:r w:rsidRPr="00780F47">
        <w:rPr>
          <w:rFonts w:ascii="Times New Roman" w:hAnsi="Times New Roman" w:cs="Times New Roman"/>
          <w:sz w:val="24"/>
          <w:szCs w:val="24"/>
        </w:rPr>
        <w:lastRenderedPageBreak/>
        <w:t xml:space="preserve">employee liability, willful and wanton misconduct requires the co-employee to have 1) </w:t>
      </w:r>
      <w:r w:rsidRPr="00780F47">
        <w:rPr>
          <w:rFonts w:ascii="Times New Roman" w:hAnsi="Times New Roman" w:cs="Times New Roman"/>
          <w:b/>
          <w:sz w:val="24"/>
          <w:szCs w:val="24"/>
        </w:rPr>
        <w:t>actual knowledge</w:t>
      </w:r>
      <w:r w:rsidRPr="00780F47">
        <w:rPr>
          <w:rFonts w:ascii="Times New Roman" w:hAnsi="Times New Roman" w:cs="Times New Roman"/>
          <w:sz w:val="24"/>
          <w:szCs w:val="24"/>
        </w:rPr>
        <w:t xml:space="preserve"> of the hazard or serious nature of the risk involved; 2) </w:t>
      </w:r>
      <w:r w:rsidRPr="00780F47">
        <w:rPr>
          <w:rFonts w:ascii="Times New Roman" w:hAnsi="Times New Roman" w:cs="Times New Roman"/>
          <w:b/>
          <w:sz w:val="24"/>
          <w:szCs w:val="24"/>
        </w:rPr>
        <w:t>direct responsibility for the injured employee's safety and work conditions</w:t>
      </w:r>
      <w:r w:rsidRPr="00780F47">
        <w:rPr>
          <w:rFonts w:ascii="Times New Roman" w:hAnsi="Times New Roman" w:cs="Times New Roman"/>
          <w:sz w:val="24"/>
          <w:szCs w:val="24"/>
        </w:rPr>
        <w:t xml:space="preserve">; and 3) </w:t>
      </w:r>
      <w:r w:rsidRPr="00780F47">
        <w:rPr>
          <w:rFonts w:ascii="Times New Roman" w:hAnsi="Times New Roman" w:cs="Times New Roman"/>
          <w:b/>
          <w:sz w:val="24"/>
          <w:szCs w:val="24"/>
        </w:rPr>
        <w:t>willful disregard of the need to act despite the awareness of the high probability that serious injury or death may result</w:t>
      </w:r>
      <w:r w:rsidRPr="00780F47">
        <w:rPr>
          <w:rFonts w:ascii="Times New Roman" w:hAnsi="Times New Roman" w:cs="Times New Roman"/>
          <w:sz w:val="24"/>
          <w:szCs w:val="24"/>
        </w:rPr>
        <w:t>.</w:t>
      </w:r>
      <w:r w:rsidRPr="00776A82">
        <w:rPr>
          <w:rStyle w:val="FootnoteReference"/>
          <w:rFonts w:ascii="Times New Roman" w:hAnsi="Times New Roman" w:cs="Times New Roman"/>
          <w:sz w:val="24"/>
          <w:szCs w:val="24"/>
        </w:rPr>
        <w:t xml:space="preserve"> </w:t>
      </w:r>
      <w:r w:rsidRPr="00112C9C">
        <w:rPr>
          <w:rFonts w:ascii="Times New Roman" w:hAnsi="Times New Roman" w:cs="Times New Roman"/>
          <w:sz w:val="24"/>
          <w:szCs w:val="24"/>
          <w:vertAlign w:val="superscript"/>
        </w:rPr>
        <w:footnoteReference w:id="61"/>
      </w:r>
      <w:r w:rsidRPr="00112C9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AECC0D" w14:textId="04D6C9D8" w:rsidR="00FF7482" w:rsidRDefault="00FF7482" w:rsidP="004E763C">
      <w:pPr>
        <w:spacing w:after="0"/>
        <w:ind w:left="720" w:right="720"/>
        <w:jc w:val="both"/>
        <w:rPr>
          <w:rFonts w:ascii="Times New Roman" w:hAnsi="Times New Roman" w:cs="Times New Roman"/>
          <w:sz w:val="24"/>
          <w:szCs w:val="24"/>
        </w:rPr>
      </w:pPr>
    </w:p>
    <w:p w14:paraId="44D807C8" w14:textId="3BA68B24" w:rsidR="007732F4" w:rsidRDefault="00FF7482" w:rsidP="00064BA2">
      <w:pPr>
        <w:spacing w:after="0"/>
        <w:jc w:val="both"/>
        <w:rPr>
          <w:rFonts w:ascii="Times New Roman" w:hAnsi="Times New Roman" w:cs="Times New Roman"/>
          <w:sz w:val="24"/>
          <w:szCs w:val="24"/>
        </w:rPr>
      </w:pPr>
      <w:r>
        <w:rPr>
          <w:rFonts w:ascii="Times New Roman" w:hAnsi="Times New Roman" w:cs="Times New Roman"/>
          <w:sz w:val="24"/>
          <w:szCs w:val="24"/>
        </w:rPr>
        <w:t>Subsequent Wyoming cases have continued to follow this standard.</w:t>
      </w:r>
      <w:r w:rsidRPr="00112C9C">
        <w:rPr>
          <w:rFonts w:ascii="Times New Roman" w:hAnsi="Times New Roman" w:cs="Times New Roman"/>
          <w:sz w:val="24"/>
          <w:szCs w:val="24"/>
          <w:vertAlign w:val="superscript"/>
        </w:rPr>
        <w:footnoteReference w:id="62"/>
      </w:r>
      <w:r>
        <w:rPr>
          <w:rFonts w:ascii="Times New Roman" w:hAnsi="Times New Roman" w:cs="Times New Roman"/>
          <w:sz w:val="24"/>
          <w:szCs w:val="24"/>
        </w:rPr>
        <w:t xml:space="preserve"> But there is a conceptual problem with limiting tort suits by injured employees against co-employees to instances of “intentional” acts. As noted above in Section 1.6 of this Treatise, Article X, Section 4 of the Wyoming Constitution states that, “</w:t>
      </w:r>
      <w:r w:rsidRPr="00317496">
        <w:rPr>
          <w:rFonts w:ascii="Times New Roman" w:hAnsi="Times New Roman" w:cs="Times New Roman"/>
          <w:sz w:val="24"/>
          <w:szCs w:val="24"/>
        </w:rPr>
        <w:t>No law shall be enacted limiting the amount of damages to be</w:t>
      </w:r>
      <w:r>
        <w:rPr>
          <w:rFonts w:ascii="Times New Roman" w:hAnsi="Times New Roman" w:cs="Times New Roman"/>
          <w:sz w:val="24"/>
          <w:szCs w:val="24"/>
        </w:rPr>
        <w:t xml:space="preserve"> </w:t>
      </w:r>
      <w:r w:rsidRPr="00317496">
        <w:rPr>
          <w:rFonts w:ascii="Times New Roman" w:hAnsi="Times New Roman" w:cs="Times New Roman"/>
          <w:sz w:val="24"/>
          <w:szCs w:val="24"/>
        </w:rPr>
        <w:t>recovered for causing the injury or death of any person</w:t>
      </w:r>
      <w:r>
        <w:rPr>
          <w:rFonts w:ascii="Times New Roman" w:hAnsi="Times New Roman" w:cs="Times New Roman"/>
          <w:sz w:val="24"/>
          <w:szCs w:val="24"/>
        </w:rPr>
        <w:t>.” An exception under the same provision is made for the existence of workers’ compensation, and some very specific language concerning workers’ compensation immunity is set forth:</w:t>
      </w:r>
      <w:r w:rsidR="00064BA2">
        <w:rPr>
          <w:rFonts w:ascii="Times New Roman" w:hAnsi="Times New Roman" w:cs="Times New Roman"/>
          <w:sz w:val="24"/>
          <w:szCs w:val="24"/>
        </w:rPr>
        <w:t xml:space="preserve"> First, “[t]</w:t>
      </w:r>
      <w:r w:rsidR="00064BA2" w:rsidRPr="00064BA2">
        <w:rPr>
          <w:rFonts w:ascii="Times New Roman" w:hAnsi="Times New Roman" w:cs="Times New Roman"/>
          <w:sz w:val="24"/>
          <w:szCs w:val="24"/>
        </w:rPr>
        <w:t>he right of each employee to compensation</w:t>
      </w:r>
      <w:r w:rsidR="00064BA2">
        <w:rPr>
          <w:rFonts w:ascii="Times New Roman" w:hAnsi="Times New Roman" w:cs="Times New Roman"/>
          <w:sz w:val="24"/>
          <w:szCs w:val="24"/>
        </w:rPr>
        <w:t xml:space="preserve"> </w:t>
      </w:r>
      <w:r w:rsidR="00064BA2" w:rsidRPr="00064BA2">
        <w:rPr>
          <w:rFonts w:ascii="Times New Roman" w:hAnsi="Times New Roman" w:cs="Times New Roman"/>
          <w:sz w:val="24"/>
          <w:szCs w:val="24"/>
        </w:rPr>
        <w:t>from the fund shall be in lieu of and shall take the place of any and all rights</w:t>
      </w:r>
      <w:r w:rsidR="00064BA2">
        <w:rPr>
          <w:rFonts w:ascii="Times New Roman" w:hAnsi="Times New Roman" w:cs="Times New Roman"/>
          <w:sz w:val="24"/>
          <w:szCs w:val="24"/>
        </w:rPr>
        <w:t xml:space="preserve"> </w:t>
      </w:r>
      <w:r w:rsidR="00064BA2" w:rsidRPr="00064BA2">
        <w:rPr>
          <w:rFonts w:ascii="Times New Roman" w:hAnsi="Times New Roman" w:cs="Times New Roman"/>
          <w:sz w:val="24"/>
          <w:szCs w:val="24"/>
        </w:rPr>
        <w:t>of action against any employer contributing as required by law to the fund in</w:t>
      </w:r>
      <w:r w:rsidR="00064BA2">
        <w:rPr>
          <w:rFonts w:ascii="Times New Roman" w:hAnsi="Times New Roman" w:cs="Times New Roman"/>
          <w:sz w:val="24"/>
          <w:szCs w:val="24"/>
        </w:rPr>
        <w:t xml:space="preserve"> </w:t>
      </w:r>
      <w:r w:rsidR="00064BA2" w:rsidRPr="00064BA2">
        <w:rPr>
          <w:rFonts w:ascii="Times New Roman" w:hAnsi="Times New Roman" w:cs="Times New Roman"/>
          <w:sz w:val="24"/>
          <w:szCs w:val="24"/>
        </w:rPr>
        <w:t>favor of any person or persons by reason of the injuries or death.</w:t>
      </w:r>
      <w:r w:rsidR="00545CF7">
        <w:rPr>
          <w:rFonts w:ascii="Times New Roman" w:hAnsi="Times New Roman" w:cs="Times New Roman"/>
          <w:sz w:val="24"/>
          <w:szCs w:val="24"/>
        </w:rPr>
        <w:t>”</w:t>
      </w:r>
      <w:r w:rsidR="00064BA2">
        <w:rPr>
          <w:rStyle w:val="FootnoteReference"/>
          <w:rFonts w:ascii="Times New Roman" w:hAnsi="Times New Roman" w:cs="Times New Roman"/>
          <w:sz w:val="24"/>
          <w:szCs w:val="24"/>
        </w:rPr>
        <w:footnoteReference w:id="63"/>
      </w:r>
      <w:r w:rsidR="00545CF7">
        <w:rPr>
          <w:rFonts w:ascii="Times New Roman" w:hAnsi="Times New Roman" w:cs="Times New Roman"/>
          <w:sz w:val="24"/>
          <w:szCs w:val="24"/>
        </w:rPr>
        <w:t xml:space="preserve"> Next, </w:t>
      </w:r>
      <w:r>
        <w:rPr>
          <w:rFonts w:ascii="Times New Roman" w:hAnsi="Times New Roman" w:cs="Times New Roman"/>
          <w:sz w:val="24"/>
          <w:szCs w:val="24"/>
        </w:rPr>
        <w:t>“</w:t>
      </w:r>
      <w:r w:rsidR="00545CF7">
        <w:rPr>
          <w:rFonts w:ascii="Times New Roman" w:hAnsi="Times New Roman" w:cs="Times New Roman"/>
          <w:sz w:val="24"/>
          <w:szCs w:val="24"/>
        </w:rPr>
        <w:t>[t]</w:t>
      </w:r>
      <w:r w:rsidRPr="00003288">
        <w:rPr>
          <w:rFonts w:ascii="Times New Roman" w:hAnsi="Times New Roman" w:cs="Times New Roman"/>
          <w:sz w:val="24"/>
          <w:szCs w:val="24"/>
        </w:rPr>
        <w:t>o the extent an employer</w:t>
      </w:r>
      <w:r>
        <w:rPr>
          <w:rFonts w:ascii="Times New Roman" w:hAnsi="Times New Roman" w:cs="Times New Roman"/>
          <w:sz w:val="24"/>
          <w:szCs w:val="24"/>
        </w:rPr>
        <w:t xml:space="preserve"> </w:t>
      </w:r>
      <w:r w:rsidRPr="00003288">
        <w:rPr>
          <w:rFonts w:ascii="Times New Roman" w:hAnsi="Times New Roman" w:cs="Times New Roman"/>
          <w:sz w:val="24"/>
          <w:szCs w:val="24"/>
        </w:rPr>
        <w:t>elects  to  be  covered  by  the  state  fund  and  contributes  to  the  fund  as</w:t>
      </w:r>
      <w:r>
        <w:rPr>
          <w:rFonts w:ascii="Times New Roman" w:hAnsi="Times New Roman" w:cs="Times New Roman"/>
          <w:sz w:val="24"/>
          <w:szCs w:val="24"/>
        </w:rPr>
        <w:t xml:space="preserve"> </w:t>
      </w:r>
      <w:r w:rsidRPr="00003288">
        <w:rPr>
          <w:rFonts w:ascii="Times New Roman" w:hAnsi="Times New Roman" w:cs="Times New Roman"/>
          <w:sz w:val="24"/>
          <w:szCs w:val="24"/>
        </w:rPr>
        <w:t xml:space="preserve">required by law, the </w:t>
      </w:r>
      <w:r w:rsidRPr="00ED46B1">
        <w:rPr>
          <w:rFonts w:ascii="Times New Roman" w:hAnsi="Times New Roman" w:cs="Times New Roman"/>
          <w:b/>
          <w:bCs/>
          <w:sz w:val="24"/>
          <w:szCs w:val="24"/>
          <w:u w:val="single"/>
        </w:rPr>
        <w:t>employer</w:t>
      </w:r>
      <w:r w:rsidRPr="00003288">
        <w:rPr>
          <w:rFonts w:ascii="Times New Roman" w:hAnsi="Times New Roman" w:cs="Times New Roman"/>
          <w:sz w:val="24"/>
          <w:szCs w:val="24"/>
        </w:rPr>
        <w:t xml:space="preserve"> shall enjoy the same immunity as provided</w:t>
      </w:r>
      <w:r>
        <w:rPr>
          <w:rFonts w:ascii="Times New Roman" w:hAnsi="Times New Roman" w:cs="Times New Roman"/>
          <w:sz w:val="24"/>
          <w:szCs w:val="24"/>
        </w:rPr>
        <w:t xml:space="preserve"> </w:t>
      </w:r>
      <w:r w:rsidRPr="00003288">
        <w:rPr>
          <w:rFonts w:ascii="Times New Roman" w:hAnsi="Times New Roman" w:cs="Times New Roman"/>
          <w:sz w:val="24"/>
          <w:szCs w:val="24"/>
        </w:rPr>
        <w:t>for extrahazardous employments.</w:t>
      </w:r>
      <w:r>
        <w:rPr>
          <w:rFonts w:ascii="Times New Roman" w:hAnsi="Times New Roman" w:cs="Times New Roman"/>
          <w:sz w:val="24"/>
          <w:szCs w:val="24"/>
        </w:rPr>
        <w:t>”</w:t>
      </w:r>
      <w:r w:rsidR="00545CF7">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r w:rsidRPr="00776A82">
        <w:rPr>
          <w:rFonts w:ascii="Times New Roman" w:hAnsi="Times New Roman" w:cs="Times New Roman"/>
          <w:b/>
          <w:bCs/>
          <w:sz w:val="24"/>
          <w:szCs w:val="24"/>
          <w:u w:val="single"/>
        </w:rPr>
        <w:t xml:space="preserve">There is no mention of </w:t>
      </w:r>
      <w:r w:rsidR="00545CF7">
        <w:rPr>
          <w:rFonts w:ascii="Times New Roman" w:hAnsi="Times New Roman" w:cs="Times New Roman"/>
          <w:b/>
          <w:bCs/>
          <w:sz w:val="24"/>
          <w:szCs w:val="24"/>
          <w:u w:val="single"/>
        </w:rPr>
        <w:t>“</w:t>
      </w:r>
      <w:r w:rsidRPr="00776A82">
        <w:rPr>
          <w:rFonts w:ascii="Times New Roman" w:hAnsi="Times New Roman" w:cs="Times New Roman"/>
          <w:b/>
          <w:bCs/>
          <w:sz w:val="24"/>
          <w:szCs w:val="24"/>
          <w:u w:val="single"/>
        </w:rPr>
        <w:t>co-employee immunity</w:t>
      </w:r>
      <w:r w:rsidRPr="00BC59C3">
        <w:rPr>
          <w:rFonts w:ascii="Times New Roman" w:hAnsi="Times New Roman" w:cs="Times New Roman"/>
          <w:b/>
          <w:bCs/>
          <w:sz w:val="24"/>
          <w:szCs w:val="24"/>
        </w:rPr>
        <w:t>.</w:t>
      </w:r>
      <w:r w:rsidR="00545CF7" w:rsidRPr="00BC59C3">
        <w:rPr>
          <w:rFonts w:ascii="Times New Roman" w:hAnsi="Times New Roman" w:cs="Times New Roman"/>
          <w:b/>
          <w:bCs/>
          <w:sz w:val="24"/>
          <w:szCs w:val="24"/>
        </w:rPr>
        <w:t>”</w:t>
      </w:r>
      <w:r>
        <w:rPr>
          <w:rFonts w:ascii="Times New Roman" w:hAnsi="Times New Roman" w:cs="Times New Roman"/>
          <w:sz w:val="24"/>
          <w:szCs w:val="24"/>
        </w:rPr>
        <w:t xml:space="preserve"> </w:t>
      </w:r>
      <w:r w:rsidR="00337244">
        <w:rPr>
          <w:rFonts w:ascii="Times New Roman" w:hAnsi="Times New Roman" w:cs="Times New Roman"/>
          <w:sz w:val="24"/>
          <w:szCs w:val="24"/>
        </w:rPr>
        <w:t xml:space="preserve">It is true that injuries due solely to the culpable negligence of a co-employee are not </w:t>
      </w:r>
      <w:r w:rsidR="00337244" w:rsidRPr="00DC204C">
        <w:rPr>
          <w:rFonts w:ascii="Times New Roman" w:hAnsi="Times New Roman" w:cs="Times New Roman"/>
          <w:i/>
          <w:iCs/>
          <w:sz w:val="24"/>
          <w:szCs w:val="24"/>
        </w:rPr>
        <w:t>covered</w:t>
      </w:r>
      <w:r w:rsidR="00337244">
        <w:rPr>
          <w:rFonts w:ascii="Times New Roman" w:hAnsi="Times New Roman" w:cs="Times New Roman"/>
          <w:sz w:val="24"/>
          <w:szCs w:val="24"/>
        </w:rPr>
        <w:t xml:space="preserve"> by workers’ compensation.</w:t>
      </w:r>
      <w:r w:rsidR="00337244">
        <w:rPr>
          <w:rStyle w:val="FootnoteReference"/>
          <w:rFonts w:ascii="Times New Roman" w:hAnsi="Times New Roman" w:cs="Times New Roman"/>
          <w:sz w:val="24"/>
          <w:szCs w:val="24"/>
        </w:rPr>
        <w:footnoteReference w:id="65"/>
      </w:r>
      <w:r w:rsidR="00337244">
        <w:rPr>
          <w:rFonts w:ascii="Times New Roman" w:hAnsi="Times New Roman" w:cs="Times New Roman"/>
          <w:sz w:val="24"/>
          <w:szCs w:val="24"/>
        </w:rPr>
        <w:t xml:space="preserve"> </w:t>
      </w:r>
      <w:r w:rsidR="00064BA2">
        <w:rPr>
          <w:rFonts w:ascii="Times New Roman" w:hAnsi="Times New Roman" w:cs="Times New Roman"/>
          <w:sz w:val="24"/>
          <w:szCs w:val="24"/>
        </w:rPr>
        <w:t xml:space="preserve">But the text of the Constitution simply does not say that co-employees who are not culpably negligent are immune in tort. To the extent cases suggest otherwise that is judicial gloss. To the extent the legislature </w:t>
      </w:r>
      <w:r w:rsidR="000E4E42">
        <w:rPr>
          <w:rFonts w:ascii="Times New Roman" w:hAnsi="Times New Roman" w:cs="Times New Roman"/>
          <w:sz w:val="24"/>
          <w:szCs w:val="24"/>
        </w:rPr>
        <w:t>legislates</w:t>
      </w:r>
      <w:r w:rsidR="00064BA2">
        <w:rPr>
          <w:rFonts w:ascii="Times New Roman" w:hAnsi="Times New Roman" w:cs="Times New Roman"/>
          <w:sz w:val="24"/>
          <w:szCs w:val="24"/>
        </w:rPr>
        <w:t xml:space="preserve"> otherwise the </w:t>
      </w:r>
      <w:r w:rsidR="000E4E42">
        <w:rPr>
          <w:rFonts w:ascii="Times New Roman" w:hAnsi="Times New Roman" w:cs="Times New Roman"/>
          <w:sz w:val="24"/>
          <w:szCs w:val="24"/>
        </w:rPr>
        <w:t>acts are</w:t>
      </w:r>
      <w:r w:rsidR="00064BA2">
        <w:rPr>
          <w:rFonts w:ascii="Times New Roman" w:hAnsi="Times New Roman" w:cs="Times New Roman"/>
          <w:sz w:val="24"/>
          <w:szCs w:val="24"/>
        </w:rPr>
        <w:t xml:space="preserve"> in</w:t>
      </w:r>
      <w:r w:rsidR="000E4E42">
        <w:rPr>
          <w:rFonts w:ascii="Times New Roman" w:hAnsi="Times New Roman" w:cs="Times New Roman"/>
          <w:sz w:val="24"/>
          <w:szCs w:val="24"/>
        </w:rPr>
        <w:t xml:space="preserve"> evident</w:t>
      </w:r>
      <w:r w:rsidR="00064BA2">
        <w:rPr>
          <w:rFonts w:ascii="Times New Roman" w:hAnsi="Times New Roman" w:cs="Times New Roman"/>
          <w:sz w:val="24"/>
          <w:szCs w:val="24"/>
        </w:rPr>
        <w:t xml:space="preserve"> tension with the </w:t>
      </w:r>
      <w:r w:rsidR="00545CF7">
        <w:rPr>
          <w:rFonts w:ascii="Times New Roman" w:hAnsi="Times New Roman" w:cs="Times New Roman"/>
          <w:sz w:val="24"/>
          <w:szCs w:val="24"/>
        </w:rPr>
        <w:t xml:space="preserve">plain </w:t>
      </w:r>
      <w:r w:rsidR="00064BA2">
        <w:rPr>
          <w:rFonts w:ascii="Times New Roman" w:hAnsi="Times New Roman" w:cs="Times New Roman"/>
          <w:sz w:val="24"/>
          <w:szCs w:val="24"/>
        </w:rPr>
        <w:t xml:space="preserve">text of the </w:t>
      </w:r>
      <w:r w:rsidR="00545CF7">
        <w:rPr>
          <w:rFonts w:ascii="Times New Roman" w:hAnsi="Times New Roman" w:cs="Times New Roman"/>
          <w:sz w:val="24"/>
          <w:szCs w:val="24"/>
        </w:rPr>
        <w:t>Constitution</w:t>
      </w:r>
      <w:r w:rsidR="00064BA2">
        <w:rPr>
          <w:rFonts w:ascii="Times New Roman" w:hAnsi="Times New Roman" w:cs="Times New Roman"/>
          <w:sz w:val="24"/>
          <w:szCs w:val="24"/>
        </w:rPr>
        <w:t xml:space="preserve">. </w:t>
      </w:r>
      <w:r>
        <w:rPr>
          <w:rFonts w:ascii="Times New Roman" w:hAnsi="Times New Roman" w:cs="Times New Roman"/>
          <w:sz w:val="24"/>
          <w:szCs w:val="24"/>
        </w:rPr>
        <w:t>If statutes in derogation of the common law must be strictly construed,</w:t>
      </w:r>
      <w:r w:rsidRPr="00112C9C">
        <w:rPr>
          <w:rFonts w:ascii="Times New Roman" w:hAnsi="Times New Roman" w:cs="Times New Roman"/>
          <w:sz w:val="24"/>
          <w:szCs w:val="24"/>
          <w:vertAlign w:val="superscript"/>
        </w:rPr>
        <w:footnoteReference w:id="66"/>
      </w:r>
      <w:r>
        <w:rPr>
          <w:rFonts w:ascii="Times New Roman" w:hAnsi="Times New Roman" w:cs="Times New Roman"/>
          <w:sz w:val="24"/>
          <w:szCs w:val="24"/>
        </w:rPr>
        <w:t xml:space="preserve"> how much more is that the case when limitations on a common law right have been ensconced in the Wyoming </w:t>
      </w:r>
      <w:r w:rsidR="003E1E7A">
        <w:rPr>
          <w:rFonts w:ascii="Times New Roman" w:hAnsi="Times New Roman" w:cs="Times New Roman"/>
          <w:sz w:val="24"/>
          <w:szCs w:val="24"/>
        </w:rPr>
        <w:t>C</w:t>
      </w:r>
      <w:r>
        <w:rPr>
          <w:rFonts w:ascii="Times New Roman" w:hAnsi="Times New Roman" w:cs="Times New Roman"/>
          <w:sz w:val="24"/>
          <w:szCs w:val="24"/>
        </w:rPr>
        <w:t>onstitution?</w:t>
      </w:r>
    </w:p>
    <w:p w14:paraId="17DC4BBC" w14:textId="77777777" w:rsidR="007732F4" w:rsidRDefault="007732F4" w:rsidP="00006D82">
      <w:pPr>
        <w:spacing w:after="0"/>
        <w:jc w:val="both"/>
        <w:rPr>
          <w:rFonts w:ascii="Times New Roman" w:hAnsi="Times New Roman" w:cs="Times New Roman"/>
          <w:sz w:val="24"/>
          <w:szCs w:val="24"/>
        </w:rPr>
      </w:pPr>
    </w:p>
    <w:p w14:paraId="50928A88" w14:textId="2676A70F" w:rsidR="000E4E42" w:rsidRDefault="007732F4" w:rsidP="00006D82">
      <w:pPr>
        <w:spacing w:after="0"/>
        <w:jc w:val="both"/>
        <w:rPr>
          <w:rFonts w:ascii="Times New Roman" w:hAnsi="Times New Roman" w:cs="Times New Roman"/>
          <w:sz w:val="24"/>
          <w:szCs w:val="24"/>
        </w:rPr>
      </w:pPr>
      <w:r>
        <w:rPr>
          <w:rFonts w:ascii="Times New Roman" w:hAnsi="Times New Roman" w:cs="Times New Roman"/>
          <w:sz w:val="24"/>
          <w:szCs w:val="24"/>
        </w:rPr>
        <w:t xml:space="preserve">Some of this tension </w:t>
      </w:r>
      <w:r w:rsidR="00FC5E13">
        <w:rPr>
          <w:rFonts w:ascii="Times New Roman" w:hAnsi="Times New Roman" w:cs="Times New Roman"/>
          <w:sz w:val="24"/>
          <w:szCs w:val="24"/>
        </w:rPr>
        <w:t>was recently</w:t>
      </w:r>
      <w:r>
        <w:rPr>
          <w:rFonts w:ascii="Times New Roman" w:hAnsi="Times New Roman" w:cs="Times New Roman"/>
          <w:sz w:val="24"/>
          <w:szCs w:val="24"/>
        </w:rPr>
        <w:t xml:space="preserve"> revisited in </w:t>
      </w:r>
      <w:r w:rsidRPr="00DC204C">
        <w:rPr>
          <w:rFonts w:ascii="Times New Roman" w:hAnsi="Times New Roman" w:cs="Times New Roman"/>
          <w:i/>
          <w:iCs/>
          <w:sz w:val="24"/>
          <w:szCs w:val="24"/>
        </w:rPr>
        <w:t>Ramirez v. Brown</w:t>
      </w:r>
      <w:r>
        <w:rPr>
          <w:rFonts w:ascii="Times New Roman" w:hAnsi="Times New Roman" w:cs="Times New Roman"/>
          <w:i/>
          <w:iCs/>
          <w:sz w:val="24"/>
          <w:szCs w:val="24"/>
        </w:rPr>
        <w:t>,</w:t>
      </w:r>
      <w:r w:rsidRPr="00DC204C">
        <w:rPr>
          <w:rStyle w:val="FootnoteReference"/>
          <w:rFonts w:ascii="Times New Roman" w:hAnsi="Times New Roman" w:cs="Times New Roman"/>
          <w:sz w:val="24"/>
          <w:szCs w:val="24"/>
        </w:rPr>
        <w:footnoteReference w:id="67"/>
      </w:r>
      <w:r>
        <w:rPr>
          <w:rFonts w:ascii="Times New Roman" w:hAnsi="Times New Roman" w:cs="Times New Roman"/>
          <w:i/>
          <w:iCs/>
          <w:sz w:val="24"/>
          <w:szCs w:val="24"/>
        </w:rPr>
        <w:t xml:space="preserve"> </w:t>
      </w:r>
      <w:r>
        <w:rPr>
          <w:rFonts w:ascii="Times New Roman" w:hAnsi="Times New Roman" w:cs="Times New Roman"/>
          <w:sz w:val="24"/>
          <w:szCs w:val="24"/>
        </w:rPr>
        <w:t xml:space="preserve">a case </w:t>
      </w:r>
      <w:r w:rsidR="009D6ED6">
        <w:rPr>
          <w:rFonts w:ascii="Times New Roman" w:hAnsi="Times New Roman" w:cs="Times New Roman"/>
          <w:sz w:val="24"/>
          <w:szCs w:val="24"/>
        </w:rPr>
        <w:t xml:space="preserve">in which an employee sustained multiple fractures to his arm and hand, </w:t>
      </w:r>
      <w:r w:rsidR="00B33922">
        <w:rPr>
          <w:rFonts w:ascii="Times New Roman" w:hAnsi="Times New Roman" w:cs="Times New Roman"/>
          <w:sz w:val="24"/>
          <w:szCs w:val="24"/>
        </w:rPr>
        <w:t>the appendages being</w:t>
      </w:r>
      <w:r w:rsidR="009D6ED6">
        <w:rPr>
          <w:rFonts w:ascii="Times New Roman" w:hAnsi="Times New Roman" w:cs="Times New Roman"/>
          <w:sz w:val="24"/>
          <w:szCs w:val="24"/>
        </w:rPr>
        <w:t xml:space="preserve"> drawn into an unguarded “spin-straightener,” a machine that straightened pipes as </w:t>
      </w:r>
      <w:r w:rsidR="009D6ED6">
        <w:rPr>
          <w:rFonts w:ascii="Times New Roman" w:hAnsi="Times New Roman" w:cs="Times New Roman"/>
          <w:sz w:val="24"/>
          <w:szCs w:val="24"/>
        </w:rPr>
        <w:lastRenderedPageBreak/>
        <w:t>long as 34 feet and as wide as three inches in diameter.</w:t>
      </w:r>
      <w:r w:rsidR="00FC5E13">
        <w:rPr>
          <w:rStyle w:val="FootnoteReference"/>
          <w:rFonts w:ascii="Times New Roman" w:hAnsi="Times New Roman" w:cs="Times New Roman"/>
          <w:sz w:val="24"/>
          <w:szCs w:val="24"/>
        </w:rPr>
        <w:footnoteReference w:id="68"/>
      </w:r>
      <w:r w:rsidR="009D6ED6">
        <w:rPr>
          <w:rFonts w:ascii="Times New Roman" w:hAnsi="Times New Roman" w:cs="Times New Roman"/>
          <w:sz w:val="24"/>
          <w:szCs w:val="24"/>
        </w:rPr>
        <w:t xml:space="preserve"> The employee sued three </w:t>
      </w:r>
      <w:r w:rsidR="00A54782">
        <w:rPr>
          <w:rFonts w:ascii="Times New Roman" w:hAnsi="Times New Roman" w:cs="Times New Roman"/>
          <w:sz w:val="24"/>
          <w:szCs w:val="24"/>
        </w:rPr>
        <w:t xml:space="preserve">supervisory </w:t>
      </w:r>
      <w:r w:rsidR="009D6ED6">
        <w:rPr>
          <w:rFonts w:ascii="Times New Roman" w:hAnsi="Times New Roman" w:cs="Times New Roman"/>
          <w:sz w:val="24"/>
          <w:szCs w:val="24"/>
        </w:rPr>
        <w:t>employees, Messrs. Brown, Wartenbee, and Mitchell</w:t>
      </w:r>
      <w:r w:rsidR="00A54782">
        <w:rPr>
          <w:rFonts w:ascii="Times New Roman" w:hAnsi="Times New Roman" w:cs="Times New Roman"/>
          <w:sz w:val="24"/>
          <w:szCs w:val="24"/>
        </w:rPr>
        <w:t>,</w:t>
      </w:r>
      <w:r w:rsidR="009D6ED6">
        <w:rPr>
          <w:rFonts w:ascii="Times New Roman" w:hAnsi="Times New Roman" w:cs="Times New Roman"/>
          <w:sz w:val="24"/>
          <w:szCs w:val="24"/>
        </w:rPr>
        <w:t xml:space="preserve"> for intentionally injuring him. The </w:t>
      </w:r>
      <w:r w:rsidR="00A54782">
        <w:rPr>
          <w:rFonts w:ascii="Times New Roman" w:hAnsi="Times New Roman" w:cs="Times New Roman"/>
          <w:sz w:val="24"/>
          <w:szCs w:val="24"/>
        </w:rPr>
        <w:t>gravamen</w:t>
      </w:r>
      <w:r w:rsidR="009D6ED6">
        <w:rPr>
          <w:rFonts w:ascii="Times New Roman" w:hAnsi="Times New Roman" w:cs="Times New Roman"/>
          <w:sz w:val="24"/>
          <w:szCs w:val="24"/>
        </w:rPr>
        <w:t xml:space="preserve"> of the complaint was that the named employees knew the machine, if unguarded, was hazardous; and had received prior complaints about the dangers the machine presented</w:t>
      </w:r>
      <w:r w:rsidR="00A54782">
        <w:rPr>
          <w:rFonts w:ascii="Times New Roman" w:hAnsi="Times New Roman" w:cs="Times New Roman"/>
          <w:sz w:val="24"/>
          <w:szCs w:val="24"/>
        </w:rPr>
        <w:t>,</w:t>
      </w:r>
      <w:r w:rsidR="009D6ED6">
        <w:rPr>
          <w:rFonts w:ascii="Times New Roman" w:hAnsi="Times New Roman" w:cs="Times New Roman"/>
          <w:sz w:val="24"/>
          <w:szCs w:val="24"/>
        </w:rPr>
        <w:t xml:space="preserve"> yet failed to correct the hazard.</w:t>
      </w:r>
      <w:r w:rsidR="00FC5E13">
        <w:rPr>
          <w:rStyle w:val="FootnoteReference"/>
          <w:rFonts w:ascii="Times New Roman" w:hAnsi="Times New Roman" w:cs="Times New Roman"/>
          <w:sz w:val="24"/>
          <w:szCs w:val="24"/>
        </w:rPr>
        <w:footnoteReference w:id="69"/>
      </w:r>
      <w:r w:rsidR="009D6ED6">
        <w:rPr>
          <w:rFonts w:ascii="Times New Roman" w:hAnsi="Times New Roman" w:cs="Times New Roman"/>
          <w:sz w:val="24"/>
          <w:szCs w:val="24"/>
        </w:rPr>
        <w:t xml:space="preserve"> </w:t>
      </w:r>
      <w:r w:rsidR="00FC5E13">
        <w:rPr>
          <w:rFonts w:ascii="Times New Roman" w:hAnsi="Times New Roman" w:cs="Times New Roman"/>
          <w:sz w:val="24"/>
          <w:szCs w:val="24"/>
        </w:rPr>
        <w:t>Although not explicitly explained in the decision, the case was brought originally in district court on the theory that the named defendants were liable in tort because workers’ compensation immunity does not apply to intentional conduct by co-employees.</w:t>
      </w:r>
      <w:r>
        <w:rPr>
          <w:rFonts w:ascii="Times New Roman" w:hAnsi="Times New Roman" w:cs="Times New Roman"/>
          <w:sz w:val="24"/>
          <w:szCs w:val="24"/>
        </w:rPr>
        <w:t xml:space="preserve"> </w:t>
      </w:r>
      <w:r w:rsidR="00FC5E13">
        <w:rPr>
          <w:rFonts w:ascii="Times New Roman" w:hAnsi="Times New Roman" w:cs="Times New Roman"/>
          <w:sz w:val="24"/>
          <w:szCs w:val="24"/>
        </w:rPr>
        <w:t>The district court granted summary judgment to each of the co-employee supervisors</w:t>
      </w:r>
      <w:r w:rsidR="00A54782">
        <w:rPr>
          <w:rFonts w:ascii="Times New Roman" w:hAnsi="Times New Roman" w:cs="Times New Roman"/>
          <w:sz w:val="24"/>
          <w:szCs w:val="24"/>
        </w:rPr>
        <w:t xml:space="preserve"> </w:t>
      </w:r>
      <w:r w:rsidR="00FC5E13">
        <w:rPr>
          <w:rFonts w:ascii="Times New Roman" w:hAnsi="Times New Roman" w:cs="Times New Roman"/>
          <w:sz w:val="24"/>
          <w:szCs w:val="24"/>
        </w:rPr>
        <w:t>because the claimant “</w:t>
      </w:r>
      <w:r w:rsidR="00FC5E13" w:rsidRPr="00FC5E13">
        <w:rPr>
          <w:rFonts w:ascii="Times New Roman" w:hAnsi="Times New Roman" w:cs="Times New Roman"/>
          <w:sz w:val="24"/>
          <w:szCs w:val="24"/>
        </w:rPr>
        <w:t>failed to establish a genuine issue of material fact to rebut the co-employee supervisors' prima facie showing they had no actual knowledge of the serious risk involved and did not intentionally act to cause Mr. Ramirez's injury.</w:t>
      </w:r>
      <w:r w:rsidR="00FC5E13">
        <w:rPr>
          <w:rFonts w:ascii="Times New Roman" w:hAnsi="Times New Roman" w:cs="Times New Roman"/>
          <w:sz w:val="24"/>
          <w:szCs w:val="24"/>
        </w:rPr>
        <w:t>”</w:t>
      </w:r>
      <w:r w:rsidR="00FC5E13">
        <w:rPr>
          <w:rStyle w:val="FootnoteReference"/>
          <w:rFonts w:ascii="Times New Roman" w:hAnsi="Times New Roman" w:cs="Times New Roman"/>
          <w:sz w:val="24"/>
          <w:szCs w:val="24"/>
        </w:rPr>
        <w:footnoteReference w:id="70"/>
      </w:r>
      <w:r w:rsidR="00A15274">
        <w:rPr>
          <w:rFonts w:ascii="Times New Roman" w:hAnsi="Times New Roman" w:cs="Times New Roman"/>
          <w:sz w:val="24"/>
          <w:szCs w:val="24"/>
        </w:rPr>
        <w:t xml:space="preserve"> </w:t>
      </w:r>
    </w:p>
    <w:p w14:paraId="4EC6C0F4" w14:textId="77777777" w:rsidR="000E4E42" w:rsidRDefault="000E4E42" w:rsidP="00006D82">
      <w:pPr>
        <w:spacing w:after="0"/>
        <w:jc w:val="both"/>
        <w:rPr>
          <w:rFonts w:ascii="Times New Roman" w:hAnsi="Times New Roman" w:cs="Times New Roman"/>
          <w:sz w:val="24"/>
          <w:szCs w:val="24"/>
        </w:rPr>
      </w:pPr>
    </w:p>
    <w:p w14:paraId="30FCD61F" w14:textId="5D9BDE91" w:rsidR="00664FC8" w:rsidRDefault="00A15274" w:rsidP="00006D82">
      <w:pPr>
        <w:spacing w:after="0"/>
        <w:jc w:val="both"/>
        <w:rPr>
          <w:rFonts w:ascii="Times New Roman" w:hAnsi="Times New Roman" w:cs="Times New Roman"/>
          <w:sz w:val="24"/>
          <w:szCs w:val="24"/>
        </w:rPr>
      </w:pPr>
      <w:r>
        <w:rPr>
          <w:rFonts w:ascii="Times New Roman" w:hAnsi="Times New Roman" w:cs="Times New Roman"/>
          <w:sz w:val="24"/>
          <w:szCs w:val="24"/>
        </w:rPr>
        <w:t xml:space="preserve">As to </w:t>
      </w:r>
      <w:bookmarkStart w:id="90" w:name="_Hlk73518362"/>
      <w:r>
        <w:rPr>
          <w:rFonts w:ascii="Times New Roman" w:hAnsi="Times New Roman" w:cs="Times New Roman"/>
          <w:sz w:val="24"/>
          <w:szCs w:val="24"/>
        </w:rPr>
        <w:t>Wartenbee and</w:t>
      </w:r>
      <w:bookmarkEnd w:id="90"/>
      <w:r w:rsidR="008E14E3">
        <w:rPr>
          <w:rFonts w:ascii="Times New Roman" w:hAnsi="Times New Roman" w:cs="Times New Roman"/>
          <w:sz w:val="24"/>
          <w:szCs w:val="24"/>
        </w:rPr>
        <w:t xml:space="preserve"> Brown</w:t>
      </w:r>
      <w:r>
        <w:rPr>
          <w:rFonts w:ascii="Times New Roman" w:hAnsi="Times New Roman" w:cs="Times New Roman"/>
          <w:sz w:val="24"/>
          <w:szCs w:val="24"/>
        </w:rPr>
        <w:t>, the Wyoming Supreme Court upheld the district court’s grant of summary judgment in favor of the defendants: although they had responsibility for safety and working conditions, the</w:t>
      </w:r>
      <w:r w:rsidR="00A54782">
        <w:rPr>
          <w:rFonts w:ascii="Times New Roman" w:hAnsi="Times New Roman" w:cs="Times New Roman"/>
          <w:sz w:val="24"/>
          <w:szCs w:val="24"/>
        </w:rPr>
        <w:t xml:space="preserve"> Court concluded that the</w:t>
      </w:r>
      <w:r>
        <w:rPr>
          <w:rFonts w:ascii="Times New Roman" w:hAnsi="Times New Roman" w:cs="Times New Roman"/>
          <w:sz w:val="24"/>
          <w:szCs w:val="24"/>
        </w:rPr>
        <w:t xml:space="preserve"> evidence did not show they willfully disregarded the need to act, even if they had knowledge of the serious hazard posed by the machine or the dangerous manner in which it was used and maintained.</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Standing alone, the conduct of </w:t>
      </w:r>
      <w:r w:rsidR="008E14E3" w:rsidRPr="008E14E3">
        <w:rPr>
          <w:rFonts w:ascii="Times New Roman" w:hAnsi="Times New Roman" w:cs="Times New Roman"/>
          <w:sz w:val="24"/>
          <w:szCs w:val="24"/>
        </w:rPr>
        <w:t>Wartenbee and</w:t>
      </w:r>
      <w:r w:rsidR="008E14E3">
        <w:rPr>
          <w:rFonts w:ascii="Times New Roman" w:hAnsi="Times New Roman" w:cs="Times New Roman"/>
          <w:sz w:val="24"/>
          <w:szCs w:val="24"/>
        </w:rPr>
        <w:t xml:space="preserve"> Brown still boiled down to ordinary negligence.</w:t>
      </w:r>
      <w:r w:rsidR="008E14E3">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w:t>
      </w:r>
      <w:r w:rsidR="008E14E3">
        <w:rPr>
          <w:rFonts w:ascii="Times New Roman" w:hAnsi="Times New Roman" w:cs="Times New Roman"/>
          <w:sz w:val="24"/>
          <w:szCs w:val="24"/>
        </w:rPr>
        <w:t>Mitchell, the third supervisory co-employee defendant, presented a different problem because he “</w:t>
      </w:r>
      <w:r w:rsidR="008E14E3" w:rsidRPr="008E14E3">
        <w:rPr>
          <w:rFonts w:ascii="Times New Roman" w:hAnsi="Times New Roman" w:cs="Times New Roman"/>
          <w:sz w:val="24"/>
          <w:szCs w:val="24"/>
        </w:rPr>
        <w:t>was supposed to report any complaints he received to Mr. Brown and Mr. Wartenbee. The record suggests he reported none of the complaints concerning the spin-straightener to either Mr. Brown or Mr. Wartenbee. If proven true, Mr. Mitchell's failure to report verbal complaints or submit stop cards could reflect an intent not to act, in willful disregard of the serious risk posed to Mr. Ramirez and others.</w:t>
      </w:r>
      <w:r w:rsidR="008E14E3">
        <w:rPr>
          <w:rFonts w:ascii="Times New Roman" w:hAnsi="Times New Roman" w:cs="Times New Roman"/>
          <w:sz w:val="24"/>
          <w:szCs w:val="24"/>
        </w:rPr>
        <w:t>”</w:t>
      </w:r>
      <w:r w:rsidR="008E14E3">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00664FC8">
        <w:rPr>
          <w:rFonts w:ascii="Times New Roman" w:hAnsi="Times New Roman" w:cs="Times New Roman"/>
          <w:sz w:val="24"/>
          <w:szCs w:val="24"/>
        </w:rPr>
        <w:t>Accordingly, with respect to Mi</w:t>
      </w:r>
      <w:r w:rsidR="00A54782">
        <w:rPr>
          <w:rFonts w:ascii="Times New Roman" w:hAnsi="Times New Roman" w:cs="Times New Roman"/>
          <w:sz w:val="24"/>
          <w:szCs w:val="24"/>
        </w:rPr>
        <w:t>t</w:t>
      </w:r>
      <w:r w:rsidR="00664FC8">
        <w:rPr>
          <w:rFonts w:ascii="Times New Roman" w:hAnsi="Times New Roman" w:cs="Times New Roman"/>
          <w:sz w:val="24"/>
          <w:szCs w:val="24"/>
        </w:rPr>
        <w:t>chell “</w:t>
      </w:r>
      <w:r w:rsidR="00664FC8" w:rsidRPr="00664FC8">
        <w:rPr>
          <w:rFonts w:ascii="Times New Roman" w:hAnsi="Times New Roman" w:cs="Times New Roman"/>
          <w:sz w:val="24"/>
          <w:szCs w:val="24"/>
        </w:rPr>
        <w:t>the facts as to whether Mr. Mitchell's inaction was willful or merely inadvertent are in genuine dispute and should be decided by a jury after receiving and evaluating all the evidence and testimony.</w:t>
      </w:r>
      <w:r w:rsidR="00664FC8">
        <w:rPr>
          <w:rFonts w:ascii="Times New Roman" w:hAnsi="Times New Roman" w:cs="Times New Roman"/>
          <w:sz w:val="24"/>
          <w:szCs w:val="24"/>
        </w:rPr>
        <w:t>”</w:t>
      </w:r>
      <w:r w:rsidR="00664FC8">
        <w:rPr>
          <w:rStyle w:val="FootnoteReference"/>
          <w:rFonts w:ascii="Times New Roman" w:hAnsi="Times New Roman" w:cs="Times New Roman"/>
          <w:sz w:val="24"/>
          <w:szCs w:val="24"/>
        </w:rPr>
        <w:footnoteReference w:id="74"/>
      </w:r>
      <w:r w:rsidR="007E4E2E">
        <w:rPr>
          <w:rFonts w:ascii="Times New Roman" w:hAnsi="Times New Roman" w:cs="Times New Roman"/>
          <w:sz w:val="24"/>
          <w:szCs w:val="24"/>
        </w:rPr>
        <w:t xml:space="preserve"> The case was remanded to the district court</w:t>
      </w:r>
      <w:r w:rsidR="00A54782">
        <w:rPr>
          <w:rFonts w:ascii="Times New Roman" w:hAnsi="Times New Roman" w:cs="Times New Roman"/>
          <w:sz w:val="24"/>
          <w:szCs w:val="24"/>
        </w:rPr>
        <w:t>,</w:t>
      </w:r>
      <w:r w:rsidR="007E4E2E">
        <w:rPr>
          <w:rFonts w:ascii="Times New Roman" w:hAnsi="Times New Roman" w:cs="Times New Roman"/>
          <w:sz w:val="24"/>
          <w:szCs w:val="24"/>
        </w:rPr>
        <w:t xml:space="preserve"> and no subsequent </w:t>
      </w:r>
      <w:r w:rsidR="00A54782">
        <w:rPr>
          <w:rFonts w:ascii="Times New Roman" w:hAnsi="Times New Roman" w:cs="Times New Roman"/>
          <w:sz w:val="24"/>
          <w:szCs w:val="24"/>
        </w:rPr>
        <w:t xml:space="preserve">litigation </w:t>
      </w:r>
      <w:r w:rsidR="007E4E2E">
        <w:rPr>
          <w:rFonts w:ascii="Times New Roman" w:hAnsi="Times New Roman" w:cs="Times New Roman"/>
          <w:sz w:val="24"/>
          <w:szCs w:val="24"/>
        </w:rPr>
        <w:t xml:space="preserve">history </w:t>
      </w:r>
      <w:r w:rsidR="00A54782">
        <w:rPr>
          <w:rFonts w:ascii="Times New Roman" w:hAnsi="Times New Roman" w:cs="Times New Roman"/>
          <w:sz w:val="24"/>
          <w:szCs w:val="24"/>
        </w:rPr>
        <w:t>has been reported</w:t>
      </w:r>
      <w:r w:rsidR="007E4E2E">
        <w:rPr>
          <w:rFonts w:ascii="Times New Roman" w:hAnsi="Times New Roman" w:cs="Times New Roman"/>
          <w:sz w:val="24"/>
          <w:szCs w:val="24"/>
        </w:rPr>
        <w:t>.</w:t>
      </w:r>
    </w:p>
    <w:p w14:paraId="7746ACEF" w14:textId="6D65320D" w:rsidR="00664FC8" w:rsidRDefault="00664FC8" w:rsidP="00006D82">
      <w:pPr>
        <w:spacing w:after="0"/>
        <w:jc w:val="both"/>
        <w:rPr>
          <w:rFonts w:ascii="Times New Roman" w:hAnsi="Times New Roman" w:cs="Times New Roman"/>
          <w:sz w:val="24"/>
          <w:szCs w:val="24"/>
        </w:rPr>
      </w:pPr>
    </w:p>
    <w:p w14:paraId="22E33680" w14:textId="77777777" w:rsidR="00891F7C" w:rsidRDefault="00664FC8" w:rsidP="00006D82">
      <w:pPr>
        <w:spacing w:after="0"/>
        <w:jc w:val="both"/>
        <w:rPr>
          <w:rFonts w:ascii="Times New Roman" w:hAnsi="Times New Roman" w:cs="Times New Roman"/>
          <w:sz w:val="24"/>
          <w:szCs w:val="24"/>
        </w:rPr>
      </w:pPr>
      <w:r>
        <w:rPr>
          <w:rFonts w:ascii="Times New Roman" w:hAnsi="Times New Roman" w:cs="Times New Roman"/>
          <w:sz w:val="24"/>
          <w:szCs w:val="24"/>
        </w:rPr>
        <w:t xml:space="preserve">Two conceptual problems </w:t>
      </w:r>
      <w:r w:rsidR="00A54782">
        <w:rPr>
          <w:rFonts w:ascii="Times New Roman" w:hAnsi="Times New Roman" w:cs="Times New Roman"/>
          <w:sz w:val="24"/>
          <w:szCs w:val="24"/>
        </w:rPr>
        <w:t xml:space="preserve">in this area of law once </w:t>
      </w:r>
      <w:r w:rsidR="00545CF7">
        <w:rPr>
          <w:rFonts w:ascii="Times New Roman" w:hAnsi="Times New Roman" w:cs="Times New Roman"/>
          <w:sz w:val="24"/>
          <w:szCs w:val="24"/>
        </w:rPr>
        <w:t xml:space="preserve">again </w:t>
      </w:r>
      <w:r>
        <w:rPr>
          <w:rFonts w:ascii="Times New Roman" w:hAnsi="Times New Roman" w:cs="Times New Roman"/>
          <w:sz w:val="24"/>
          <w:szCs w:val="24"/>
        </w:rPr>
        <w:t xml:space="preserve">present themselves in </w:t>
      </w:r>
      <w:r w:rsidR="00545CF7" w:rsidRPr="00DC204C">
        <w:rPr>
          <w:rFonts w:ascii="Times New Roman" w:hAnsi="Times New Roman" w:cs="Times New Roman"/>
          <w:i/>
          <w:iCs/>
          <w:sz w:val="24"/>
          <w:szCs w:val="24"/>
        </w:rPr>
        <w:t>Ramirez</w:t>
      </w:r>
      <w:r>
        <w:rPr>
          <w:rFonts w:ascii="Times New Roman" w:hAnsi="Times New Roman" w:cs="Times New Roman"/>
          <w:sz w:val="24"/>
          <w:szCs w:val="24"/>
        </w:rPr>
        <w:t xml:space="preserve">. First, it </w:t>
      </w:r>
      <w:r w:rsidR="007E4E2E">
        <w:rPr>
          <w:rFonts w:ascii="Times New Roman" w:hAnsi="Times New Roman" w:cs="Times New Roman"/>
          <w:sz w:val="24"/>
          <w:szCs w:val="24"/>
        </w:rPr>
        <w:t xml:space="preserve">continues to </w:t>
      </w:r>
      <w:r>
        <w:rPr>
          <w:rFonts w:ascii="Times New Roman" w:hAnsi="Times New Roman" w:cs="Times New Roman"/>
          <w:sz w:val="24"/>
          <w:szCs w:val="24"/>
        </w:rPr>
        <w:t xml:space="preserve">seem anomalous that an employer enjoys </w:t>
      </w:r>
      <w:r w:rsidRPr="00DC204C">
        <w:rPr>
          <w:rFonts w:ascii="Times New Roman" w:hAnsi="Times New Roman" w:cs="Times New Roman"/>
          <w:b/>
          <w:bCs/>
          <w:sz w:val="24"/>
          <w:szCs w:val="24"/>
        </w:rPr>
        <w:t>absolute</w:t>
      </w:r>
      <w:r>
        <w:rPr>
          <w:rFonts w:ascii="Times New Roman" w:hAnsi="Times New Roman" w:cs="Times New Roman"/>
          <w:sz w:val="24"/>
          <w:szCs w:val="24"/>
        </w:rPr>
        <w:t xml:space="preserve"> immunity</w:t>
      </w:r>
      <w:r w:rsidR="00337244">
        <w:rPr>
          <w:rFonts w:ascii="Times New Roman" w:hAnsi="Times New Roman" w:cs="Times New Roman"/>
          <w:sz w:val="24"/>
          <w:szCs w:val="24"/>
        </w:rPr>
        <w:t xml:space="preserve"> from tort liability</w:t>
      </w:r>
      <w:r>
        <w:rPr>
          <w:rFonts w:ascii="Times New Roman" w:hAnsi="Times New Roman" w:cs="Times New Roman"/>
          <w:sz w:val="24"/>
          <w:szCs w:val="24"/>
        </w:rPr>
        <w:t xml:space="preserve"> (</w:t>
      </w:r>
      <w:r w:rsidRPr="00DC204C">
        <w:rPr>
          <w:rFonts w:ascii="Times New Roman" w:hAnsi="Times New Roman" w:cs="Times New Roman"/>
          <w:i/>
          <w:iCs/>
          <w:sz w:val="24"/>
          <w:szCs w:val="24"/>
        </w:rPr>
        <w:t xml:space="preserve">see </w:t>
      </w:r>
      <w:r>
        <w:rPr>
          <w:rFonts w:ascii="Times New Roman" w:hAnsi="Times New Roman" w:cs="Times New Roman"/>
          <w:sz w:val="24"/>
          <w:szCs w:val="24"/>
        </w:rPr>
        <w:t>Section 1.6 above)</w:t>
      </w:r>
      <w:r w:rsidR="00337244">
        <w:rPr>
          <w:rFonts w:ascii="Times New Roman" w:hAnsi="Times New Roman" w:cs="Times New Roman"/>
          <w:sz w:val="24"/>
          <w:szCs w:val="24"/>
        </w:rPr>
        <w:t xml:space="preserve"> while a</w:t>
      </w:r>
      <w:r w:rsidR="00A54782">
        <w:rPr>
          <w:rFonts w:ascii="Times New Roman" w:hAnsi="Times New Roman" w:cs="Times New Roman"/>
          <w:sz w:val="24"/>
          <w:szCs w:val="24"/>
        </w:rPr>
        <w:t xml:space="preserve"> co-</w:t>
      </w:r>
      <w:r w:rsidR="00337244">
        <w:rPr>
          <w:rFonts w:ascii="Times New Roman" w:hAnsi="Times New Roman" w:cs="Times New Roman"/>
          <w:sz w:val="24"/>
          <w:szCs w:val="24"/>
        </w:rPr>
        <w:t>employee’s</w:t>
      </w:r>
      <w:r w:rsidR="00545CF7">
        <w:rPr>
          <w:rFonts w:ascii="Times New Roman" w:hAnsi="Times New Roman" w:cs="Times New Roman"/>
          <w:sz w:val="24"/>
          <w:szCs w:val="24"/>
        </w:rPr>
        <w:t xml:space="preserve"> immunity is </w:t>
      </w:r>
      <w:r w:rsidR="00545CF7" w:rsidRPr="00DC204C">
        <w:rPr>
          <w:rFonts w:ascii="Times New Roman" w:hAnsi="Times New Roman" w:cs="Times New Roman"/>
          <w:b/>
          <w:bCs/>
          <w:sz w:val="24"/>
          <w:szCs w:val="24"/>
        </w:rPr>
        <w:t>qualified</w:t>
      </w:r>
      <w:r w:rsidR="00545CF7">
        <w:rPr>
          <w:rFonts w:ascii="Times New Roman" w:hAnsi="Times New Roman" w:cs="Times New Roman"/>
          <w:sz w:val="24"/>
          <w:szCs w:val="24"/>
        </w:rPr>
        <w:t>. Typically</w:t>
      </w:r>
      <w:r w:rsidR="007E4E2E">
        <w:rPr>
          <w:rFonts w:ascii="Times New Roman" w:hAnsi="Times New Roman" w:cs="Times New Roman"/>
          <w:sz w:val="24"/>
          <w:szCs w:val="24"/>
        </w:rPr>
        <w:t xml:space="preserve"> </w:t>
      </w:r>
      <w:r w:rsidR="00545CF7">
        <w:rPr>
          <w:rFonts w:ascii="Times New Roman" w:hAnsi="Times New Roman" w:cs="Times New Roman"/>
          <w:sz w:val="24"/>
          <w:szCs w:val="24"/>
        </w:rPr>
        <w:t>in</w:t>
      </w:r>
      <w:r w:rsidR="007E4E2E">
        <w:rPr>
          <w:rFonts w:ascii="Times New Roman" w:hAnsi="Times New Roman" w:cs="Times New Roman"/>
          <w:sz w:val="24"/>
          <w:szCs w:val="24"/>
        </w:rPr>
        <w:t xml:space="preserve"> </w:t>
      </w:r>
      <w:r w:rsidR="00545CF7">
        <w:rPr>
          <w:rFonts w:ascii="Times New Roman" w:hAnsi="Times New Roman" w:cs="Times New Roman"/>
          <w:sz w:val="24"/>
          <w:szCs w:val="24"/>
        </w:rPr>
        <w:t>workers’ compensation law</w:t>
      </w:r>
      <w:r w:rsidR="007E4E2E">
        <w:rPr>
          <w:rFonts w:ascii="Times New Roman" w:hAnsi="Times New Roman" w:cs="Times New Roman"/>
          <w:sz w:val="24"/>
          <w:szCs w:val="24"/>
        </w:rPr>
        <w:t>,</w:t>
      </w:r>
      <w:r w:rsidR="00545CF7">
        <w:rPr>
          <w:rFonts w:ascii="Times New Roman" w:hAnsi="Times New Roman" w:cs="Times New Roman"/>
          <w:sz w:val="24"/>
          <w:szCs w:val="24"/>
        </w:rPr>
        <w:t xml:space="preserve"> qualified </w:t>
      </w:r>
      <w:r w:rsidR="00545CF7">
        <w:rPr>
          <w:rFonts w:ascii="Times New Roman" w:hAnsi="Times New Roman" w:cs="Times New Roman"/>
          <w:sz w:val="24"/>
          <w:szCs w:val="24"/>
        </w:rPr>
        <w:lastRenderedPageBreak/>
        <w:t xml:space="preserve">immunity is symmetrical: </w:t>
      </w:r>
      <w:r w:rsidR="00545CF7" w:rsidRPr="00DC204C">
        <w:rPr>
          <w:rFonts w:ascii="Times New Roman" w:hAnsi="Times New Roman" w:cs="Times New Roman"/>
          <w:i/>
          <w:iCs/>
          <w:sz w:val="24"/>
          <w:szCs w:val="24"/>
        </w:rPr>
        <w:t>either</w:t>
      </w:r>
      <w:r w:rsidR="00545CF7">
        <w:rPr>
          <w:rFonts w:ascii="Times New Roman" w:hAnsi="Times New Roman" w:cs="Times New Roman"/>
          <w:sz w:val="24"/>
          <w:szCs w:val="24"/>
        </w:rPr>
        <w:t xml:space="preserve"> employer or employee may lose immunity if something akin to culpably negligent conduct</w:t>
      </w:r>
      <w:r w:rsidR="00152B5C">
        <w:rPr>
          <w:rFonts w:ascii="Times New Roman" w:hAnsi="Times New Roman" w:cs="Times New Roman"/>
          <w:sz w:val="24"/>
          <w:szCs w:val="24"/>
        </w:rPr>
        <w:t xml:space="preserve"> is present</w:t>
      </w:r>
      <w:r w:rsidR="00545CF7">
        <w:rPr>
          <w:rFonts w:ascii="Times New Roman" w:hAnsi="Times New Roman" w:cs="Times New Roman"/>
          <w:sz w:val="24"/>
          <w:szCs w:val="24"/>
        </w:rPr>
        <w:t>.</w:t>
      </w:r>
      <w:r w:rsidR="00BA47B8">
        <w:rPr>
          <w:rStyle w:val="FootnoteReference"/>
          <w:rFonts w:ascii="Times New Roman" w:hAnsi="Times New Roman" w:cs="Times New Roman"/>
          <w:sz w:val="24"/>
          <w:szCs w:val="24"/>
        </w:rPr>
        <w:footnoteReference w:id="75"/>
      </w:r>
      <w:r w:rsidR="00545CF7">
        <w:rPr>
          <w:rFonts w:ascii="Times New Roman" w:hAnsi="Times New Roman" w:cs="Times New Roman"/>
          <w:sz w:val="24"/>
          <w:szCs w:val="24"/>
        </w:rPr>
        <w:t xml:space="preserve"> </w:t>
      </w:r>
    </w:p>
    <w:p w14:paraId="22A09B41" w14:textId="77777777" w:rsidR="00891F7C" w:rsidRDefault="00891F7C" w:rsidP="00006D82">
      <w:pPr>
        <w:spacing w:after="0"/>
        <w:jc w:val="both"/>
        <w:rPr>
          <w:rFonts w:ascii="Times New Roman" w:hAnsi="Times New Roman" w:cs="Times New Roman"/>
          <w:sz w:val="24"/>
          <w:szCs w:val="24"/>
        </w:rPr>
      </w:pPr>
    </w:p>
    <w:p w14:paraId="5E3E05D8" w14:textId="01AE9BEE" w:rsidR="00664FC8" w:rsidRDefault="00073E88" w:rsidP="00006D82">
      <w:pPr>
        <w:spacing w:after="0"/>
        <w:jc w:val="both"/>
        <w:rPr>
          <w:rFonts w:ascii="Times New Roman" w:hAnsi="Times New Roman" w:cs="Times New Roman"/>
          <w:sz w:val="24"/>
          <w:szCs w:val="24"/>
        </w:rPr>
      </w:pPr>
      <w:r>
        <w:rPr>
          <w:rFonts w:ascii="Times New Roman" w:hAnsi="Times New Roman" w:cs="Times New Roman"/>
          <w:sz w:val="24"/>
          <w:szCs w:val="24"/>
        </w:rPr>
        <w:t>Second, while it i</w:t>
      </w:r>
      <w:r w:rsidR="007E4E2E">
        <w:rPr>
          <w:rFonts w:ascii="Times New Roman" w:hAnsi="Times New Roman" w:cs="Times New Roman"/>
          <w:sz w:val="24"/>
          <w:szCs w:val="24"/>
        </w:rPr>
        <w:t>s standard practice</w:t>
      </w:r>
      <w:r>
        <w:rPr>
          <w:rFonts w:ascii="Times New Roman" w:hAnsi="Times New Roman" w:cs="Times New Roman"/>
          <w:sz w:val="24"/>
          <w:szCs w:val="24"/>
        </w:rPr>
        <w:t xml:space="preserve"> for states to significantly limit co-employee </w:t>
      </w:r>
      <w:r w:rsidR="00FA1A98">
        <w:rPr>
          <w:rFonts w:ascii="Times New Roman" w:hAnsi="Times New Roman" w:cs="Times New Roman"/>
          <w:sz w:val="24"/>
          <w:szCs w:val="24"/>
        </w:rPr>
        <w:t xml:space="preserve">workplace injury </w:t>
      </w:r>
      <w:r>
        <w:rPr>
          <w:rFonts w:ascii="Times New Roman" w:hAnsi="Times New Roman" w:cs="Times New Roman"/>
          <w:sz w:val="24"/>
          <w:szCs w:val="24"/>
        </w:rPr>
        <w:t>liability as a matter of general policy</w:t>
      </w:r>
      <w:r w:rsidR="007E4E2E">
        <w:rPr>
          <w:rFonts w:ascii="Times New Roman" w:hAnsi="Times New Roman" w:cs="Times New Roman"/>
          <w:sz w:val="24"/>
          <w:szCs w:val="24"/>
        </w:rPr>
        <w:t>,</w:t>
      </w:r>
      <w:r>
        <w:rPr>
          <w:rFonts w:ascii="Times New Roman" w:hAnsi="Times New Roman" w:cs="Times New Roman"/>
          <w:sz w:val="24"/>
          <w:szCs w:val="24"/>
        </w:rPr>
        <w:t xml:space="preserve"> grounded in an alleged original understanding of the “Grand Bargain,” </w:t>
      </w:r>
      <w:r w:rsidR="000E4E42">
        <w:rPr>
          <w:rFonts w:ascii="Times New Roman" w:hAnsi="Times New Roman" w:cs="Times New Roman"/>
          <w:sz w:val="24"/>
          <w:szCs w:val="24"/>
        </w:rPr>
        <w:t>few if any</w:t>
      </w:r>
      <w:r>
        <w:rPr>
          <w:rFonts w:ascii="Times New Roman" w:hAnsi="Times New Roman" w:cs="Times New Roman"/>
          <w:sz w:val="24"/>
          <w:szCs w:val="24"/>
        </w:rPr>
        <w:t xml:space="preserve"> of those states contain state Constitutional provisions analogous to Article 10, Section 4 of the Wyoming Constitution</w:t>
      </w:r>
      <w:r w:rsidR="000E4E42">
        <w:rPr>
          <w:rFonts w:ascii="Times New Roman" w:hAnsi="Times New Roman" w:cs="Times New Roman"/>
          <w:sz w:val="24"/>
          <w:szCs w:val="24"/>
        </w:rPr>
        <w:t xml:space="preserve">. As discussed previously that provision </w:t>
      </w:r>
      <w:r>
        <w:rPr>
          <w:rFonts w:ascii="Times New Roman" w:hAnsi="Times New Roman" w:cs="Times New Roman"/>
          <w:sz w:val="24"/>
          <w:szCs w:val="24"/>
        </w:rPr>
        <w:t>describes</w:t>
      </w:r>
      <w:r w:rsidR="000E4E42">
        <w:rPr>
          <w:rFonts w:ascii="Times New Roman" w:hAnsi="Times New Roman" w:cs="Times New Roman"/>
          <w:sz w:val="24"/>
          <w:szCs w:val="24"/>
        </w:rPr>
        <w:t xml:space="preserve"> with precision </w:t>
      </w:r>
      <w:r>
        <w:rPr>
          <w:rFonts w:ascii="Times New Roman" w:hAnsi="Times New Roman" w:cs="Times New Roman"/>
          <w:sz w:val="24"/>
          <w:szCs w:val="24"/>
        </w:rPr>
        <w:t>which persons</w:t>
      </w:r>
      <w:r w:rsidR="007E4E2E">
        <w:rPr>
          <w:rFonts w:ascii="Times New Roman" w:hAnsi="Times New Roman" w:cs="Times New Roman"/>
          <w:sz w:val="24"/>
          <w:szCs w:val="24"/>
        </w:rPr>
        <w:t xml:space="preserve">’ </w:t>
      </w:r>
      <w:r w:rsidR="000E4E42">
        <w:rPr>
          <w:rFonts w:ascii="Times New Roman" w:hAnsi="Times New Roman" w:cs="Times New Roman"/>
          <w:sz w:val="24"/>
          <w:szCs w:val="24"/>
        </w:rPr>
        <w:t xml:space="preserve">tort </w:t>
      </w:r>
      <w:r w:rsidR="007E4E2E">
        <w:rPr>
          <w:rFonts w:ascii="Times New Roman" w:hAnsi="Times New Roman" w:cs="Times New Roman"/>
          <w:sz w:val="24"/>
          <w:szCs w:val="24"/>
        </w:rPr>
        <w:t>damages</w:t>
      </w:r>
      <w:r w:rsidR="000E4E42">
        <w:rPr>
          <w:rFonts w:ascii="Times New Roman" w:hAnsi="Times New Roman" w:cs="Times New Roman"/>
          <w:sz w:val="24"/>
          <w:szCs w:val="24"/>
        </w:rPr>
        <w:t xml:space="preserve"> </w:t>
      </w:r>
      <w:r w:rsidR="007E4E2E">
        <w:rPr>
          <w:rFonts w:ascii="Times New Roman" w:hAnsi="Times New Roman" w:cs="Times New Roman"/>
          <w:sz w:val="24"/>
          <w:szCs w:val="24"/>
        </w:rPr>
        <w:t xml:space="preserve">may be diminished. One wonders if Wyoming’s effectively lowering the threshold of co-employee immunity from </w:t>
      </w:r>
      <w:r w:rsidR="000E4E42">
        <w:rPr>
          <w:rFonts w:ascii="Times New Roman" w:hAnsi="Times New Roman" w:cs="Times New Roman"/>
          <w:sz w:val="24"/>
          <w:szCs w:val="24"/>
        </w:rPr>
        <w:t>“</w:t>
      </w:r>
      <w:r w:rsidR="007E4E2E">
        <w:rPr>
          <w:rFonts w:ascii="Times New Roman" w:hAnsi="Times New Roman" w:cs="Times New Roman"/>
          <w:sz w:val="24"/>
          <w:szCs w:val="24"/>
        </w:rPr>
        <w:t>intentional</w:t>
      </w:r>
      <w:r w:rsidR="000E4E42">
        <w:rPr>
          <w:rFonts w:ascii="Times New Roman" w:hAnsi="Times New Roman" w:cs="Times New Roman"/>
          <w:sz w:val="24"/>
          <w:szCs w:val="24"/>
        </w:rPr>
        <w:t>”</w:t>
      </w:r>
      <w:r w:rsidR="007E4E2E">
        <w:rPr>
          <w:rFonts w:ascii="Times New Roman" w:hAnsi="Times New Roman" w:cs="Times New Roman"/>
          <w:sz w:val="24"/>
          <w:szCs w:val="24"/>
        </w:rPr>
        <w:t xml:space="preserve"> to </w:t>
      </w:r>
      <w:r w:rsidR="000E4E42">
        <w:rPr>
          <w:rFonts w:ascii="Times New Roman" w:hAnsi="Times New Roman" w:cs="Times New Roman"/>
          <w:sz w:val="24"/>
          <w:szCs w:val="24"/>
        </w:rPr>
        <w:t>“</w:t>
      </w:r>
      <w:r w:rsidR="007E4E2E">
        <w:rPr>
          <w:rFonts w:ascii="Times New Roman" w:hAnsi="Times New Roman" w:cs="Times New Roman"/>
          <w:sz w:val="24"/>
          <w:szCs w:val="24"/>
        </w:rPr>
        <w:t>culpably negligent</w:t>
      </w:r>
      <w:r w:rsidR="000E4E42">
        <w:rPr>
          <w:rFonts w:ascii="Times New Roman" w:hAnsi="Times New Roman" w:cs="Times New Roman"/>
          <w:sz w:val="24"/>
          <w:szCs w:val="24"/>
        </w:rPr>
        <w:t>”</w:t>
      </w:r>
      <w:r w:rsidR="007E4E2E">
        <w:rPr>
          <w:rFonts w:ascii="Times New Roman" w:hAnsi="Times New Roman" w:cs="Times New Roman"/>
          <w:sz w:val="24"/>
          <w:szCs w:val="24"/>
        </w:rPr>
        <w:t xml:space="preserve"> conduct</w:t>
      </w:r>
      <w:r w:rsidR="000E4E42">
        <w:rPr>
          <w:rFonts w:ascii="Times New Roman" w:hAnsi="Times New Roman" w:cs="Times New Roman"/>
          <w:sz w:val="24"/>
          <w:szCs w:val="24"/>
        </w:rPr>
        <w:t xml:space="preserve"> has something to do with the thin state constitutional justification for limiting co-employee damage suits at all (it is very difficult to see Mitchell’s conduct in </w:t>
      </w:r>
      <w:r w:rsidR="000E4E42" w:rsidRPr="00DC204C">
        <w:rPr>
          <w:rFonts w:ascii="Times New Roman" w:hAnsi="Times New Roman" w:cs="Times New Roman"/>
          <w:i/>
          <w:iCs/>
          <w:sz w:val="24"/>
          <w:szCs w:val="24"/>
        </w:rPr>
        <w:t>Ramirez</w:t>
      </w:r>
      <w:r w:rsidR="000E4E42">
        <w:rPr>
          <w:rFonts w:ascii="Times New Roman" w:hAnsi="Times New Roman" w:cs="Times New Roman"/>
          <w:sz w:val="24"/>
          <w:szCs w:val="24"/>
        </w:rPr>
        <w:t xml:space="preserve"> as “purposeful” or as evincing a desire to injure the claimant</w:t>
      </w:r>
      <w:r w:rsidR="000846C9">
        <w:rPr>
          <w:rFonts w:ascii="Times New Roman" w:hAnsi="Times New Roman" w:cs="Times New Roman"/>
          <w:sz w:val="24"/>
          <w:szCs w:val="24"/>
        </w:rPr>
        <w:t>)</w:t>
      </w:r>
      <w:r>
        <w:rPr>
          <w:rFonts w:ascii="Times New Roman" w:hAnsi="Times New Roman" w:cs="Times New Roman"/>
          <w:sz w:val="24"/>
          <w:szCs w:val="24"/>
        </w:rPr>
        <w:t xml:space="preserve">. </w:t>
      </w:r>
      <w:r w:rsidR="00A54782">
        <w:rPr>
          <w:rFonts w:ascii="Times New Roman" w:hAnsi="Times New Roman" w:cs="Times New Roman"/>
          <w:sz w:val="24"/>
          <w:szCs w:val="24"/>
        </w:rPr>
        <w:t>Mitchell’s omissions probably could be found “willful and wanton” given that phrase’s capacious rendering under Wyoming law</w:t>
      </w:r>
      <w:r w:rsidR="00152B5C">
        <w:rPr>
          <w:rFonts w:ascii="Times New Roman" w:hAnsi="Times New Roman" w:cs="Times New Roman"/>
          <w:sz w:val="24"/>
          <w:szCs w:val="24"/>
        </w:rPr>
        <w:t>,</w:t>
      </w:r>
      <w:r w:rsidR="00A54782">
        <w:rPr>
          <w:rFonts w:ascii="Times New Roman" w:hAnsi="Times New Roman" w:cs="Times New Roman"/>
          <w:sz w:val="24"/>
          <w:szCs w:val="24"/>
        </w:rPr>
        <w:t xml:space="preserve"> as explained earlier in this section. But the policy of the capaciousness of the phrase is essentially what has been under discussion here.  </w:t>
      </w:r>
      <w:r w:rsidR="00337244">
        <w:rPr>
          <w:rFonts w:ascii="Times New Roman" w:hAnsi="Times New Roman" w:cs="Times New Roman"/>
          <w:sz w:val="24"/>
          <w:szCs w:val="24"/>
        </w:rPr>
        <w:t xml:space="preserve"> </w:t>
      </w:r>
    </w:p>
    <w:p w14:paraId="53D35F99" w14:textId="77777777" w:rsidR="00664FC8" w:rsidRDefault="00664FC8" w:rsidP="00006D82">
      <w:pPr>
        <w:spacing w:after="0"/>
        <w:jc w:val="both"/>
        <w:rPr>
          <w:rFonts w:ascii="Times New Roman" w:hAnsi="Times New Roman" w:cs="Times New Roman"/>
          <w:sz w:val="24"/>
          <w:szCs w:val="24"/>
        </w:rPr>
      </w:pPr>
    </w:p>
    <w:p w14:paraId="4256DD2E" w14:textId="6EAF3D66" w:rsidR="00FF7482" w:rsidRPr="009103F8" w:rsidRDefault="00FF7482" w:rsidP="00006D82">
      <w:pPr>
        <w:spacing w:after="0"/>
        <w:jc w:val="both"/>
      </w:pPr>
      <w:r w:rsidRPr="009103F8">
        <w:br w:type="page"/>
      </w:r>
    </w:p>
    <w:p w14:paraId="653E8F11" w14:textId="558058F0" w:rsidR="00FF7482" w:rsidRPr="00CA6C8C" w:rsidRDefault="00FF7482" w:rsidP="004E763C">
      <w:pPr>
        <w:pStyle w:val="Heading1"/>
        <w:numPr>
          <w:ilvl w:val="0"/>
          <w:numId w:val="3"/>
        </w:numPr>
        <w:rPr>
          <w:rFonts w:ascii="Times New Roman" w:hAnsi="Times New Roman" w:cs="Times New Roman"/>
          <w:b/>
          <w:color w:val="auto"/>
        </w:rPr>
      </w:pPr>
      <w:bookmarkStart w:id="91" w:name="_Toc75269343"/>
      <w:r w:rsidRPr="00CA6C8C">
        <w:rPr>
          <w:rFonts w:ascii="Times New Roman" w:hAnsi="Times New Roman" w:cs="Times New Roman"/>
          <w:b/>
          <w:color w:val="auto"/>
        </w:rPr>
        <w:lastRenderedPageBreak/>
        <w:t>PERSONS COVERED BY THE WYOMING WORKERS’ COMPENSATION ACT</w:t>
      </w:r>
      <w:bookmarkEnd w:id="91"/>
    </w:p>
    <w:p w14:paraId="3ACF8FDB" w14:textId="77777777" w:rsidR="00FF7482" w:rsidRPr="008B479F" w:rsidRDefault="00FF7482" w:rsidP="00FE123E">
      <w:pPr>
        <w:spacing w:after="0"/>
      </w:pPr>
    </w:p>
    <w:p w14:paraId="524253C9" w14:textId="072D3718" w:rsidR="00FF7482" w:rsidRDefault="00FF7482" w:rsidP="004E763C">
      <w:pPr>
        <w:spacing w:after="0"/>
        <w:jc w:val="both"/>
        <w:rPr>
          <w:rFonts w:ascii="Times New Roman" w:hAnsi="Times New Roman" w:cs="Times New Roman"/>
          <w:sz w:val="24"/>
          <w:szCs w:val="24"/>
        </w:rPr>
      </w:pPr>
      <w:r>
        <w:rPr>
          <w:rFonts w:ascii="Times New Roman" w:hAnsi="Times New Roman" w:cs="Times New Roman"/>
          <w:sz w:val="24"/>
          <w:szCs w:val="24"/>
        </w:rPr>
        <w:t xml:space="preserve">Workers’ compensation statutes are of specified jurisdiction. They apply to specific </w:t>
      </w:r>
      <w:r w:rsidRPr="001F0F78">
        <w:rPr>
          <w:rFonts w:ascii="Times New Roman" w:hAnsi="Times New Roman" w:cs="Times New Roman"/>
          <w:i/>
          <w:sz w:val="24"/>
          <w:szCs w:val="24"/>
        </w:rPr>
        <w:t>persons</w:t>
      </w:r>
      <w:r>
        <w:rPr>
          <w:rFonts w:ascii="Times New Roman" w:hAnsi="Times New Roman" w:cs="Times New Roman"/>
          <w:sz w:val="24"/>
          <w:szCs w:val="24"/>
        </w:rPr>
        <w:t xml:space="preserve"> (</w:t>
      </w:r>
      <w:r w:rsidRPr="001F0F78">
        <w:rPr>
          <w:rFonts w:ascii="Times New Roman" w:hAnsi="Times New Roman" w:cs="Times New Roman"/>
          <w:i/>
          <w:sz w:val="24"/>
          <w:szCs w:val="24"/>
        </w:rPr>
        <w:t>employees</w:t>
      </w:r>
      <w:r>
        <w:rPr>
          <w:rFonts w:ascii="Times New Roman" w:hAnsi="Times New Roman" w:cs="Times New Roman"/>
          <w:sz w:val="24"/>
          <w:szCs w:val="24"/>
        </w:rPr>
        <w:t xml:space="preserve"> and </w:t>
      </w:r>
      <w:r w:rsidRPr="001F0F78">
        <w:rPr>
          <w:rFonts w:ascii="Times New Roman" w:hAnsi="Times New Roman" w:cs="Times New Roman"/>
          <w:i/>
          <w:sz w:val="24"/>
          <w:szCs w:val="24"/>
        </w:rPr>
        <w:t>employers</w:t>
      </w:r>
      <w:r>
        <w:rPr>
          <w:rFonts w:ascii="Times New Roman" w:hAnsi="Times New Roman" w:cs="Times New Roman"/>
          <w:sz w:val="24"/>
          <w:szCs w:val="24"/>
        </w:rPr>
        <w:t xml:space="preserve"> as statutorily defined) within specific “polities.” Each </w:t>
      </w:r>
      <w:r w:rsidRPr="00325921">
        <w:rPr>
          <w:rFonts w:ascii="Times New Roman" w:hAnsi="Times New Roman" w:cs="Times New Roman"/>
          <w:i/>
          <w:sz w:val="24"/>
          <w:szCs w:val="24"/>
        </w:rPr>
        <w:t>state</w:t>
      </w:r>
      <w:r>
        <w:rPr>
          <w:rFonts w:ascii="Times New Roman" w:hAnsi="Times New Roman" w:cs="Times New Roman"/>
          <w:sz w:val="24"/>
          <w:szCs w:val="24"/>
        </w:rPr>
        <w:t xml:space="preserve"> has a workers’ compensation system as does the District of Columbia. Separate workers’ compensation systems apply to </w:t>
      </w:r>
      <w:r w:rsidRPr="00325921">
        <w:rPr>
          <w:rFonts w:ascii="Times New Roman" w:hAnsi="Times New Roman" w:cs="Times New Roman"/>
          <w:i/>
          <w:sz w:val="24"/>
          <w:szCs w:val="24"/>
        </w:rPr>
        <w:t>federal</w:t>
      </w:r>
      <w:r>
        <w:rPr>
          <w:rFonts w:ascii="Times New Roman" w:hAnsi="Times New Roman" w:cs="Times New Roman"/>
          <w:sz w:val="24"/>
          <w:szCs w:val="24"/>
        </w:rPr>
        <w:t xml:space="preserve"> employers and employees, and to Longshore and Harbor Workers,</w:t>
      </w:r>
      <w:r w:rsidRPr="00112C9C">
        <w:rPr>
          <w:rFonts w:ascii="Times New Roman" w:hAnsi="Times New Roman" w:cs="Times New Roman"/>
          <w:sz w:val="24"/>
          <w:szCs w:val="24"/>
          <w:vertAlign w:val="superscript"/>
        </w:rPr>
        <w:footnoteReference w:id="76"/>
      </w:r>
      <w:r>
        <w:rPr>
          <w:rFonts w:ascii="Times New Roman" w:hAnsi="Times New Roman" w:cs="Times New Roman"/>
          <w:sz w:val="24"/>
          <w:szCs w:val="24"/>
        </w:rPr>
        <w:t xml:space="preserve"> and to maritime sailors under </w:t>
      </w:r>
      <w:r w:rsidRPr="00325921">
        <w:rPr>
          <w:rFonts w:ascii="Times New Roman" w:hAnsi="Times New Roman" w:cs="Times New Roman"/>
          <w:i/>
          <w:sz w:val="24"/>
          <w:szCs w:val="24"/>
        </w:rPr>
        <w:t>federal</w:t>
      </w:r>
      <w:r>
        <w:rPr>
          <w:rFonts w:ascii="Times New Roman" w:hAnsi="Times New Roman" w:cs="Times New Roman"/>
          <w:sz w:val="24"/>
          <w:szCs w:val="24"/>
        </w:rPr>
        <w:t xml:space="preserve"> statutes.</w:t>
      </w:r>
      <w:r w:rsidRPr="00112C9C">
        <w:rPr>
          <w:rFonts w:ascii="Times New Roman" w:hAnsi="Times New Roman" w:cs="Times New Roman"/>
          <w:sz w:val="24"/>
          <w:szCs w:val="24"/>
          <w:vertAlign w:val="superscript"/>
        </w:rPr>
        <w:footnoteReference w:id="77"/>
      </w:r>
      <w:r>
        <w:rPr>
          <w:rFonts w:ascii="Times New Roman" w:hAnsi="Times New Roman" w:cs="Times New Roman"/>
          <w:sz w:val="24"/>
          <w:szCs w:val="24"/>
        </w:rPr>
        <w:t xml:space="preserve"> Accordingly, when discussing differences between workers’ compensation laws</w:t>
      </w:r>
      <w:r w:rsidR="00EC4180">
        <w:rPr>
          <w:rFonts w:ascii="Times New Roman" w:hAnsi="Times New Roman" w:cs="Times New Roman"/>
          <w:sz w:val="24"/>
          <w:szCs w:val="24"/>
        </w:rPr>
        <w:t>,</w:t>
      </w:r>
      <w:r>
        <w:rPr>
          <w:rFonts w:ascii="Times New Roman" w:hAnsi="Times New Roman" w:cs="Times New Roman"/>
          <w:sz w:val="24"/>
          <w:szCs w:val="24"/>
        </w:rPr>
        <w:t xml:space="preserve"> it is probably most precise to say that “jurisdictions” differ (or are similar) rather than to limit comparisons to those between </w:t>
      </w:r>
      <w:r w:rsidRPr="00553F78">
        <w:rPr>
          <w:rFonts w:ascii="Times New Roman" w:hAnsi="Times New Roman" w:cs="Times New Roman"/>
          <w:i/>
          <w:iCs/>
          <w:sz w:val="24"/>
          <w:szCs w:val="24"/>
        </w:rPr>
        <w:t>states</w:t>
      </w:r>
      <w:r>
        <w:rPr>
          <w:rFonts w:ascii="Times New Roman" w:hAnsi="Times New Roman" w:cs="Times New Roman"/>
          <w:sz w:val="24"/>
          <w:szCs w:val="24"/>
        </w:rPr>
        <w:t>.</w:t>
      </w:r>
    </w:p>
    <w:p w14:paraId="258B0098" w14:textId="77777777" w:rsidR="00FF7482" w:rsidRPr="003D2F20" w:rsidRDefault="00FF7482" w:rsidP="004E763C">
      <w:pPr>
        <w:spacing w:after="0"/>
        <w:jc w:val="both"/>
        <w:rPr>
          <w:rFonts w:ascii="Times New Roman" w:hAnsi="Times New Roman" w:cs="Times New Roman"/>
          <w:sz w:val="24"/>
          <w:szCs w:val="24"/>
        </w:rPr>
      </w:pPr>
    </w:p>
    <w:p w14:paraId="2C036215" w14:textId="0BECE4A4" w:rsidR="00FF7482" w:rsidRPr="008B479F" w:rsidRDefault="00FF7482" w:rsidP="00C15726">
      <w:pPr>
        <w:pStyle w:val="Heading2"/>
        <w:rPr>
          <w:rFonts w:ascii="Times New Roman" w:hAnsi="Times New Roman" w:cs="Times New Roman"/>
          <w:b/>
          <w:color w:val="auto"/>
        </w:rPr>
      </w:pPr>
      <w:bookmarkStart w:id="94" w:name="_Toc75269344"/>
      <w:r w:rsidRPr="008B479F">
        <w:rPr>
          <w:rFonts w:ascii="Times New Roman" w:hAnsi="Times New Roman" w:cs="Times New Roman"/>
          <w:b/>
          <w:color w:val="auto"/>
        </w:rPr>
        <w:t>Who is an Employee?</w:t>
      </w:r>
      <w:bookmarkEnd w:id="94"/>
    </w:p>
    <w:p w14:paraId="5D041C33" w14:textId="77777777" w:rsidR="00FF7482" w:rsidRPr="008B479F" w:rsidRDefault="00FF7482" w:rsidP="006A3226">
      <w:pPr>
        <w:spacing w:after="0"/>
      </w:pPr>
    </w:p>
    <w:p w14:paraId="0830B890" w14:textId="19DD3BD7" w:rsidR="00C15726"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 xml:space="preserve">The common law customarily provided a very generic definition of employee. For example, </w:t>
      </w:r>
      <w:r w:rsidRPr="003162E1">
        <w:rPr>
          <w:rFonts w:ascii="Times New Roman" w:hAnsi="Times New Roman" w:cs="Times New Roman"/>
          <w:i/>
          <w:iCs/>
          <w:sz w:val="24"/>
          <w:szCs w:val="24"/>
        </w:rPr>
        <w:t>Black’s Law Dictionary</w:t>
      </w:r>
      <w:r>
        <w:rPr>
          <w:rFonts w:ascii="Times New Roman" w:hAnsi="Times New Roman" w:cs="Times New Roman"/>
          <w:sz w:val="24"/>
          <w:szCs w:val="24"/>
        </w:rPr>
        <w:t xml:space="preserve"> supplies an 1822 definition of employee as, “</w:t>
      </w:r>
      <w:r w:rsidRPr="000547E5">
        <w:rPr>
          <w:rFonts w:ascii="Times New Roman" w:hAnsi="Times New Roman" w:cs="Times New Roman"/>
          <w:sz w:val="24"/>
          <w:szCs w:val="24"/>
        </w:rPr>
        <w:t>Someone who works in the service of another person (the employer) under an express or implied contract of hire, under which the employer has the right to control the details of work performance.</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78"/>
      </w:r>
      <w:r>
        <w:rPr>
          <w:rFonts w:ascii="Times New Roman" w:hAnsi="Times New Roman" w:cs="Times New Roman"/>
          <w:sz w:val="24"/>
          <w:szCs w:val="24"/>
        </w:rPr>
        <w:t xml:space="preserve"> The definition usually assumes its greatest practical importance when there is a question as to whether an injured worker is an “employee” (workers’ compensation applies) or an “independent contractor” (workers’ compensation does not apply).</w:t>
      </w:r>
    </w:p>
    <w:p w14:paraId="39614FA7" w14:textId="77777777" w:rsidR="00C15726" w:rsidRDefault="00C15726" w:rsidP="00C15726">
      <w:pPr>
        <w:spacing w:after="0"/>
        <w:jc w:val="both"/>
        <w:rPr>
          <w:rFonts w:ascii="Times New Roman" w:hAnsi="Times New Roman" w:cs="Times New Roman"/>
          <w:sz w:val="24"/>
          <w:szCs w:val="24"/>
        </w:rPr>
      </w:pPr>
    </w:p>
    <w:p w14:paraId="176F212E" w14:textId="50251346" w:rsidR="00FF7482"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Throughout the ensuing discussion it will be important to bear in mind that states sometimes retain multiple definitions of “employee” depending on the state employment statute in question. For example, an individual may be an “employee” for purposes of unemployment compensation but not be an employee for purposes of workers’ compensation.</w:t>
      </w:r>
    </w:p>
    <w:p w14:paraId="26F3EBF9" w14:textId="77777777" w:rsidR="00FF7482" w:rsidRDefault="00FF7482" w:rsidP="006A3226">
      <w:pPr>
        <w:spacing w:after="0"/>
        <w:jc w:val="both"/>
        <w:rPr>
          <w:rFonts w:ascii="Times New Roman" w:hAnsi="Times New Roman" w:cs="Times New Roman"/>
          <w:sz w:val="24"/>
          <w:szCs w:val="24"/>
        </w:rPr>
      </w:pPr>
    </w:p>
    <w:p w14:paraId="570730C8" w14:textId="6197F026" w:rsidR="00FF7482" w:rsidRPr="008B479F" w:rsidRDefault="00FF7482" w:rsidP="00A1543A">
      <w:pPr>
        <w:pStyle w:val="Heading2"/>
        <w:rPr>
          <w:rFonts w:ascii="Times New Roman" w:hAnsi="Times New Roman" w:cs="Times New Roman"/>
          <w:b/>
          <w:color w:val="auto"/>
        </w:rPr>
      </w:pPr>
      <w:bookmarkStart w:id="96" w:name="_Toc75269345"/>
      <w:r w:rsidRPr="008B479F">
        <w:rPr>
          <w:rFonts w:ascii="Times New Roman" w:hAnsi="Times New Roman" w:cs="Times New Roman"/>
          <w:b/>
          <w:color w:val="auto"/>
        </w:rPr>
        <w:t>Who is an Employee Under the Wyoming Workers’ Compensation Act?</w:t>
      </w:r>
      <w:bookmarkEnd w:id="96"/>
    </w:p>
    <w:p w14:paraId="7276FAB0" w14:textId="77777777" w:rsidR="00FF7482" w:rsidRPr="008B479F" w:rsidRDefault="00FF7482" w:rsidP="004E763C">
      <w:pPr>
        <w:spacing w:after="0"/>
      </w:pPr>
    </w:p>
    <w:p w14:paraId="25A78199" w14:textId="41EF42A1" w:rsidR="00FF7482"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 xml:space="preserve">In Wyoming, an employee, </w:t>
      </w:r>
      <w:r w:rsidRPr="006F698A">
        <w:rPr>
          <w:rFonts w:ascii="Times New Roman" w:hAnsi="Times New Roman" w:cs="Times New Roman"/>
          <w:b/>
          <w:bCs/>
          <w:sz w:val="24"/>
          <w:szCs w:val="24"/>
        </w:rPr>
        <w:t>for purposes of workers’ compensation law</w:t>
      </w:r>
      <w:r>
        <w:rPr>
          <w:rFonts w:ascii="Times New Roman" w:hAnsi="Times New Roman" w:cs="Times New Roman"/>
          <w:sz w:val="24"/>
          <w:szCs w:val="24"/>
        </w:rPr>
        <w:t xml:space="preserve"> is defined</w:t>
      </w:r>
      <w:r w:rsidRPr="00112C9C">
        <w:rPr>
          <w:rFonts w:ascii="Times New Roman" w:hAnsi="Times New Roman" w:cs="Times New Roman"/>
          <w:sz w:val="24"/>
          <w:szCs w:val="24"/>
          <w:vertAlign w:val="superscript"/>
        </w:rPr>
        <w:footnoteReference w:id="79"/>
      </w:r>
      <w:r>
        <w:rPr>
          <w:rFonts w:ascii="Times New Roman" w:hAnsi="Times New Roman" w:cs="Times New Roman"/>
          <w:sz w:val="24"/>
          <w:szCs w:val="24"/>
        </w:rPr>
        <w:t xml:space="preserve"> as:</w:t>
      </w:r>
    </w:p>
    <w:p w14:paraId="087AE0CB" w14:textId="77777777" w:rsidR="00C15726" w:rsidRDefault="00C15726" w:rsidP="00C15726">
      <w:pPr>
        <w:spacing w:after="0"/>
        <w:ind w:left="720" w:right="720"/>
        <w:jc w:val="both"/>
        <w:rPr>
          <w:rFonts w:ascii="Times New Roman" w:hAnsi="Times New Roman" w:cs="Times New Roman"/>
          <w:sz w:val="24"/>
          <w:szCs w:val="24"/>
        </w:rPr>
      </w:pPr>
      <w:bookmarkStart w:id="100" w:name="_Hlk517014981"/>
    </w:p>
    <w:p w14:paraId="4CAFF9F7" w14:textId="68405E9F" w:rsidR="00FF7482" w:rsidRDefault="00FF7482" w:rsidP="000E29EB">
      <w:pPr>
        <w:spacing w:after="0"/>
        <w:ind w:left="720" w:right="720"/>
        <w:jc w:val="both"/>
        <w:rPr>
          <w:rFonts w:ascii="Times New Roman" w:hAnsi="Times New Roman" w:cs="Times New Roman"/>
          <w:sz w:val="24"/>
          <w:szCs w:val="24"/>
        </w:rPr>
      </w:pPr>
      <w:r>
        <w:rPr>
          <w:rFonts w:ascii="Times New Roman" w:hAnsi="Times New Roman" w:cs="Times New Roman"/>
          <w:sz w:val="24"/>
          <w:szCs w:val="24"/>
        </w:rPr>
        <w:t>[A]</w:t>
      </w:r>
      <w:r w:rsidRPr="004E107B">
        <w:rPr>
          <w:rFonts w:ascii="Times New Roman" w:hAnsi="Times New Roman" w:cs="Times New Roman"/>
          <w:sz w:val="24"/>
          <w:szCs w:val="24"/>
        </w:rPr>
        <w:t xml:space="preserve">ny person engaged in any extrahazardous </w:t>
      </w:r>
      <w:bookmarkStart w:id="101" w:name="_Hlk517178700"/>
      <w:r w:rsidRPr="004E107B">
        <w:rPr>
          <w:rFonts w:ascii="Times New Roman" w:hAnsi="Times New Roman" w:cs="Times New Roman"/>
          <w:sz w:val="24"/>
          <w:szCs w:val="24"/>
        </w:rPr>
        <w:t>employment</w:t>
      </w:r>
      <w:bookmarkEnd w:id="100"/>
      <w:r w:rsidRPr="004E107B">
        <w:rPr>
          <w:rFonts w:ascii="Times New Roman" w:hAnsi="Times New Roman" w:cs="Times New Roman"/>
          <w:sz w:val="24"/>
          <w:szCs w:val="24"/>
        </w:rPr>
        <w:t xml:space="preserve"> under any appointment, contract of hire or apprenticeship, express or implied, </w:t>
      </w:r>
      <w:r w:rsidRPr="004E107B">
        <w:rPr>
          <w:rFonts w:ascii="Times New Roman" w:hAnsi="Times New Roman" w:cs="Times New Roman"/>
          <w:sz w:val="24"/>
          <w:szCs w:val="24"/>
        </w:rPr>
        <w:lastRenderedPageBreak/>
        <w:t xml:space="preserve">oral or written, and includes legally employed minors, aliens authorized to work by the United States </w:t>
      </w:r>
      <w:bookmarkEnd w:id="101"/>
      <w:r w:rsidRPr="004E107B">
        <w:rPr>
          <w:rFonts w:ascii="Times New Roman" w:hAnsi="Times New Roman" w:cs="Times New Roman"/>
          <w:sz w:val="24"/>
          <w:szCs w:val="24"/>
        </w:rPr>
        <w:t xml:space="preserve">department of justice, office of citizenship and immigration services, and aliens whom the employer reasonably believes, at the date of hire and the date of injury based upon documentation in the employer's possession, to be authorized to work by the United States </w:t>
      </w:r>
      <w:r>
        <w:rPr>
          <w:rFonts w:ascii="Times New Roman" w:hAnsi="Times New Roman" w:cs="Times New Roman"/>
          <w:sz w:val="24"/>
          <w:szCs w:val="24"/>
        </w:rPr>
        <w:t>D</w:t>
      </w:r>
      <w:r w:rsidRPr="004E107B">
        <w:rPr>
          <w:rFonts w:ascii="Times New Roman" w:hAnsi="Times New Roman" w:cs="Times New Roman"/>
          <w:sz w:val="24"/>
          <w:szCs w:val="24"/>
        </w:rPr>
        <w:t xml:space="preserve">epartment of </w:t>
      </w:r>
      <w:r>
        <w:rPr>
          <w:rFonts w:ascii="Times New Roman" w:hAnsi="Times New Roman" w:cs="Times New Roman"/>
          <w:sz w:val="24"/>
          <w:szCs w:val="24"/>
        </w:rPr>
        <w:t>J</w:t>
      </w:r>
      <w:r w:rsidRPr="004E107B">
        <w:rPr>
          <w:rFonts w:ascii="Times New Roman" w:hAnsi="Times New Roman" w:cs="Times New Roman"/>
          <w:sz w:val="24"/>
          <w:szCs w:val="24"/>
        </w:rPr>
        <w:t xml:space="preserve">ustice, </w:t>
      </w:r>
      <w:r>
        <w:rPr>
          <w:rFonts w:ascii="Times New Roman" w:hAnsi="Times New Roman" w:cs="Times New Roman"/>
          <w:sz w:val="24"/>
          <w:szCs w:val="24"/>
        </w:rPr>
        <w:t>O</w:t>
      </w:r>
      <w:r w:rsidRPr="004E107B">
        <w:rPr>
          <w:rFonts w:ascii="Times New Roman" w:hAnsi="Times New Roman" w:cs="Times New Roman"/>
          <w:sz w:val="24"/>
          <w:szCs w:val="24"/>
        </w:rPr>
        <w:t xml:space="preserve">ffice of </w:t>
      </w:r>
      <w:r>
        <w:rPr>
          <w:rFonts w:ascii="Times New Roman" w:hAnsi="Times New Roman" w:cs="Times New Roman"/>
          <w:sz w:val="24"/>
          <w:szCs w:val="24"/>
        </w:rPr>
        <w:t>C</w:t>
      </w:r>
      <w:r w:rsidRPr="004E107B">
        <w:rPr>
          <w:rFonts w:ascii="Times New Roman" w:hAnsi="Times New Roman" w:cs="Times New Roman"/>
          <w:sz w:val="24"/>
          <w:szCs w:val="24"/>
        </w:rPr>
        <w:t xml:space="preserve">itizenship and </w:t>
      </w:r>
      <w:r>
        <w:rPr>
          <w:rFonts w:ascii="Times New Roman" w:hAnsi="Times New Roman" w:cs="Times New Roman"/>
          <w:sz w:val="24"/>
          <w:szCs w:val="24"/>
        </w:rPr>
        <w:t>I</w:t>
      </w:r>
      <w:r w:rsidRPr="004E107B">
        <w:rPr>
          <w:rFonts w:ascii="Times New Roman" w:hAnsi="Times New Roman" w:cs="Times New Roman"/>
          <w:sz w:val="24"/>
          <w:szCs w:val="24"/>
        </w:rPr>
        <w:t xml:space="preserve">mmigration </w:t>
      </w:r>
      <w:r>
        <w:rPr>
          <w:rFonts w:ascii="Times New Roman" w:hAnsi="Times New Roman" w:cs="Times New Roman"/>
          <w:sz w:val="24"/>
          <w:szCs w:val="24"/>
        </w:rPr>
        <w:t>S</w:t>
      </w:r>
      <w:r w:rsidRPr="004E107B">
        <w:rPr>
          <w:rFonts w:ascii="Times New Roman" w:hAnsi="Times New Roman" w:cs="Times New Roman"/>
          <w:sz w:val="24"/>
          <w:szCs w:val="24"/>
        </w:rPr>
        <w:t>ervices.</w:t>
      </w:r>
    </w:p>
    <w:p w14:paraId="152C9720" w14:textId="77777777" w:rsidR="00FF7482" w:rsidRDefault="00FF7482" w:rsidP="004818D5">
      <w:pPr>
        <w:spacing w:after="0"/>
        <w:ind w:left="1008" w:right="1008"/>
        <w:jc w:val="both"/>
        <w:rPr>
          <w:rFonts w:ascii="Times New Roman" w:hAnsi="Times New Roman" w:cs="Times New Roman"/>
          <w:sz w:val="24"/>
          <w:szCs w:val="24"/>
        </w:rPr>
      </w:pPr>
    </w:p>
    <w:p w14:paraId="65C68EAD" w14:textId="72009DEC" w:rsidR="00FF7482"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The Wyoming statute then explicitly excludes</w:t>
      </w:r>
      <w:r w:rsidRPr="00112C9C">
        <w:rPr>
          <w:rFonts w:ascii="Times New Roman" w:hAnsi="Times New Roman" w:cs="Times New Roman"/>
          <w:sz w:val="24"/>
          <w:szCs w:val="24"/>
          <w:vertAlign w:val="superscript"/>
        </w:rPr>
        <w:footnoteReference w:id="80"/>
      </w:r>
      <w:r>
        <w:rPr>
          <w:rFonts w:ascii="Times New Roman" w:hAnsi="Times New Roman" w:cs="Times New Roman"/>
          <w:sz w:val="24"/>
          <w:szCs w:val="24"/>
        </w:rPr>
        <w:t xml:space="preserve"> (in addition to aliens whom the employer does </w:t>
      </w:r>
      <w:r w:rsidRPr="00261BDF">
        <w:rPr>
          <w:rFonts w:ascii="Times New Roman" w:hAnsi="Times New Roman" w:cs="Times New Roman"/>
          <w:i/>
          <w:sz w:val="24"/>
          <w:szCs w:val="24"/>
        </w:rPr>
        <w:t>not</w:t>
      </w:r>
      <w:r>
        <w:rPr>
          <w:rFonts w:ascii="Times New Roman" w:hAnsi="Times New Roman" w:cs="Times New Roman"/>
          <w:sz w:val="24"/>
          <w:szCs w:val="24"/>
        </w:rPr>
        <w:t xml:space="preserve"> reasonably believe to be authorized to work by the United States Department of Justice) several categories of workers from the definition: </w:t>
      </w:r>
    </w:p>
    <w:p w14:paraId="276E5809" w14:textId="61A9F266" w:rsidR="00A1543A" w:rsidRDefault="00A1543A" w:rsidP="009207B3">
      <w:pPr>
        <w:ind w:left="720" w:right="720"/>
        <w:jc w:val="both"/>
        <w:rPr>
          <w:rFonts w:ascii="Times New Roman" w:hAnsi="Times New Roman" w:cs="Times New Roman"/>
          <w:sz w:val="24"/>
          <w:szCs w:val="24"/>
        </w:rPr>
      </w:pPr>
      <w:r>
        <w:rPr>
          <w:rFonts w:ascii="Times New Roman" w:hAnsi="Times New Roman" w:cs="Times New Roman"/>
          <w:sz w:val="24"/>
          <w:szCs w:val="24"/>
        </w:rPr>
        <w:br/>
      </w:r>
      <w:r w:rsidRPr="00261BDF">
        <w:rPr>
          <w:rFonts w:ascii="Times New Roman" w:hAnsi="Times New Roman" w:cs="Times New Roman"/>
          <w:sz w:val="24"/>
          <w:szCs w:val="24"/>
        </w:rPr>
        <w:t>(</w:t>
      </w:r>
      <w:r>
        <w:rPr>
          <w:rFonts w:ascii="Times New Roman" w:hAnsi="Times New Roman" w:cs="Times New Roman"/>
          <w:sz w:val="24"/>
          <w:szCs w:val="24"/>
        </w:rPr>
        <w:t>A</w:t>
      </w:r>
      <w:r w:rsidRPr="00261BDF">
        <w:rPr>
          <w:rFonts w:ascii="Times New Roman" w:hAnsi="Times New Roman" w:cs="Times New Roman"/>
          <w:sz w:val="24"/>
          <w:szCs w:val="24"/>
        </w:rPr>
        <w:t xml:space="preserve">) </w:t>
      </w:r>
      <w:r w:rsidRPr="00A1543A">
        <w:rPr>
          <w:rFonts w:ascii="Times New Roman" w:hAnsi="Times New Roman" w:cs="Times New Roman"/>
          <w:sz w:val="24"/>
          <w:szCs w:val="24"/>
        </w:rPr>
        <w:t xml:space="preserve">Any individual whose employment is determined to be </w:t>
      </w:r>
      <w:r w:rsidRPr="00A1543A">
        <w:rPr>
          <w:rFonts w:ascii="Times New Roman" w:hAnsi="Times New Roman" w:cs="Times New Roman"/>
          <w:b/>
          <w:bCs/>
          <w:sz w:val="24"/>
          <w:szCs w:val="24"/>
        </w:rPr>
        <w:t>casual labor</w:t>
      </w:r>
      <w:r w:rsidRPr="00A1543A">
        <w:rPr>
          <w:rFonts w:ascii="Times New Roman" w:hAnsi="Times New Roman" w:cs="Times New Roman"/>
          <w:sz w:val="24"/>
          <w:szCs w:val="24"/>
        </w:rPr>
        <w:t xml:space="preserve">; </w:t>
      </w:r>
    </w:p>
    <w:p w14:paraId="6F35D03C" w14:textId="21ED4B4C"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(B) A </w:t>
      </w:r>
      <w:r w:rsidRPr="00C632DB">
        <w:rPr>
          <w:rFonts w:ascii="Times New Roman" w:hAnsi="Times New Roman" w:cs="Times New Roman"/>
          <w:b/>
          <w:sz w:val="24"/>
          <w:szCs w:val="24"/>
        </w:rPr>
        <w:t>sole proprietor or a partner of a business partnership</w:t>
      </w:r>
      <w:r w:rsidRPr="00261BDF">
        <w:rPr>
          <w:rFonts w:ascii="Times New Roman" w:hAnsi="Times New Roman" w:cs="Times New Roman"/>
          <w:sz w:val="24"/>
          <w:szCs w:val="24"/>
        </w:rPr>
        <w:t xml:space="preserve"> unless coverage is elected pursuant to </w:t>
      </w:r>
      <w:bookmarkStart w:id="104" w:name="_Hlk13203921"/>
      <w:r w:rsidRPr="00A83283">
        <w:rPr>
          <w:rFonts w:ascii="Times New Roman" w:hAnsi="Times New Roman" w:cs="Times New Roman"/>
          <w:sz w:val="24"/>
          <w:szCs w:val="24"/>
        </w:rPr>
        <w:t xml:space="preserve">W.S. </w:t>
      </w:r>
      <w:hyperlink r:id="rId23" w:history="1">
        <w:r w:rsidRPr="00A83283">
          <w:rPr>
            <w:rStyle w:val="Hyperlink"/>
            <w:rFonts w:ascii="Times New Roman" w:hAnsi="Times New Roman" w:cs="Times New Roman"/>
            <w:sz w:val="24"/>
            <w:szCs w:val="24"/>
          </w:rPr>
          <w:t>27-14-108</w:t>
        </w:r>
        <w:bookmarkEnd w:id="104"/>
      </w:hyperlink>
      <w:r w:rsidRPr="00261BDF">
        <w:rPr>
          <w:rFonts w:ascii="Times New Roman" w:hAnsi="Times New Roman" w:cs="Times New Roman"/>
          <w:sz w:val="24"/>
          <w:szCs w:val="24"/>
        </w:rPr>
        <w:t>(k);</w:t>
      </w:r>
    </w:p>
    <w:p w14:paraId="0014E9FF" w14:textId="32A0EDBA"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(C) An </w:t>
      </w:r>
      <w:r w:rsidRPr="00C632DB">
        <w:rPr>
          <w:rFonts w:ascii="Times New Roman" w:hAnsi="Times New Roman" w:cs="Times New Roman"/>
          <w:b/>
          <w:sz w:val="24"/>
          <w:szCs w:val="24"/>
        </w:rPr>
        <w:t>officer of a corporation</w:t>
      </w:r>
      <w:r w:rsidRPr="00261BDF">
        <w:rPr>
          <w:rFonts w:ascii="Times New Roman" w:hAnsi="Times New Roman" w:cs="Times New Roman"/>
          <w:sz w:val="24"/>
          <w:szCs w:val="24"/>
        </w:rPr>
        <w:t xml:space="preserve"> unless coverage is elected pursuant to </w:t>
      </w:r>
      <w:bookmarkStart w:id="105" w:name="_Hlk13204000"/>
      <w:r w:rsidRPr="00A83283">
        <w:rPr>
          <w:rFonts w:ascii="Times New Roman" w:hAnsi="Times New Roman" w:cs="Times New Roman"/>
          <w:sz w:val="24"/>
          <w:szCs w:val="24"/>
        </w:rPr>
        <w:t>W.S</w:t>
      </w:r>
      <w:r w:rsidRPr="00865468">
        <w:rPr>
          <w:rFonts w:ascii="Times New Roman" w:hAnsi="Times New Roman" w:cs="Times New Roman"/>
          <w:sz w:val="24"/>
          <w:szCs w:val="24"/>
        </w:rPr>
        <w:t xml:space="preserve">. </w:t>
      </w:r>
      <w:hyperlink r:id="rId24" w:history="1">
        <w:r w:rsidRPr="00865468">
          <w:rPr>
            <w:rStyle w:val="Hyperlink"/>
            <w:rFonts w:ascii="Times New Roman" w:hAnsi="Times New Roman" w:cs="Times New Roman"/>
            <w:sz w:val="24"/>
            <w:szCs w:val="24"/>
          </w:rPr>
          <w:t>27-14-108</w:t>
        </w:r>
        <w:bookmarkEnd w:id="105"/>
      </w:hyperlink>
      <w:r w:rsidRPr="00261BDF">
        <w:rPr>
          <w:rFonts w:ascii="Times New Roman" w:hAnsi="Times New Roman" w:cs="Times New Roman"/>
          <w:sz w:val="24"/>
          <w:szCs w:val="24"/>
        </w:rPr>
        <w:t>(k);</w:t>
      </w:r>
    </w:p>
    <w:p w14:paraId="0A1C1FB0" w14:textId="5BD60BF9"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(D) Any individual engaged as an </w:t>
      </w:r>
      <w:r w:rsidRPr="00C632DB">
        <w:rPr>
          <w:rFonts w:ascii="Times New Roman" w:hAnsi="Times New Roman" w:cs="Times New Roman"/>
          <w:b/>
          <w:sz w:val="24"/>
          <w:szCs w:val="24"/>
        </w:rPr>
        <w:t>independent contractor</w:t>
      </w:r>
      <w:r w:rsidRPr="00261BDF">
        <w:rPr>
          <w:rFonts w:ascii="Times New Roman" w:hAnsi="Times New Roman" w:cs="Times New Roman"/>
          <w:sz w:val="24"/>
          <w:szCs w:val="24"/>
        </w:rPr>
        <w:t>;</w:t>
      </w:r>
    </w:p>
    <w:p w14:paraId="67413CC6" w14:textId="52C3EF70"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(E) A </w:t>
      </w:r>
      <w:r w:rsidRPr="00C632DB">
        <w:rPr>
          <w:rFonts w:ascii="Times New Roman" w:hAnsi="Times New Roman" w:cs="Times New Roman"/>
          <w:b/>
          <w:sz w:val="24"/>
          <w:szCs w:val="24"/>
        </w:rPr>
        <w:t>spouse or dependent of an employer living in the employer’s household</w:t>
      </w:r>
      <w:r w:rsidRPr="00261BDF">
        <w:rPr>
          <w:rFonts w:ascii="Times New Roman" w:hAnsi="Times New Roman" w:cs="Times New Roman"/>
          <w:sz w:val="24"/>
          <w:szCs w:val="24"/>
        </w:rPr>
        <w:t>;</w:t>
      </w:r>
    </w:p>
    <w:p w14:paraId="6394A778" w14:textId="62CCC60B"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(F) A </w:t>
      </w:r>
      <w:r w:rsidRPr="00C632DB">
        <w:rPr>
          <w:rFonts w:ascii="Times New Roman" w:hAnsi="Times New Roman" w:cs="Times New Roman"/>
          <w:b/>
          <w:sz w:val="24"/>
          <w:szCs w:val="24"/>
        </w:rPr>
        <w:t>professional athlete</w:t>
      </w:r>
      <w:r w:rsidRPr="00261BDF">
        <w:rPr>
          <w:rFonts w:ascii="Times New Roman" w:hAnsi="Times New Roman" w:cs="Times New Roman"/>
          <w:sz w:val="24"/>
          <w:szCs w:val="24"/>
        </w:rPr>
        <w:t xml:space="preserve">, except as provided in </w:t>
      </w:r>
      <w:r w:rsidRPr="00A83283">
        <w:rPr>
          <w:rFonts w:ascii="Times New Roman" w:hAnsi="Times New Roman" w:cs="Times New Roman"/>
          <w:sz w:val="24"/>
          <w:szCs w:val="24"/>
        </w:rPr>
        <w:t xml:space="preserve">W.S. </w:t>
      </w:r>
      <w:hyperlink r:id="rId25" w:history="1">
        <w:r w:rsidRPr="00A83283">
          <w:rPr>
            <w:rStyle w:val="Hyperlink"/>
            <w:rFonts w:ascii="Times New Roman" w:hAnsi="Times New Roman" w:cs="Times New Roman"/>
            <w:sz w:val="24"/>
            <w:szCs w:val="24"/>
          </w:rPr>
          <w:t>27-14-108</w:t>
        </w:r>
      </w:hyperlink>
      <w:r w:rsidRPr="00261BDF">
        <w:rPr>
          <w:rFonts w:ascii="Times New Roman" w:hAnsi="Times New Roman" w:cs="Times New Roman"/>
          <w:sz w:val="24"/>
          <w:szCs w:val="24"/>
        </w:rPr>
        <w:t>(q);</w:t>
      </w:r>
    </w:p>
    <w:p w14:paraId="76839B1C" w14:textId="4B58DDEC"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(G) An </w:t>
      </w:r>
      <w:r w:rsidRPr="00C632DB">
        <w:rPr>
          <w:rFonts w:ascii="Times New Roman" w:hAnsi="Times New Roman" w:cs="Times New Roman"/>
          <w:b/>
          <w:sz w:val="24"/>
          <w:szCs w:val="24"/>
        </w:rPr>
        <w:t>employee of a private household</w:t>
      </w:r>
      <w:r w:rsidRPr="00261BDF">
        <w:rPr>
          <w:rFonts w:ascii="Times New Roman" w:hAnsi="Times New Roman" w:cs="Times New Roman"/>
          <w:sz w:val="24"/>
          <w:szCs w:val="24"/>
        </w:rPr>
        <w:t>;</w:t>
      </w:r>
    </w:p>
    <w:p w14:paraId="6771651A" w14:textId="0486A50A" w:rsidR="00FF7482" w:rsidRPr="00261BDF" w:rsidRDefault="00FF7482" w:rsidP="000E29EB">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(H) A </w:t>
      </w:r>
      <w:r w:rsidRPr="00C632DB">
        <w:rPr>
          <w:rFonts w:ascii="Times New Roman" w:hAnsi="Times New Roman" w:cs="Times New Roman"/>
          <w:b/>
          <w:sz w:val="24"/>
          <w:szCs w:val="24"/>
        </w:rPr>
        <w:t>private duty nurse engaged by a private party</w:t>
      </w:r>
      <w:r w:rsidRPr="00261BDF">
        <w:rPr>
          <w:rFonts w:ascii="Times New Roman" w:hAnsi="Times New Roman" w:cs="Times New Roman"/>
          <w:sz w:val="24"/>
          <w:szCs w:val="24"/>
        </w:rPr>
        <w:t>;</w:t>
      </w:r>
    </w:p>
    <w:p w14:paraId="27FE930E" w14:textId="45A1FF14"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(J) An </w:t>
      </w:r>
      <w:r w:rsidRPr="00C632DB">
        <w:rPr>
          <w:rFonts w:ascii="Times New Roman" w:hAnsi="Times New Roman" w:cs="Times New Roman"/>
          <w:b/>
          <w:sz w:val="24"/>
          <w:szCs w:val="24"/>
        </w:rPr>
        <w:t>employee of the federal government</w:t>
      </w:r>
      <w:r w:rsidRPr="00261BDF">
        <w:rPr>
          <w:rFonts w:ascii="Times New Roman" w:hAnsi="Times New Roman" w:cs="Times New Roman"/>
          <w:sz w:val="24"/>
          <w:szCs w:val="24"/>
        </w:rPr>
        <w:t>;</w:t>
      </w:r>
    </w:p>
    <w:p w14:paraId="7A491FCE" w14:textId="75203503"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(K) </w:t>
      </w:r>
      <w:r w:rsidRPr="00C632DB">
        <w:rPr>
          <w:rFonts w:ascii="Times New Roman" w:hAnsi="Times New Roman" w:cs="Times New Roman"/>
          <w:b/>
          <w:sz w:val="24"/>
          <w:szCs w:val="24"/>
        </w:rPr>
        <w:t>Any volunteer</w:t>
      </w:r>
      <w:r w:rsidRPr="00261BDF">
        <w:rPr>
          <w:rFonts w:ascii="Times New Roman" w:hAnsi="Times New Roman" w:cs="Times New Roman"/>
          <w:sz w:val="24"/>
          <w:szCs w:val="24"/>
        </w:rPr>
        <w:t xml:space="preserve"> unless covered pursuant to </w:t>
      </w:r>
      <w:r w:rsidRPr="00A83283">
        <w:rPr>
          <w:rStyle w:val="Hyperlink"/>
          <w:rFonts w:ascii="Times New Roman" w:hAnsi="Times New Roman" w:cs="Times New Roman"/>
          <w:color w:val="auto"/>
          <w:sz w:val="24"/>
          <w:szCs w:val="24"/>
          <w:u w:val="none"/>
        </w:rPr>
        <w:t xml:space="preserve">W.S. </w:t>
      </w:r>
      <w:hyperlink r:id="rId26" w:history="1">
        <w:r w:rsidRPr="00A83283">
          <w:rPr>
            <w:rStyle w:val="Hyperlink"/>
            <w:rFonts w:ascii="Times New Roman" w:hAnsi="Times New Roman" w:cs="Times New Roman"/>
            <w:sz w:val="24"/>
            <w:szCs w:val="24"/>
          </w:rPr>
          <w:t>27-14-108</w:t>
        </w:r>
      </w:hyperlink>
      <w:r w:rsidRPr="00261BDF">
        <w:rPr>
          <w:rFonts w:ascii="Times New Roman" w:hAnsi="Times New Roman" w:cs="Times New Roman"/>
          <w:sz w:val="24"/>
          <w:szCs w:val="24"/>
        </w:rPr>
        <w:t>(e);</w:t>
      </w:r>
    </w:p>
    <w:p w14:paraId="0901B46F" w14:textId="0B76CAA4" w:rsidR="00FF7482"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(M) </w:t>
      </w:r>
      <w:r w:rsidRPr="00C632DB">
        <w:rPr>
          <w:rFonts w:ascii="Times New Roman" w:hAnsi="Times New Roman" w:cs="Times New Roman"/>
          <w:b/>
          <w:sz w:val="24"/>
          <w:szCs w:val="24"/>
        </w:rPr>
        <w:t>Any adult or juvenile prisoner or probationer</w:t>
      </w:r>
      <w:r w:rsidRPr="00261BDF">
        <w:rPr>
          <w:rFonts w:ascii="Times New Roman" w:hAnsi="Times New Roman" w:cs="Times New Roman"/>
          <w:sz w:val="24"/>
          <w:szCs w:val="24"/>
        </w:rPr>
        <w:t xml:space="preserve"> unless covered pursuant to </w:t>
      </w:r>
      <w:hyperlink r:id="rId27" w:history="1">
        <w:r w:rsidRPr="00A83283">
          <w:rPr>
            <w:rStyle w:val="Hyperlink"/>
            <w:rFonts w:ascii="Times New Roman" w:hAnsi="Times New Roman" w:cs="Times New Roman"/>
            <w:color w:val="auto"/>
            <w:sz w:val="24"/>
            <w:szCs w:val="24"/>
            <w:u w:val="none"/>
          </w:rPr>
          <w:t xml:space="preserve">W.S. </w:t>
        </w:r>
        <w:r w:rsidRPr="00A83283">
          <w:rPr>
            <w:rStyle w:val="Hyperlink"/>
            <w:rFonts w:ascii="Times New Roman" w:hAnsi="Times New Roman" w:cs="Times New Roman"/>
            <w:sz w:val="24"/>
            <w:szCs w:val="24"/>
          </w:rPr>
          <w:t>27-14-108</w:t>
        </w:r>
      </w:hyperlink>
      <w:r w:rsidRPr="00261BDF">
        <w:rPr>
          <w:rFonts w:ascii="Times New Roman" w:hAnsi="Times New Roman" w:cs="Times New Roman"/>
          <w:sz w:val="24"/>
          <w:szCs w:val="24"/>
        </w:rPr>
        <w:t>(d)(ix);</w:t>
      </w:r>
    </w:p>
    <w:p w14:paraId="3ABE6BCB" w14:textId="09F569EF"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(N) An </w:t>
      </w:r>
      <w:r w:rsidRPr="00C632DB">
        <w:rPr>
          <w:rFonts w:ascii="Times New Roman" w:hAnsi="Times New Roman" w:cs="Times New Roman"/>
          <w:b/>
          <w:sz w:val="24"/>
          <w:szCs w:val="24"/>
        </w:rPr>
        <w:t>elected public official or an appointed member of any governmental board</w:t>
      </w:r>
      <w:r w:rsidRPr="00261BDF">
        <w:rPr>
          <w:rFonts w:ascii="Times New Roman" w:hAnsi="Times New Roman" w:cs="Times New Roman"/>
          <w:sz w:val="24"/>
          <w:szCs w:val="24"/>
        </w:rPr>
        <w:t xml:space="preserve"> or commission, except for a duly elected or appointed sheriff or county coroner;</w:t>
      </w:r>
    </w:p>
    <w:p w14:paraId="4795276F" w14:textId="2AABA534"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lastRenderedPageBreak/>
        <w:t xml:space="preserve">(O) The </w:t>
      </w:r>
      <w:r w:rsidRPr="00C632DB">
        <w:rPr>
          <w:rFonts w:ascii="Times New Roman" w:hAnsi="Times New Roman" w:cs="Times New Roman"/>
          <w:b/>
          <w:sz w:val="24"/>
          <w:szCs w:val="24"/>
        </w:rPr>
        <w:t>owner and operator of a motor vehicle which is leased or contracted with driver to a for-hire common or contract carrier</w:t>
      </w:r>
      <w:r w:rsidRPr="00261BDF">
        <w:rPr>
          <w:rFonts w:ascii="Times New Roman" w:hAnsi="Times New Roman" w:cs="Times New Roman"/>
          <w:sz w:val="24"/>
          <w:szCs w:val="24"/>
        </w:rPr>
        <w:t>. The owner-operator shall not be an employee for purposes of this act if he performs the service pursuant to a contract which provides that the owner-operator shall not be treated as an employee for purposes of the Federal Insurance Contributions Act, the Social Security Act, the Federal Unemployment Tax Act and income tax withholding at source;</w:t>
      </w:r>
    </w:p>
    <w:p w14:paraId="4B6BCB62" w14:textId="1A3AB2B7"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(P) A </w:t>
      </w:r>
      <w:r w:rsidRPr="00C632DB">
        <w:rPr>
          <w:rFonts w:ascii="Times New Roman" w:hAnsi="Times New Roman" w:cs="Times New Roman"/>
          <w:b/>
          <w:sz w:val="24"/>
          <w:szCs w:val="24"/>
        </w:rPr>
        <w:t>member of a limited liability company</w:t>
      </w:r>
      <w:r w:rsidRPr="00261BDF">
        <w:rPr>
          <w:rFonts w:ascii="Times New Roman" w:hAnsi="Times New Roman" w:cs="Times New Roman"/>
          <w:sz w:val="24"/>
          <w:szCs w:val="24"/>
        </w:rPr>
        <w:t xml:space="preserve"> unless coverage is elected pursuant to </w:t>
      </w:r>
      <w:r w:rsidRPr="00A83283">
        <w:rPr>
          <w:rStyle w:val="Hyperlink"/>
          <w:rFonts w:ascii="Times New Roman" w:hAnsi="Times New Roman" w:cs="Times New Roman"/>
          <w:color w:val="auto"/>
          <w:sz w:val="24"/>
          <w:szCs w:val="24"/>
          <w:u w:val="none"/>
        </w:rPr>
        <w:t xml:space="preserve">W.S. </w:t>
      </w:r>
      <w:hyperlink r:id="rId28" w:history="1">
        <w:r w:rsidRPr="00A83283">
          <w:rPr>
            <w:rStyle w:val="Hyperlink"/>
            <w:rFonts w:ascii="Times New Roman" w:hAnsi="Times New Roman" w:cs="Times New Roman"/>
            <w:sz w:val="24"/>
            <w:szCs w:val="24"/>
          </w:rPr>
          <w:t>27-14-108</w:t>
        </w:r>
      </w:hyperlink>
      <w:r w:rsidRPr="00261BDF">
        <w:rPr>
          <w:rFonts w:ascii="Times New Roman" w:hAnsi="Times New Roman" w:cs="Times New Roman"/>
          <w:sz w:val="24"/>
          <w:szCs w:val="24"/>
        </w:rPr>
        <w:t>(k);</w:t>
      </w:r>
    </w:p>
    <w:p w14:paraId="34FEBFC7" w14:textId="38753E82" w:rsidR="00FF7482" w:rsidRPr="00261BDF" w:rsidRDefault="00FF7482" w:rsidP="00C15726">
      <w:pPr>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(Q) A </w:t>
      </w:r>
      <w:r w:rsidRPr="00C632DB">
        <w:rPr>
          <w:rFonts w:ascii="Times New Roman" w:hAnsi="Times New Roman" w:cs="Times New Roman"/>
          <w:b/>
          <w:sz w:val="24"/>
          <w:szCs w:val="24"/>
        </w:rPr>
        <w:t>foster parent providing foster care services</w:t>
      </w:r>
      <w:r w:rsidRPr="00261BDF">
        <w:rPr>
          <w:rFonts w:ascii="Times New Roman" w:hAnsi="Times New Roman" w:cs="Times New Roman"/>
          <w:sz w:val="24"/>
          <w:szCs w:val="24"/>
        </w:rPr>
        <w:t xml:space="preserve"> for the department of family services or for a certified child placement agency;</w:t>
      </w:r>
    </w:p>
    <w:p w14:paraId="5C4483E3" w14:textId="11275489" w:rsidR="00FF7482" w:rsidRDefault="00FF7482" w:rsidP="00C15726">
      <w:pPr>
        <w:spacing w:after="0"/>
        <w:ind w:left="720" w:right="720"/>
        <w:jc w:val="both"/>
        <w:rPr>
          <w:rFonts w:ascii="Times New Roman" w:hAnsi="Times New Roman" w:cs="Times New Roman"/>
          <w:sz w:val="24"/>
          <w:szCs w:val="24"/>
        </w:rPr>
      </w:pPr>
      <w:r w:rsidRPr="00261BDF">
        <w:rPr>
          <w:rFonts w:ascii="Times New Roman" w:hAnsi="Times New Roman" w:cs="Times New Roman"/>
          <w:sz w:val="24"/>
          <w:szCs w:val="24"/>
        </w:rPr>
        <w:t xml:space="preserve">(R) An </w:t>
      </w:r>
      <w:r w:rsidRPr="00C632DB">
        <w:rPr>
          <w:rFonts w:ascii="Times New Roman" w:hAnsi="Times New Roman" w:cs="Times New Roman"/>
          <w:b/>
          <w:sz w:val="24"/>
          <w:szCs w:val="24"/>
        </w:rPr>
        <w:t>individual providing child day care or babysitting services, whose wages are subsidized or paid in whole or in part by the Wyoming department of family services</w:t>
      </w:r>
      <w:r w:rsidRPr="0007565C">
        <w:rPr>
          <w:rFonts w:ascii="Times New Roman" w:hAnsi="Times New Roman" w:cs="Times New Roman"/>
          <w:bCs/>
          <w:sz w:val="24"/>
          <w:szCs w:val="24"/>
        </w:rPr>
        <w:t>.</w:t>
      </w:r>
      <w:r w:rsidRPr="00261BDF">
        <w:rPr>
          <w:rFonts w:ascii="Times New Roman" w:hAnsi="Times New Roman" w:cs="Times New Roman"/>
          <w:sz w:val="24"/>
          <w:szCs w:val="24"/>
        </w:rPr>
        <w:t xml:space="preserve"> This exclusion from coverage does not exclude from coverage an individual providing child day care or babysitting services as an employee of any individual or entity other than the Wyoming department of family services.</w:t>
      </w:r>
    </w:p>
    <w:p w14:paraId="2CE2BEA6" w14:textId="11B8A699" w:rsidR="00FF7482" w:rsidRDefault="00FF7482" w:rsidP="006A3226">
      <w:pPr>
        <w:spacing w:after="0"/>
        <w:ind w:left="720" w:right="720"/>
        <w:jc w:val="both"/>
        <w:rPr>
          <w:rFonts w:ascii="Times New Roman" w:hAnsi="Times New Roman" w:cs="Times New Roman"/>
          <w:sz w:val="24"/>
          <w:szCs w:val="24"/>
        </w:rPr>
      </w:pPr>
    </w:p>
    <w:p w14:paraId="085C1128" w14:textId="77777777" w:rsidR="00C15726"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 xml:space="preserve">It also appears that, under W.S. </w:t>
      </w:r>
      <w:bookmarkStart w:id="106" w:name="_Hlk24353542"/>
      <w:r>
        <w:rPr>
          <w:rFonts w:ascii="Times New Roman" w:hAnsi="Times New Roman" w:cs="Times New Roman"/>
          <w:sz w:val="24"/>
          <w:szCs w:val="24"/>
        </w:rPr>
        <w:t>§</w:t>
      </w:r>
      <w:bookmarkEnd w:id="106"/>
      <w:r>
        <w:rPr>
          <w:rFonts w:ascii="Times New Roman" w:hAnsi="Times New Roman" w:cs="Times New Roman"/>
          <w:sz w:val="24"/>
          <w:szCs w:val="24"/>
        </w:rPr>
        <w:t xml:space="preserve"> </w:t>
      </w:r>
      <w:hyperlink r:id="rId29" w:history="1">
        <w:r w:rsidRPr="00697B5E">
          <w:rPr>
            <w:rStyle w:val="Hyperlink"/>
            <w:rFonts w:ascii="Times New Roman" w:hAnsi="Times New Roman" w:cs="Times New Roman"/>
            <w:sz w:val="24"/>
            <w:szCs w:val="24"/>
          </w:rPr>
          <w:t>27-14-106</w:t>
        </w:r>
      </w:hyperlink>
      <w:r>
        <w:rPr>
          <w:rFonts w:ascii="Times New Roman" w:hAnsi="Times New Roman" w:cs="Times New Roman"/>
          <w:sz w:val="24"/>
          <w:szCs w:val="24"/>
        </w:rPr>
        <w:t xml:space="preserve">, </w:t>
      </w:r>
      <w:r w:rsidRPr="00CE2F4A">
        <w:rPr>
          <w:rFonts w:ascii="Times New Roman" w:hAnsi="Times New Roman" w:cs="Times New Roman"/>
          <w:b/>
          <w:bCs/>
          <w:sz w:val="24"/>
          <w:szCs w:val="24"/>
        </w:rPr>
        <w:t>a minor is an employee within the meaning of the Act</w:t>
      </w:r>
      <w:r>
        <w:rPr>
          <w:rFonts w:ascii="Times New Roman" w:hAnsi="Times New Roman" w:cs="Times New Roman"/>
          <w:sz w:val="24"/>
          <w:szCs w:val="24"/>
        </w:rPr>
        <w:t>, though the statutory language is somewhat elliptical: “</w:t>
      </w:r>
      <w:r w:rsidRPr="00697B5E">
        <w:rPr>
          <w:rFonts w:ascii="Times New Roman" w:hAnsi="Times New Roman" w:cs="Times New Roman"/>
          <w:sz w:val="24"/>
          <w:szCs w:val="24"/>
        </w:rPr>
        <w:t xml:space="preserve">A minor shall be deemed </w:t>
      </w:r>
      <w:r w:rsidRPr="00CE2F4A">
        <w:rPr>
          <w:rFonts w:ascii="Times New Roman" w:hAnsi="Times New Roman" w:cs="Times New Roman"/>
          <w:i/>
          <w:iCs/>
          <w:sz w:val="24"/>
          <w:szCs w:val="24"/>
        </w:rPr>
        <w:t>free of any legal disability for the purposes of this act</w:t>
      </w:r>
      <w:r w:rsidRPr="00697B5E">
        <w:rPr>
          <w:rFonts w:ascii="Times New Roman" w:hAnsi="Times New Roman" w:cs="Times New Roman"/>
          <w:sz w:val="24"/>
          <w:szCs w:val="24"/>
        </w:rPr>
        <w:t xml:space="preserve"> and no other person has any cause of action or right to compensation for his injury except as expressly provided in this act.</w:t>
      </w:r>
      <w:r>
        <w:rPr>
          <w:rFonts w:ascii="Times New Roman" w:hAnsi="Times New Roman" w:cs="Times New Roman"/>
          <w:sz w:val="24"/>
          <w:szCs w:val="24"/>
        </w:rPr>
        <w:t xml:space="preserve">” It does not appear that Wyoming courts have decided whether minors </w:t>
      </w:r>
      <w:r w:rsidRPr="00CE2F4A">
        <w:rPr>
          <w:rFonts w:ascii="Times New Roman" w:hAnsi="Times New Roman" w:cs="Times New Roman"/>
          <w:b/>
          <w:bCs/>
          <w:sz w:val="24"/>
          <w:szCs w:val="24"/>
          <w:u w:val="single"/>
        </w:rPr>
        <w:t>illegally employed</w:t>
      </w:r>
      <w:r>
        <w:rPr>
          <w:rFonts w:ascii="Times New Roman" w:hAnsi="Times New Roman" w:cs="Times New Roman"/>
          <w:sz w:val="24"/>
          <w:szCs w:val="24"/>
        </w:rPr>
        <w:t xml:space="preserve"> under </w:t>
      </w:r>
      <w:r w:rsidRPr="0066074F">
        <w:rPr>
          <w:rFonts w:ascii="Times New Roman" w:hAnsi="Times New Roman" w:cs="Times New Roman"/>
          <w:b/>
          <w:bCs/>
          <w:sz w:val="24"/>
          <w:szCs w:val="24"/>
        </w:rPr>
        <w:t>state law</w:t>
      </w:r>
      <w:r>
        <w:rPr>
          <w:rFonts w:ascii="Times New Roman" w:hAnsi="Times New Roman" w:cs="Times New Roman"/>
          <w:sz w:val="24"/>
          <w:szCs w:val="24"/>
        </w:rPr>
        <w:t xml:space="preserve"> are bound by the remedies of the Act. </w:t>
      </w:r>
    </w:p>
    <w:p w14:paraId="6DF20EB7" w14:textId="77777777" w:rsidR="00C15726" w:rsidRDefault="00C15726" w:rsidP="00C15726">
      <w:pPr>
        <w:spacing w:after="0"/>
        <w:jc w:val="both"/>
        <w:rPr>
          <w:rFonts w:ascii="Times New Roman" w:hAnsi="Times New Roman" w:cs="Times New Roman"/>
          <w:sz w:val="24"/>
          <w:szCs w:val="24"/>
        </w:rPr>
      </w:pPr>
    </w:p>
    <w:p w14:paraId="0798C828" w14:textId="5CA351B0" w:rsidR="00FF7482"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 xml:space="preserve">In </w:t>
      </w:r>
      <w:r w:rsidRPr="004B5ABA">
        <w:rPr>
          <w:rFonts w:ascii="Times New Roman" w:hAnsi="Times New Roman" w:cs="Times New Roman"/>
          <w:i/>
          <w:iCs/>
          <w:sz w:val="24"/>
          <w:szCs w:val="24"/>
        </w:rPr>
        <w:t>Maser v. L. and H. Welding</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81"/>
      </w:r>
      <w:r>
        <w:rPr>
          <w:rFonts w:ascii="Times New Roman" w:hAnsi="Times New Roman" w:cs="Times New Roman"/>
          <w:sz w:val="24"/>
          <w:szCs w:val="24"/>
        </w:rPr>
        <w:t xml:space="preserve"> the claimant, a minor, argued he was not limited to remedies under the Wyoming Workers’ Compensation Act because his employment was illegal under federal child labor laws.</w:t>
      </w:r>
      <w:r w:rsidRPr="00112C9C">
        <w:rPr>
          <w:rFonts w:ascii="Times New Roman" w:hAnsi="Times New Roman" w:cs="Times New Roman"/>
          <w:sz w:val="24"/>
          <w:szCs w:val="24"/>
          <w:vertAlign w:val="superscript"/>
        </w:rPr>
        <w:footnoteReference w:id="82"/>
      </w:r>
      <w:r>
        <w:rPr>
          <w:rFonts w:ascii="Times New Roman" w:hAnsi="Times New Roman" w:cs="Times New Roman"/>
          <w:sz w:val="24"/>
          <w:szCs w:val="24"/>
        </w:rPr>
        <w:t xml:space="preserve"> The argument had some force because the legislature amended the definition of employee in 1996 to specifically include “legally employed minors” as employees within the meaning of the Act.</w:t>
      </w:r>
      <w:r w:rsidRPr="00112C9C">
        <w:rPr>
          <w:rFonts w:ascii="Times New Roman" w:hAnsi="Times New Roman" w:cs="Times New Roman"/>
          <w:sz w:val="24"/>
          <w:szCs w:val="24"/>
          <w:vertAlign w:val="superscript"/>
        </w:rPr>
        <w:footnoteReference w:id="83"/>
      </w:r>
      <w:r>
        <w:rPr>
          <w:rFonts w:ascii="Times New Roman" w:hAnsi="Times New Roman" w:cs="Times New Roman"/>
          <w:sz w:val="24"/>
          <w:szCs w:val="24"/>
        </w:rPr>
        <w:t xml:space="preserve"> Because, as mentioned above, minors were already employees under the Act, an argument was available that the legislature by implication was excluding illegally employed minors from the Act’s coverage.</w:t>
      </w:r>
      <w:r w:rsidRPr="00112C9C">
        <w:rPr>
          <w:rFonts w:ascii="Times New Roman" w:hAnsi="Times New Roman" w:cs="Times New Roman"/>
          <w:sz w:val="24"/>
          <w:szCs w:val="24"/>
          <w:vertAlign w:val="superscript"/>
        </w:rPr>
        <w:footnoteReference w:id="84"/>
      </w:r>
      <w:r>
        <w:rPr>
          <w:rFonts w:ascii="Times New Roman" w:hAnsi="Times New Roman" w:cs="Times New Roman"/>
          <w:sz w:val="24"/>
          <w:szCs w:val="24"/>
        </w:rPr>
        <w:t xml:space="preserve"> The Court escaped the </w:t>
      </w:r>
      <w:r>
        <w:rPr>
          <w:rFonts w:ascii="Times New Roman" w:hAnsi="Times New Roman" w:cs="Times New Roman"/>
          <w:sz w:val="24"/>
          <w:szCs w:val="24"/>
        </w:rPr>
        <w:lastRenderedPageBreak/>
        <w:t>problem by concluding that the employment in question in the case was not “illegal” under Wyoming law and “</w:t>
      </w:r>
      <w:r w:rsidRPr="0066074F">
        <w:rPr>
          <w:rFonts w:ascii="Times New Roman" w:hAnsi="Times New Roman" w:cs="Times New Roman"/>
          <w:sz w:val="24"/>
          <w:szCs w:val="24"/>
        </w:rPr>
        <w:t>that in the absence of a specific legislative directive to apply federal law, state law applies.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85"/>
      </w:r>
      <w:r>
        <w:rPr>
          <w:rFonts w:ascii="Times New Roman" w:hAnsi="Times New Roman" w:cs="Times New Roman"/>
          <w:sz w:val="24"/>
          <w:szCs w:val="24"/>
        </w:rPr>
        <w:t xml:space="preserve"> </w:t>
      </w:r>
    </w:p>
    <w:p w14:paraId="728EE1E7" w14:textId="77777777" w:rsidR="00C15726" w:rsidRDefault="00C15726" w:rsidP="00C15726">
      <w:pPr>
        <w:spacing w:after="0"/>
        <w:jc w:val="both"/>
        <w:rPr>
          <w:rFonts w:ascii="Times New Roman" w:hAnsi="Times New Roman" w:cs="Times New Roman"/>
          <w:sz w:val="24"/>
          <w:szCs w:val="24"/>
        </w:rPr>
      </w:pPr>
    </w:p>
    <w:p w14:paraId="1E949845" w14:textId="69FB4878" w:rsidR="00FF7482" w:rsidRPr="004B5ABA" w:rsidRDefault="00FF7482" w:rsidP="00191F75">
      <w:pPr>
        <w:spacing w:after="0"/>
        <w:jc w:val="both"/>
        <w:rPr>
          <w:rFonts w:ascii="Times New Roman" w:hAnsi="Times New Roman" w:cs="Times New Roman"/>
          <w:sz w:val="24"/>
          <w:szCs w:val="24"/>
        </w:rPr>
      </w:pPr>
      <w:r>
        <w:rPr>
          <w:rFonts w:ascii="Times New Roman" w:hAnsi="Times New Roman" w:cs="Times New Roman"/>
          <w:sz w:val="24"/>
          <w:szCs w:val="24"/>
        </w:rPr>
        <w:t xml:space="preserve">This does </w:t>
      </w:r>
      <w:r w:rsidRPr="003162E1">
        <w:rPr>
          <w:rFonts w:ascii="Times New Roman" w:hAnsi="Times New Roman" w:cs="Times New Roman"/>
          <w:sz w:val="24"/>
          <w:szCs w:val="24"/>
          <w:u w:val="single"/>
        </w:rPr>
        <w:t>not</w:t>
      </w:r>
      <w:r>
        <w:rPr>
          <w:rFonts w:ascii="Times New Roman" w:hAnsi="Times New Roman" w:cs="Times New Roman"/>
          <w:sz w:val="24"/>
          <w:szCs w:val="24"/>
        </w:rPr>
        <w:t xml:space="preserve"> resolve the question of whether minors illegally employed under </w:t>
      </w:r>
      <w:r w:rsidRPr="0066074F">
        <w:rPr>
          <w:rFonts w:ascii="Times New Roman" w:hAnsi="Times New Roman" w:cs="Times New Roman"/>
          <w:b/>
          <w:bCs/>
          <w:sz w:val="24"/>
          <w:szCs w:val="24"/>
        </w:rPr>
        <w:t>state</w:t>
      </w:r>
      <w:r>
        <w:rPr>
          <w:rFonts w:ascii="Times New Roman" w:hAnsi="Times New Roman" w:cs="Times New Roman"/>
          <w:sz w:val="24"/>
          <w:szCs w:val="24"/>
        </w:rPr>
        <w:t xml:space="preserve"> law are limited to the Act’s remedies. The Court in dicta has opened the door to the possibility that they are not: “</w:t>
      </w:r>
      <w:r w:rsidRPr="00183802">
        <w:rPr>
          <w:rFonts w:ascii="Times New Roman" w:hAnsi="Times New Roman" w:cs="Times New Roman"/>
          <w:sz w:val="24"/>
          <w:szCs w:val="24"/>
        </w:rPr>
        <w:t xml:space="preserve">Taking the plain, unambiguous language of that statute, we conclude that </w:t>
      </w:r>
      <w:r w:rsidRPr="00183802">
        <w:rPr>
          <w:rFonts w:ascii="Times New Roman" w:hAnsi="Times New Roman" w:cs="Times New Roman"/>
          <w:b/>
          <w:bCs/>
          <w:sz w:val="24"/>
          <w:szCs w:val="24"/>
        </w:rPr>
        <w:t>the legislature intended for Wyoming law to define whether a minor was ‘legally employed</w:t>
      </w:r>
      <w:r w:rsidRPr="00183802">
        <w:rPr>
          <w:rFonts w:ascii="Times New Roman" w:hAnsi="Times New Roman" w:cs="Times New Roman"/>
          <w:sz w:val="24"/>
          <w:szCs w:val="24"/>
        </w:rPr>
        <w:t>.</w:t>
      </w:r>
      <w:r w:rsidRPr="00191F75">
        <w:rPr>
          <w:rFonts w:ascii="Times New Roman" w:hAnsi="Times New Roman" w:cs="Times New Roman"/>
          <w:b/>
          <w:bCs/>
          <w:sz w:val="24"/>
          <w:szCs w:val="24"/>
        </w:rPr>
        <w:t>’</w:t>
      </w:r>
      <w:r w:rsidRPr="00183802">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86"/>
      </w:r>
      <w:r>
        <w:rPr>
          <w:rFonts w:ascii="Times New Roman" w:hAnsi="Times New Roman" w:cs="Times New Roman"/>
          <w:sz w:val="24"/>
          <w:szCs w:val="24"/>
        </w:rPr>
        <w:t xml:space="preserve"> Why bother to make the distinction if employed minors are </w:t>
      </w:r>
      <w:r w:rsidRPr="00183802">
        <w:rPr>
          <w:rFonts w:ascii="Times New Roman" w:hAnsi="Times New Roman" w:cs="Times New Roman"/>
          <w:b/>
          <w:bCs/>
          <w:sz w:val="24"/>
          <w:szCs w:val="24"/>
          <w:u w:val="single"/>
        </w:rPr>
        <w:t>already</w:t>
      </w:r>
      <w:r>
        <w:rPr>
          <w:rFonts w:ascii="Times New Roman" w:hAnsi="Times New Roman" w:cs="Times New Roman"/>
          <w:sz w:val="24"/>
          <w:szCs w:val="24"/>
        </w:rPr>
        <w:t xml:space="preserve"> </w:t>
      </w:r>
      <w:r w:rsidRPr="00763645">
        <w:rPr>
          <w:rFonts w:ascii="Times New Roman" w:hAnsi="Times New Roman" w:cs="Times New Roman"/>
          <w:i/>
          <w:iCs/>
          <w:sz w:val="24"/>
          <w:szCs w:val="24"/>
        </w:rPr>
        <w:t>universally</w:t>
      </w:r>
      <w:r w:rsidR="00EC4180">
        <w:rPr>
          <w:rFonts w:ascii="Times New Roman" w:hAnsi="Times New Roman" w:cs="Times New Roman"/>
          <w:sz w:val="24"/>
          <w:szCs w:val="24"/>
        </w:rPr>
        <w:t xml:space="preserve"> (that is, whether legally or illegally employed)</w:t>
      </w:r>
      <w:r>
        <w:rPr>
          <w:rFonts w:ascii="Times New Roman" w:hAnsi="Times New Roman" w:cs="Times New Roman"/>
          <w:sz w:val="24"/>
          <w:szCs w:val="24"/>
        </w:rPr>
        <w:t xml:space="preserve"> employees within the Act?</w:t>
      </w:r>
    </w:p>
    <w:p w14:paraId="36CEC2F7" w14:textId="77777777" w:rsidR="00FF7482" w:rsidRDefault="00FF7482" w:rsidP="00191F75">
      <w:pPr>
        <w:spacing w:after="0"/>
        <w:ind w:right="720"/>
        <w:jc w:val="both"/>
        <w:rPr>
          <w:rFonts w:ascii="Times New Roman" w:hAnsi="Times New Roman" w:cs="Times New Roman"/>
          <w:sz w:val="24"/>
          <w:szCs w:val="24"/>
        </w:rPr>
      </w:pPr>
    </w:p>
    <w:p w14:paraId="32F6EA1F" w14:textId="1B4754C5" w:rsidR="00FF7482" w:rsidRPr="008B479F" w:rsidRDefault="00FF7482" w:rsidP="00A1543A">
      <w:pPr>
        <w:pStyle w:val="Heading2"/>
        <w:rPr>
          <w:rFonts w:ascii="Times New Roman" w:hAnsi="Times New Roman" w:cs="Times New Roman"/>
          <w:b/>
          <w:color w:val="auto"/>
        </w:rPr>
      </w:pPr>
      <w:bookmarkStart w:id="113" w:name="_Toc75269346"/>
      <w:r w:rsidRPr="008B479F">
        <w:rPr>
          <w:rFonts w:ascii="Times New Roman" w:hAnsi="Times New Roman" w:cs="Times New Roman"/>
          <w:b/>
          <w:color w:val="auto"/>
        </w:rPr>
        <w:t>Undocumented Workers</w:t>
      </w:r>
      <w:r>
        <w:rPr>
          <w:rFonts w:ascii="Times New Roman" w:hAnsi="Times New Roman" w:cs="Times New Roman"/>
          <w:b/>
          <w:color w:val="auto"/>
        </w:rPr>
        <w:t xml:space="preserve"> in Wyoming</w:t>
      </w:r>
      <w:bookmarkEnd w:id="113"/>
    </w:p>
    <w:p w14:paraId="0946BE3E" w14:textId="77777777" w:rsidR="00FF7482" w:rsidRPr="008B479F" w:rsidRDefault="00FF7482" w:rsidP="00FB7728">
      <w:pPr>
        <w:spacing w:after="0"/>
      </w:pPr>
    </w:p>
    <w:p w14:paraId="4289B80C" w14:textId="18393A39" w:rsidR="00FF7482" w:rsidRDefault="00FF7482" w:rsidP="00C15726">
      <w:pPr>
        <w:spacing w:after="0"/>
        <w:jc w:val="both"/>
        <w:rPr>
          <w:rFonts w:ascii="Times New Roman" w:hAnsi="Times New Roman" w:cs="Times New Roman"/>
          <w:sz w:val="24"/>
          <w:szCs w:val="24"/>
        </w:rPr>
      </w:pPr>
      <w:bookmarkStart w:id="114" w:name="_Hlk24356405"/>
      <w:r>
        <w:rPr>
          <w:rFonts w:ascii="Times New Roman" w:hAnsi="Times New Roman" w:cs="Times New Roman"/>
          <w:sz w:val="24"/>
          <w:szCs w:val="24"/>
        </w:rPr>
        <w:t xml:space="preserve">The Wyoming approach to undocumented workers is unique. In essence, an “alien” is an employee, within the meaning of the Wyoming Workers’ Compensation Act, </w:t>
      </w:r>
      <w:r w:rsidRPr="001F0F78">
        <w:rPr>
          <w:rFonts w:ascii="Times New Roman" w:hAnsi="Times New Roman" w:cs="Times New Roman"/>
          <w:b/>
          <w:sz w:val="24"/>
          <w:szCs w:val="24"/>
        </w:rPr>
        <w:t>if the employee’s employer “reasonably believes, at the date of hire and the date of injury based upon documentation in the employer's possession, [the putative employee] to be authorized to work by the United States Department of Justice, Office of Citizenship and Immigration Services.”</w:t>
      </w:r>
      <w:r>
        <w:rPr>
          <w:rFonts w:ascii="Times New Roman" w:hAnsi="Times New Roman" w:cs="Times New Roman"/>
          <w:sz w:val="24"/>
          <w:szCs w:val="24"/>
        </w:rPr>
        <w:t xml:space="preserve"> </w:t>
      </w:r>
      <w:r w:rsidRPr="00A83283">
        <w:rPr>
          <w:rFonts w:ascii="Times New Roman" w:hAnsi="Times New Roman" w:cs="Times New Roman"/>
          <w:sz w:val="24"/>
          <w:szCs w:val="24"/>
        </w:rPr>
        <w:t xml:space="preserve">W.S. § </w:t>
      </w:r>
      <w:hyperlink r:id="rId30" w:history="1">
        <w:r w:rsidRPr="00A83283">
          <w:rPr>
            <w:rStyle w:val="Hyperlink"/>
            <w:rFonts w:ascii="Times New Roman" w:hAnsi="Times New Roman" w:cs="Times New Roman"/>
            <w:sz w:val="24"/>
            <w:szCs w:val="24"/>
          </w:rPr>
          <w:t>27–14–102</w:t>
        </w:r>
      </w:hyperlink>
      <w:r w:rsidRPr="00A83283">
        <w:rPr>
          <w:rFonts w:ascii="Times New Roman" w:hAnsi="Times New Roman" w:cs="Times New Roman"/>
          <w:sz w:val="24"/>
          <w:szCs w:val="24"/>
        </w:rPr>
        <w:t>(a)(</w:t>
      </w:r>
      <w:r w:rsidRPr="00A80AF8">
        <w:rPr>
          <w:rFonts w:ascii="Times New Roman" w:hAnsi="Times New Roman" w:cs="Times New Roman"/>
          <w:sz w:val="24"/>
          <w:szCs w:val="24"/>
        </w:rPr>
        <w:t>vii)</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87"/>
      </w:r>
      <w:r>
        <w:rPr>
          <w:rFonts w:ascii="Times New Roman" w:hAnsi="Times New Roman" w:cs="Times New Roman"/>
          <w:sz w:val="24"/>
          <w:szCs w:val="24"/>
        </w:rPr>
        <w:t xml:space="preserve"> In </w:t>
      </w:r>
      <w:r w:rsidRPr="00A80AF8">
        <w:rPr>
          <w:rFonts w:ascii="Times New Roman" w:hAnsi="Times New Roman" w:cs="Times New Roman"/>
          <w:i/>
          <w:sz w:val="24"/>
          <w:szCs w:val="24"/>
        </w:rPr>
        <w:t>In re Arellano</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88"/>
      </w:r>
      <w:r>
        <w:rPr>
          <w:rFonts w:ascii="Times New Roman" w:hAnsi="Times New Roman" w:cs="Times New Roman"/>
          <w:sz w:val="24"/>
          <w:szCs w:val="24"/>
        </w:rPr>
        <w:t xml:space="preserve"> for example, the Wyoming Supreme Court upheld a district court’s reversal of the Office of Administrative Hearing’s claim denial of an individual who “</w:t>
      </w:r>
      <w:r w:rsidRPr="00A80AF8">
        <w:rPr>
          <w:rFonts w:ascii="Times New Roman" w:hAnsi="Times New Roman" w:cs="Times New Roman"/>
          <w:sz w:val="24"/>
          <w:szCs w:val="24"/>
        </w:rPr>
        <w:t>admitted that his social security card was a fake he bought on the street from someone</w:t>
      </w:r>
      <w:r>
        <w:rPr>
          <w:rFonts w:ascii="Times New Roman" w:hAnsi="Times New Roman" w:cs="Times New Roman"/>
          <w:sz w:val="24"/>
          <w:szCs w:val="24"/>
        </w:rPr>
        <w:t xml:space="preserve"> . . . [and]</w:t>
      </w:r>
      <w:r w:rsidRPr="00A80AF8">
        <w:rPr>
          <w:rFonts w:ascii="Times New Roman" w:hAnsi="Times New Roman" w:cs="Times New Roman"/>
          <w:sz w:val="24"/>
          <w:szCs w:val="24"/>
        </w:rPr>
        <w:t xml:space="preserve"> also admitted that the information on the Form I–9 was therefore false, that he was a citizen of Mexico, and that he </w:t>
      </w:r>
      <w:r>
        <w:rPr>
          <w:rFonts w:ascii="Times New Roman" w:hAnsi="Times New Roman" w:cs="Times New Roman"/>
          <w:sz w:val="24"/>
          <w:szCs w:val="24"/>
        </w:rPr>
        <w:t>‘</w:t>
      </w:r>
      <w:r w:rsidRPr="00A80AF8">
        <w:rPr>
          <w:rFonts w:ascii="Times New Roman" w:hAnsi="Times New Roman" w:cs="Times New Roman"/>
          <w:sz w:val="24"/>
          <w:szCs w:val="24"/>
        </w:rPr>
        <w:t>didn't know</w:t>
      </w:r>
      <w:r>
        <w:rPr>
          <w:rFonts w:ascii="Times New Roman" w:hAnsi="Times New Roman" w:cs="Times New Roman"/>
          <w:sz w:val="24"/>
          <w:szCs w:val="24"/>
        </w:rPr>
        <w:t>’</w:t>
      </w:r>
      <w:r w:rsidRPr="00A80AF8">
        <w:rPr>
          <w:rFonts w:ascii="Times New Roman" w:hAnsi="Times New Roman" w:cs="Times New Roman"/>
          <w:sz w:val="24"/>
          <w:szCs w:val="24"/>
        </w:rPr>
        <w:t xml:space="preserve"> if he had permission to work in the United States.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89"/>
      </w:r>
      <w:r>
        <w:rPr>
          <w:rFonts w:ascii="Times New Roman" w:hAnsi="Times New Roman" w:cs="Times New Roman"/>
          <w:sz w:val="24"/>
          <w:szCs w:val="24"/>
        </w:rPr>
        <w:t xml:space="preserve"> Responding to the employer’s general arguments that an individual procuring employment through fraud could not have been intended by the Wyoming legislature to qualify as a statutory employee, the Court said, “[w]</w:t>
      </w:r>
      <w:r w:rsidRPr="0073017A">
        <w:rPr>
          <w:rFonts w:ascii="Times New Roman" w:hAnsi="Times New Roman" w:cs="Times New Roman"/>
          <w:sz w:val="24"/>
          <w:szCs w:val="24"/>
        </w:rPr>
        <w:t xml:space="preserve">e find the language of </w:t>
      </w:r>
      <w:r w:rsidRPr="00EE61F3">
        <w:rPr>
          <w:rFonts w:ascii="Times New Roman" w:hAnsi="Times New Roman" w:cs="Times New Roman"/>
          <w:sz w:val="24"/>
          <w:szCs w:val="24"/>
        </w:rPr>
        <w:t xml:space="preserve">§ </w:t>
      </w:r>
      <w:hyperlink r:id="rId31" w:history="1">
        <w:r w:rsidRPr="00EE61F3">
          <w:rPr>
            <w:rStyle w:val="Hyperlink"/>
            <w:rFonts w:ascii="Times New Roman" w:hAnsi="Times New Roman" w:cs="Times New Roman"/>
            <w:sz w:val="24"/>
            <w:szCs w:val="24"/>
          </w:rPr>
          <w:t>27–14–102</w:t>
        </w:r>
      </w:hyperlink>
      <w:r w:rsidRPr="00EE61F3">
        <w:rPr>
          <w:rFonts w:ascii="Times New Roman" w:hAnsi="Times New Roman" w:cs="Times New Roman"/>
          <w:sz w:val="24"/>
          <w:szCs w:val="24"/>
        </w:rPr>
        <w:t>(a)(</w:t>
      </w:r>
      <w:r w:rsidRPr="0073017A">
        <w:rPr>
          <w:rFonts w:ascii="Times New Roman" w:hAnsi="Times New Roman" w:cs="Times New Roman"/>
          <w:sz w:val="24"/>
          <w:szCs w:val="24"/>
        </w:rPr>
        <w:t xml:space="preserve">vii) to be clear, unambiguous and straightforward. It plainly requires only that an employer reasonably believe, based upon </w:t>
      </w:r>
      <w:r>
        <w:rPr>
          <w:rFonts w:ascii="Times New Roman" w:hAnsi="Times New Roman" w:cs="Times New Roman"/>
          <w:sz w:val="24"/>
          <w:szCs w:val="24"/>
        </w:rPr>
        <w:t>‘</w:t>
      </w:r>
      <w:r w:rsidRPr="0073017A">
        <w:rPr>
          <w:rFonts w:ascii="Times New Roman" w:hAnsi="Times New Roman" w:cs="Times New Roman"/>
          <w:sz w:val="24"/>
          <w:szCs w:val="24"/>
        </w:rPr>
        <w:t>documentation</w:t>
      </w:r>
      <w:r>
        <w:rPr>
          <w:rFonts w:ascii="Times New Roman" w:hAnsi="Times New Roman" w:cs="Times New Roman"/>
          <w:sz w:val="24"/>
          <w:szCs w:val="24"/>
        </w:rPr>
        <w:t>’</w:t>
      </w:r>
      <w:r w:rsidRPr="0073017A">
        <w:rPr>
          <w:rFonts w:ascii="Times New Roman" w:hAnsi="Times New Roman" w:cs="Times New Roman"/>
          <w:sz w:val="24"/>
          <w:szCs w:val="24"/>
        </w:rPr>
        <w:t xml:space="preserve"> in its possession at the date of hire and at the date of injury, that the employee is authorized to work in the United </w:t>
      </w:r>
      <w:bookmarkStart w:id="118" w:name="_Hlk24356429"/>
      <w:r w:rsidRPr="0073017A">
        <w:rPr>
          <w:rFonts w:ascii="Times New Roman" w:hAnsi="Times New Roman" w:cs="Times New Roman"/>
          <w:sz w:val="24"/>
          <w:szCs w:val="24"/>
        </w:rPr>
        <w:t>States.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90"/>
      </w:r>
      <w:r>
        <w:rPr>
          <w:rFonts w:ascii="Times New Roman" w:hAnsi="Times New Roman" w:cs="Times New Roman"/>
          <w:sz w:val="24"/>
          <w:szCs w:val="24"/>
        </w:rPr>
        <w:t xml:space="preserve"> It is not required that the documents in the employer’s possession be </w:t>
      </w:r>
      <w:r>
        <w:rPr>
          <w:rFonts w:ascii="Times New Roman" w:hAnsi="Times New Roman" w:cs="Times New Roman"/>
          <w:sz w:val="24"/>
          <w:szCs w:val="24"/>
        </w:rPr>
        <w:lastRenderedPageBreak/>
        <w:t>“authentic;” the only requirement is that they create in the employer a “reasonable belief” of the putative employee’s authorization to work in the United States.</w:t>
      </w:r>
      <w:r w:rsidRPr="00112C9C">
        <w:rPr>
          <w:rFonts w:ascii="Times New Roman" w:hAnsi="Times New Roman" w:cs="Times New Roman"/>
          <w:sz w:val="24"/>
          <w:szCs w:val="24"/>
          <w:vertAlign w:val="superscript"/>
        </w:rPr>
        <w:footnoteReference w:id="91"/>
      </w:r>
      <w:r>
        <w:rPr>
          <w:rFonts w:ascii="Times New Roman" w:hAnsi="Times New Roman" w:cs="Times New Roman"/>
          <w:sz w:val="24"/>
          <w:szCs w:val="24"/>
        </w:rPr>
        <w:t xml:space="preserve"> </w:t>
      </w:r>
    </w:p>
    <w:p w14:paraId="4B1A147E" w14:textId="77777777" w:rsidR="00C15726" w:rsidRDefault="00C15726" w:rsidP="00C15726">
      <w:pPr>
        <w:spacing w:after="0"/>
        <w:jc w:val="both"/>
        <w:rPr>
          <w:rFonts w:ascii="Times New Roman" w:hAnsi="Times New Roman" w:cs="Times New Roman"/>
          <w:sz w:val="24"/>
          <w:szCs w:val="24"/>
        </w:rPr>
      </w:pPr>
    </w:p>
    <w:p w14:paraId="4FED18BB" w14:textId="2A8B0B00" w:rsidR="00C15726"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 xml:space="preserve">The Court reaffirmed this conclusion in </w:t>
      </w:r>
      <w:r w:rsidRPr="0073017A">
        <w:rPr>
          <w:rFonts w:ascii="Times New Roman" w:hAnsi="Times New Roman" w:cs="Times New Roman"/>
          <w:i/>
          <w:sz w:val="24"/>
          <w:szCs w:val="24"/>
        </w:rPr>
        <w:t>Gonzalez v. Reiman Corp</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92"/>
      </w:r>
      <w:r>
        <w:rPr>
          <w:rFonts w:ascii="Times New Roman" w:hAnsi="Times New Roman" w:cs="Times New Roman"/>
          <w:sz w:val="24"/>
          <w:szCs w:val="24"/>
        </w:rPr>
        <w:t xml:space="preserve"> In </w:t>
      </w:r>
      <w:r w:rsidRPr="001C08D9">
        <w:rPr>
          <w:rFonts w:ascii="Times New Roman" w:hAnsi="Times New Roman" w:cs="Times New Roman"/>
          <w:i/>
          <w:sz w:val="24"/>
          <w:szCs w:val="24"/>
        </w:rPr>
        <w:t>Reiman Corp</w:t>
      </w:r>
      <w:r>
        <w:rPr>
          <w:rFonts w:ascii="Times New Roman" w:hAnsi="Times New Roman" w:cs="Times New Roman"/>
          <w:sz w:val="24"/>
          <w:szCs w:val="24"/>
        </w:rPr>
        <w:t>.,  a putative employee proffered false employment documents to the employer on two separate occasions, once upon initial hire, and a second time upon rehire in the following year. During the second period of hire, the putative employee was seriously injured.</w:t>
      </w:r>
      <w:r w:rsidRPr="00112C9C">
        <w:rPr>
          <w:rFonts w:ascii="Times New Roman" w:hAnsi="Times New Roman" w:cs="Times New Roman"/>
          <w:sz w:val="24"/>
          <w:szCs w:val="24"/>
          <w:vertAlign w:val="superscript"/>
        </w:rPr>
        <w:footnoteReference w:id="93"/>
      </w:r>
      <w:r>
        <w:rPr>
          <w:rFonts w:ascii="Times New Roman" w:hAnsi="Times New Roman" w:cs="Times New Roman"/>
          <w:sz w:val="24"/>
          <w:szCs w:val="24"/>
        </w:rPr>
        <w:t xml:space="preserve"> </w:t>
      </w:r>
      <w:bookmarkStart w:id="123" w:name="_Hlk24631048"/>
      <w:r>
        <w:rPr>
          <w:rFonts w:ascii="Times New Roman" w:hAnsi="Times New Roman" w:cs="Times New Roman"/>
          <w:sz w:val="24"/>
          <w:szCs w:val="24"/>
        </w:rPr>
        <w:t xml:space="preserve">The </w:t>
      </w:r>
      <w:r w:rsidR="006D1C6E">
        <w:rPr>
          <w:rFonts w:ascii="Times New Roman" w:hAnsi="Times New Roman" w:cs="Times New Roman"/>
          <w:sz w:val="24"/>
          <w:szCs w:val="24"/>
        </w:rPr>
        <w:t>“</w:t>
      </w:r>
      <w:r>
        <w:rPr>
          <w:rFonts w:ascii="Times New Roman" w:hAnsi="Times New Roman" w:cs="Times New Roman"/>
          <w:sz w:val="24"/>
          <w:szCs w:val="24"/>
        </w:rPr>
        <w:t>Division</w:t>
      </w:r>
      <w:r w:rsidR="006D1C6E">
        <w:rPr>
          <w:rFonts w:ascii="Times New Roman" w:hAnsi="Times New Roman" w:cs="Times New Roman"/>
          <w:sz w:val="24"/>
          <w:szCs w:val="24"/>
        </w:rPr>
        <w:t>,” the title of the workers’ compensation administrative</w:t>
      </w:r>
      <w:r w:rsidR="00A71DE6">
        <w:rPr>
          <w:rFonts w:ascii="Times New Roman" w:hAnsi="Times New Roman" w:cs="Times New Roman"/>
          <w:sz w:val="24"/>
          <w:szCs w:val="24"/>
        </w:rPr>
        <w:t xml:space="preserve"> claims</w:t>
      </w:r>
      <w:r w:rsidR="006D1C6E">
        <w:rPr>
          <w:rFonts w:ascii="Times New Roman" w:hAnsi="Times New Roman" w:cs="Times New Roman"/>
          <w:sz w:val="24"/>
          <w:szCs w:val="24"/>
        </w:rPr>
        <w:t xml:space="preserve"> body in Wyoming, denied</w:t>
      </w:r>
      <w:r>
        <w:rPr>
          <w:rFonts w:ascii="Times New Roman" w:hAnsi="Times New Roman" w:cs="Times New Roman"/>
          <w:sz w:val="24"/>
          <w:szCs w:val="24"/>
        </w:rPr>
        <w:t xml:space="preserve"> the putative employee’s ensuing claim </w:t>
      </w:r>
      <w:bookmarkEnd w:id="118"/>
      <w:r>
        <w:rPr>
          <w:rFonts w:ascii="Times New Roman" w:hAnsi="Times New Roman" w:cs="Times New Roman"/>
          <w:sz w:val="24"/>
          <w:szCs w:val="24"/>
        </w:rPr>
        <w:t>for benefits.</w:t>
      </w:r>
      <w:r w:rsidRPr="00112C9C">
        <w:rPr>
          <w:rFonts w:ascii="Times New Roman" w:hAnsi="Times New Roman" w:cs="Times New Roman"/>
          <w:sz w:val="24"/>
          <w:szCs w:val="24"/>
          <w:vertAlign w:val="superscript"/>
        </w:rPr>
        <w:footnoteReference w:id="94"/>
      </w:r>
      <w:r>
        <w:rPr>
          <w:rFonts w:ascii="Times New Roman" w:hAnsi="Times New Roman" w:cs="Times New Roman"/>
          <w:sz w:val="24"/>
          <w:szCs w:val="24"/>
        </w:rPr>
        <w:t xml:space="preserve"> </w:t>
      </w:r>
      <w:bookmarkEnd w:id="123"/>
      <w:r>
        <w:rPr>
          <w:rFonts w:ascii="Times New Roman" w:hAnsi="Times New Roman" w:cs="Times New Roman"/>
          <w:sz w:val="24"/>
          <w:szCs w:val="24"/>
        </w:rPr>
        <w:t>Both the employer and the employee appealed this determination but, interestingly, the employee thereafter withdrew his objection,</w:t>
      </w:r>
      <w:r w:rsidRPr="00112C9C">
        <w:rPr>
          <w:rFonts w:ascii="Times New Roman" w:hAnsi="Times New Roman" w:cs="Times New Roman"/>
          <w:sz w:val="24"/>
          <w:szCs w:val="24"/>
          <w:vertAlign w:val="superscript"/>
        </w:rPr>
        <w:footnoteReference w:id="95"/>
      </w:r>
      <w:r>
        <w:rPr>
          <w:rFonts w:ascii="Times New Roman" w:hAnsi="Times New Roman" w:cs="Times New Roman"/>
          <w:sz w:val="24"/>
          <w:szCs w:val="24"/>
        </w:rPr>
        <w:t xml:space="preserve"> possibly because as a non-employee he could pursue a tort claim, a topic that will </w:t>
      </w:r>
      <w:bookmarkEnd w:id="114"/>
      <w:r>
        <w:rPr>
          <w:rFonts w:ascii="Times New Roman" w:hAnsi="Times New Roman" w:cs="Times New Roman"/>
          <w:sz w:val="24"/>
          <w:szCs w:val="24"/>
        </w:rPr>
        <w:t>be taken up momentarily. The Office of Administrative Hearings</w:t>
      </w:r>
      <w:r w:rsidR="00EC4180">
        <w:rPr>
          <w:rFonts w:ascii="Times New Roman" w:hAnsi="Times New Roman" w:cs="Times New Roman"/>
          <w:sz w:val="24"/>
          <w:szCs w:val="24"/>
        </w:rPr>
        <w:t xml:space="preserve">, the main administrative body hearing appeals of administrative adjudications in Wyoming, </w:t>
      </w:r>
      <w:r>
        <w:rPr>
          <w:rFonts w:ascii="Times New Roman" w:hAnsi="Times New Roman" w:cs="Times New Roman"/>
          <w:sz w:val="24"/>
          <w:szCs w:val="24"/>
        </w:rPr>
        <w:t xml:space="preserve"> found the putative employee entitled to benefits because the employer reasonably believed he was authorized to work in the United States, and the district court affirmed the Office of Administrative Hearings’ determination.</w:t>
      </w:r>
      <w:r w:rsidRPr="00112C9C">
        <w:rPr>
          <w:rFonts w:ascii="Times New Roman" w:hAnsi="Times New Roman" w:cs="Times New Roman"/>
          <w:sz w:val="24"/>
          <w:szCs w:val="24"/>
          <w:vertAlign w:val="superscript"/>
        </w:rPr>
        <w:footnoteReference w:id="96"/>
      </w:r>
      <w:r>
        <w:rPr>
          <w:rFonts w:ascii="Times New Roman" w:hAnsi="Times New Roman" w:cs="Times New Roman"/>
          <w:sz w:val="24"/>
          <w:szCs w:val="24"/>
        </w:rPr>
        <w:t xml:space="preserve"> The Wyoming Supreme Court upheld the determination below, </w:t>
      </w:r>
      <w:r w:rsidRPr="00542F72">
        <w:rPr>
          <w:rFonts w:ascii="Times New Roman" w:hAnsi="Times New Roman" w:cs="Times New Roman"/>
          <w:b/>
          <w:bCs/>
          <w:sz w:val="24"/>
          <w:szCs w:val="24"/>
        </w:rPr>
        <w:t>rejecting</w:t>
      </w:r>
      <w:r>
        <w:rPr>
          <w:rFonts w:ascii="Times New Roman" w:hAnsi="Times New Roman" w:cs="Times New Roman"/>
          <w:sz w:val="24"/>
          <w:szCs w:val="24"/>
        </w:rPr>
        <w:t xml:space="preserve"> the argument that for reasonable belief to be established an</w:t>
      </w:r>
      <w:r w:rsidRPr="00895181">
        <w:rPr>
          <w:rFonts w:ascii="Times New Roman" w:hAnsi="Times New Roman" w:cs="Times New Roman"/>
          <w:sz w:val="24"/>
          <w:szCs w:val="24"/>
        </w:rPr>
        <w:t xml:space="preserve"> </w:t>
      </w:r>
      <w:r>
        <w:rPr>
          <w:rFonts w:ascii="Times New Roman" w:hAnsi="Times New Roman" w:cs="Times New Roman"/>
          <w:sz w:val="24"/>
          <w:szCs w:val="24"/>
        </w:rPr>
        <w:t>“</w:t>
      </w:r>
      <w:r w:rsidRPr="00895181">
        <w:rPr>
          <w:rFonts w:ascii="Times New Roman" w:hAnsi="Times New Roman" w:cs="Times New Roman"/>
          <w:sz w:val="24"/>
          <w:szCs w:val="24"/>
        </w:rPr>
        <w:t>employer must have in its possession all documentation required by the federal Office of Citizenship and Immigration Services (OCIS) and such documentation must be inspected, completed, and maintained in a manner that complies with all OCIS regulations and requirements of the Immigration Reform and Control Act of 1986 (IRCA)</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97"/>
      </w:r>
    </w:p>
    <w:p w14:paraId="33D5A397" w14:textId="77777777" w:rsidR="00C15726" w:rsidRDefault="00C15726" w:rsidP="00C15726">
      <w:pPr>
        <w:spacing w:after="0"/>
        <w:jc w:val="both"/>
        <w:rPr>
          <w:rFonts w:ascii="Times New Roman" w:hAnsi="Times New Roman" w:cs="Times New Roman"/>
          <w:sz w:val="24"/>
          <w:szCs w:val="24"/>
        </w:rPr>
      </w:pPr>
    </w:p>
    <w:p w14:paraId="45573B05" w14:textId="1F565188" w:rsidR="00FF7482" w:rsidRDefault="00FF7482" w:rsidP="00C15726">
      <w:pPr>
        <w:spacing w:after="0"/>
        <w:jc w:val="both"/>
        <w:rPr>
          <w:rFonts w:ascii="Times New Roman" w:hAnsi="Times New Roman" w:cs="Times New Roman"/>
          <w:sz w:val="24"/>
          <w:szCs w:val="24"/>
        </w:rPr>
      </w:pPr>
      <w:r>
        <w:rPr>
          <w:rFonts w:ascii="Times New Roman" w:hAnsi="Times New Roman" w:cs="Times New Roman"/>
          <w:sz w:val="24"/>
          <w:szCs w:val="24"/>
        </w:rPr>
        <w:t xml:space="preserve">As intimated above, the logical corollary of the proposition that an alien is a statutory employee if the employer reasonably believes the alien to be authorized for employment is that, </w:t>
      </w:r>
      <w:r w:rsidRPr="001F0F78">
        <w:rPr>
          <w:rFonts w:ascii="Times New Roman" w:hAnsi="Times New Roman" w:cs="Times New Roman"/>
          <w:b/>
          <w:sz w:val="24"/>
          <w:szCs w:val="24"/>
        </w:rPr>
        <w:t xml:space="preserve">the alien is </w:t>
      </w:r>
      <w:r w:rsidRPr="001F0F78">
        <w:rPr>
          <w:rFonts w:ascii="Times New Roman" w:hAnsi="Times New Roman" w:cs="Times New Roman"/>
          <w:b/>
          <w:i/>
          <w:sz w:val="24"/>
          <w:szCs w:val="24"/>
        </w:rPr>
        <w:t>not</w:t>
      </w:r>
      <w:r w:rsidRPr="001F0F78">
        <w:rPr>
          <w:rFonts w:ascii="Times New Roman" w:hAnsi="Times New Roman" w:cs="Times New Roman"/>
          <w:b/>
          <w:sz w:val="24"/>
          <w:szCs w:val="24"/>
        </w:rPr>
        <w:t xml:space="preserve"> a statutory employee if (a) the alien was not authorized to work in the United States </w:t>
      </w:r>
      <w:r w:rsidRPr="001F0F78">
        <w:rPr>
          <w:rFonts w:ascii="Times New Roman" w:hAnsi="Times New Roman" w:cs="Times New Roman"/>
          <w:b/>
          <w:sz w:val="24"/>
          <w:szCs w:val="24"/>
          <w:u w:val="single"/>
        </w:rPr>
        <w:t>and</w:t>
      </w:r>
      <w:r w:rsidRPr="001F0F78">
        <w:rPr>
          <w:rFonts w:ascii="Times New Roman" w:hAnsi="Times New Roman" w:cs="Times New Roman"/>
          <w:b/>
          <w:sz w:val="24"/>
          <w:szCs w:val="24"/>
        </w:rPr>
        <w:t xml:space="preserve"> (b) the employer did </w:t>
      </w:r>
      <w:r w:rsidRPr="00542F72">
        <w:rPr>
          <w:rFonts w:ascii="Times New Roman" w:hAnsi="Times New Roman" w:cs="Times New Roman"/>
          <w:b/>
          <w:sz w:val="24"/>
          <w:szCs w:val="24"/>
          <w:u w:val="single"/>
        </w:rPr>
        <w:t>not</w:t>
      </w:r>
      <w:r w:rsidRPr="001F0F78">
        <w:rPr>
          <w:rFonts w:ascii="Times New Roman" w:hAnsi="Times New Roman" w:cs="Times New Roman"/>
          <w:b/>
          <w:sz w:val="24"/>
          <w:szCs w:val="24"/>
        </w:rPr>
        <w:t xml:space="preserve"> reasonably believe the alien was authorized</w:t>
      </w:r>
      <w:r w:rsidRPr="0007565C">
        <w:rPr>
          <w:rFonts w:ascii="Times New Roman" w:hAnsi="Times New Roman" w:cs="Times New Roman"/>
          <w:bCs/>
          <w:sz w:val="24"/>
          <w:szCs w:val="24"/>
        </w:rPr>
        <w:t xml:space="preserve">. </w:t>
      </w:r>
      <w:r>
        <w:rPr>
          <w:rFonts w:ascii="Times New Roman" w:hAnsi="Times New Roman" w:cs="Times New Roman"/>
          <w:sz w:val="24"/>
          <w:szCs w:val="24"/>
        </w:rPr>
        <w:t xml:space="preserve">Thus, for example, in </w:t>
      </w:r>
      <w:r w:rsidRPr="00C846B4">
        <w:rPr>
          <w:rFonts w:ascii="Times New Roman" w:hAnsi="Times New Roman" w:cs="Times New Roman"/>
          <w:i/>
          <w:sz w:val="24"/>
          <w:szCs w:val="24"/>
        </w:rPr>
        <w:t>Herrera v. Phillipps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98"/>
      </w:r>
      <w:r>
        <w:rPr>
          <w:rFonts w:ascii="Times New Roman" w:hAnsi="Times New Roman" w:cs="Times New Roman"/>
          <w:sz w:val="24"/>
          <w:szCs w:val="24"/>
        </w:rPr>
        <w:t xml:space="preserve"> a pipe fuser, injured when a pipe exploded, brought a negligence suit against the entity for whom he was working, and an intentional tort suit against that entity’s acknowledged employee.</w:t>
      </w:r>
      <w:r w:rsidRPr="00112C9C">
        <w:rPr>
          <w:rFonts w:ascii="Times New Roman" w:hAnsi="Times New Roman" w:cs="Times New Roman"/>
          <w:sz w:val="24"/>
          <w:szCs w:val="24"/>
          <w:vertAlign w:val="superscript"/>
        </w:rPr>
        <w:footnoteReference w:id="99"/>
      </w:r>
      <w:r>
        <w:rPr>
          <w:rFonts w:ascii="Times New Roman" w:hAnsi="Times New Roman" w:cs="Times New Roman"/>
          <w:sz w:val="24"/>
          <w:szCs w:val="24"/>
        </w:rPr>
        <w:t xml:space="preserve"> The defendants moved for summary judgment asserting the exclusive remedy</w:t>
      </w:r>
      <w:r w:rsidR="00EC4180">
        <w:rPr>
          <w:rFonts w:ascii="Times New Roman" w:hAnsi="Times New Roman" w:cs="Times New Roman"/>
          <w:sz w:val="24"/>
          <w:szCs w:val="24"/>
        </w:rPr>
        <w:t>/immunity</w:t>
      </w:r>
      <w:r>
        <w:rPr>
          <w:rFonts w:ascii="Times New Roman" w:hAnsi="Times New Roman" w:cs="Times New Roman"/>
          <w:sz w:val="24"/>
          <w:szCs w:val="24"/>
        </w:rPr>
        <w:t xml:space="preserve"> bar of workers’ compensation, and the district court granted the motions.</w:t>
      </w:r>
      <w:r w:rsidRPr="00112C9C">
        <w:rPr>
          <w:rFonts w:ascii="Times New Roman" w:hAnsi="Times New Roman" w:cs="Times New Roman"/>
          <w:sz w:val="24"/>
          <w:szCs w:val="24"/>
          <w:vertAlign w:val="superscript"/>
        </w:rPr>
        <w:footnoteReference w:id="100"/>
      </w:r>
      <w:r>
        <w:rPr>
          <w:rFonts w:ascii="Times New Roman" w:hAnsi="Times New Roman" w:cs="Times New Roman"/>
          <w:sz w:val="24"/>
          <w:szCs w:val="24"/>
        </w:rPr>
        <w:t xml:space="preserve"> Although the plaintiff was </w:t>
      </w:r>
      <w:r w:rsidRPr="00542F72">
        <w:rPr>
          <w:rFonts w:ascii="Times New Roman" w:hAnsi="Times New Roman" w:cs="Times New Roman"/>
          <w:i/>
          <w:iCs/>
          <w:sz w:val="24"/>
          <w:szCs w:val="24"/>
        </w:rPr>
        <w:t>not</w:t>
      </w:r>
      <w:r>
        <w:rPr>
          <w:rFonts w:ascii="Times New Roman" w:hAnsi="Times New Roman" w:cs="Times New Roman"/>
          <w:sz w:val="24"/>
          <w:szCs w:val="24"/>
        </w:rPr>
        <w:t xml:space="preserve"> authorized to </w:t>
      </w:r>
      <w:r>
        <w:rPr>
          <w:rFonts w:ascii="Times New Roman" w:hAnsi="Times New Roman" w:cs="Times New Roman"/>
          <w:sz w:val="24"/>
          <w:szCs w:val="24"/>
        </w:rPr>
        <w:lastRenderedPageBreak/>
        <w:t>work in the United States, the parties disagreed about whether the putative employer was aware of the fact.</w:t>
      </w:r>
      <w:r w:rsidRPr="00112C9C">
        <w:rPr>
          <w:rFonts w:ascii="Times New Roman" w:hAnsi="Times New Roman" w:cs="Times New Roman"/>
          <w:sz w:val="24"/>
          <w:szCs w:val="24"/>
          <w:vertAlign w:val="superscript"/>
        </w:rPr>
        <w:footnoteReference w:id="101"/>
      </w:r>
      <w:r>
        <w:rPr>
          <w:rFonts w:ascii="Times New Roman" w:hAnsi="Times New Roman" w:cs="Times New Roman"/>
          <w:sz w:val="24"/>
          <w:szCs w:val="24"/>
        </w:rPr>
        <w:t xml:space="preserve"> Ultimately, the Wyoming Supreme Court remanded the case to the district court because there were disputed issues of fact as to whether the putative employer </w:t>
      </w:r>
      <w:r w:rsidRPr="00542F72">
        <w:rPr>
          <w:rFonts w:ascii="Times New Roman" w:hAnsi="Times New Roman" w:cs="Times New Roman"/>
          <w:i/>
          <w:iCs/>
          <w:sz w:val="24"/>
          <w:szCs w:val="24"/>
        </w:rPr>
        <w:t>reasonably believed</w:t>
      </w:r>
      <w:r>
        <w:rPr>
          <w:rFonts w:ascii="Times New Roman" w:hAnsi="Times New Roman" w:cs="Times New Roman"/>
          <w:sz w:val="24"/>
          <w:szCs w:val="24"/>
        </w:rPr>
        <w:t xml:space="preserve"> the alien lacked work authorization; if the evidence showed that the “employer” did not have such a reasonable belief (based on the appropriate documentation), the employer was </w:t>
      </w:r>
      <w:r w:rsidRPr="00155D15">
        <w:rPr>
          <w:rFonts w:ascii="Times New Roman" w:hAnsi="Times New Roman" w:cs="Times New Roman"/>
          <w:i/>
          <w:sz w:val="24"/>
          <w:szCs w:val="24"/>
        </w:rPr>
        <w:t>not</w:t>
      </w:r>
      <w:r>
        <w:rPr>
          <w:rFonts w:ascii="Times New Roman" w:hAnsi="Times New Roman" w:cs="Times New Roman"/>
          <w:sz w:val="24"/>
          <w:szCs w:val="24"/>
        </w:rPr>
        <w:t xml:space="preserve"> immune from suit.</w:t>
      </w:r>
      <w:r w:rsidRPr="00112C9C">
        <w:rPr>
          <w:rFonts w:ascii="Times New Roman" w:hAnsi="Times New Roman" w:cs="Times New Roman"/>
          <w:sz w:val="24"/>
          <w:szCs w:val="24"/>
          <w:vertAlign w:val="superscript"/>
        </w:rPr>
        <w:footnoteReference w:id="102"/>
      </w:r>
      <w:r>
        <w:rPr>
          <w:rFonts w:ascii="Times New Roman" w:hAnsi="Times New Roman" w:cs="Times New Roman"/>
          <w:sz w:val="24"/>
          <w:szCs w:val="24"/>
        </w:rPr>
        <w:t xml:space="preserve">   </w:t>
      </w:r>
    </w:p>
    <w:p w14:paraId="40D99243" w14:textId="77777777" w:rsidR="00C15726" w:rsidRDefault="00C15726" w:rsidP="00C15726">
      <w:pPr>
        <w:spacing w:after="0"/>
        <w:jc w:val="both"/>
        <w:rPr>
          <w:rFonts w:ascii="Times New Roman" w:hAnsi="Times New Roman" w:cs="Times New Roman"/>
          <w:sz w:val="24"/>
          <w:szCs w:val="24"/>
        </w:rPr>
      </w:pPr>
    </w:p>
    <w:p w14:paraId="7A3F822B" w14:textId="3844573A" w:rsidR="00FF7482" w:rsidRDefault="00FF7482" w:rsidP="006A3226">
      <w:pPr>
        <w:spacing w:after="0"/>
        <w:jc w:val="both"/>
        <w:rPr>
          <w:rFonts w:ascii="Times New Roman" w:hAnsi="Times New Roman" w:cs="Times New Roman"/>
          <w:sz w:val="24"/>
          <w:szCs w:val="24"/>
        </w:rPr>
      </w:pPr>
      <w:r>
        <w:rPr>
          <w:rFonts w:ascii="Times New Roman" w:hAnsi="Times New Roman" w:cs="Times New Roman"/>
          <w:sz w:val="24"/>
          <w:szCs w:val="24"/>
        </w:rPr>
        <w:t xml:space="preserve">It is problematic that the existence of employee status for undocumented workers turns upon the </w:t>
      </w:r>
      <w:r w:rsidRPr="00542F72">
        <w:rPr>
          <w:rFonts w:ascii="Times New Roman" w:hAnsi="Times New Roman" w:cs="Times New Roman"/>
          <w:i/>
          <w:iCs/>
          <w:sz w:val="24"/>
          <w:szCs w:val="24"/>
        </w:rPr>
        <w:t>belief</w:t>
      </w:r>
      <w:r>
        <w:rPr>
          <w:rFonts w:ascii="Times New Roman" w:hAnsi="Times New Roman" w:cs="Times New Roman"/>
          <w:sz w:val="24"/>
          <w:szCs w:val="24"/>
        </w:rPr>
        <w:t xml:space="preserve"> of an employer as to work authorization. In the first place, all the worker apparently need do is to place in the employer’s hands a forged document that is good enough to create a “reasonable belief” in the employer that the worker is authorized to work. Possession of a document seems to set the floor of the reasonableness of the belief, but surely not all documents are equally susceptible of belief. Ultimately, the state of affairs may lead to the determination of tort versus</w:t>
      </w:r>
      <w:r w:rsidR="00592925">
        <w:rPr>
          <w:rFonts w:ascii="Times New Roman" w:hAnsi="Times New Roman" w:cs="Times New Roman"/>
          <w:sz w:val="24"/>
          <w:szCs w:val="24"/>
        </w:rPr>
        <w:t xml:space="preserve"> workers’ compensation</w:t>
      </w:r>
      <w:r>
        <w:rPr>
          <w:rFonts w:ascii="Times New Roman" w:hAnsi="Times New Roman" w:cs="Times New Roman"/>
          <w:sz w:val="24"/>
          <w:szCs w:val="24"/>
        </w:rPr>
        <w:t xml:space="preserve"> liability being premised on </w:t>
      </w:r>
      <w:r w:rsidRPr="00542F72">
        <w:rPr>
          <w:rFonts w:ascii="Times New Roman" w:hAnsi="Times New Roman" w:cs="Times New Roman"/>
          <w:i/>
          <w:iCs/>
          <w:sz w:val="24"/>
          <w:szCs w:val="24"/>
        </w:rPr>
        <w:t>a single credibility determination</w:t>
      </w:r>
      <w:r>
        <w:rPr>
          <w:rFonts w:ascii="Times New Roman" w:hAnsi="Times New Roman" w:cs="Times New Roman"/>
          <w:sz w:val="24"/>
          <w:szCs w:val="24"/>
        </w:rPr>
        <w:t>. From a state constitutional perspective, one can easily imagine “open courts” arguments emerging in this prickly area.</w:t>
      </w:r>
      <w:r w:rsidRPr="00112C9C">
        <w:rPr>
          <w:rFonts w:ascii="Times New Roman" w:hAnsi="Times New Roman" w:cs="Times New Roman"/>
          <w:sz w:val="24"/>
          <w:szCs w:val="24"/>
          <w:vertAlign w:val="superscript"/>
        </w:rPr>
        <w:footnoteReference w:id="103"/>
      </w:r>
      <w:r>
        <w:rPr>
          <w:rFonts w:ascii="Times New Roman" w:hAnsi="Times New Roman" w:cs="Times New Roman"/>
          <w:sz w:val="24"/>
          <w:szCs w:val="24"/>
        </w:rPr>
        <w:t xml:space="preserve"> At a minimum, the law seems tailor-made for strategic behavior on all sides. For example, an employer who ascertains that an injured undocumented worker’s civil tort case is weak could simply “confess” to not having documents in its possession, on the date of hire and of injury, from which a reasonable belief that the worker was authorized to work could have been created. The ultimate result could be that the injured individual is entitled </w:t>
      </w:r>
      <w:r w:rsidRPr="00166803">
        <w:rPr>
          <w:rFonts w:ascii="Times New Roman" w:hAnsi="Times New Roman" w:cs="Times New Roman"/>
          <w:i/>
          <w:sz w:val="24"/>
          <w:szCs w:val="24"/>
        </w:rPr>
        <w:t>neither</w:t>
      </w:r>
      <w:r>
        <w:rPr>
          <w:rFonts w:ascii="Times New Roman" w:hAnsi="Times New Roman" w:cs="Times New Roman"/>
          <w:sz w:val="24"/>
          <w:szCs w:val="24"/>
        </w:rPr>
        <w:t xml:space="preserve"> to a tort suit </w:t>
      </w:r>
      <w:r w:rsidRPr="00542F72">
        <w:rPr>
          <w:rFonts w:ascii="Times New Roman" w:hAnsi="Times New Roman" w:cs="Times New Roman"/>
          <w:i/>
          <w:iCs/>
          <w:sz w:val="24"/>
          <w:szCs w:val="24"/>
        </w:rPr>
        <w:t xml:space="preserve">nor </w:t>
      </w:r>
      <w:r>
        <w:rPr>
          <w:rFonts w:ascii="Times New Roman" w:hAnsi="Times New Roman" w:cs="Times New Roman"/>
          <w:sz w:val="24"/>
          <w:szCs w:val="24"/>
        </w:rPr>
        <w:t>to a workers’ compensation claim. The avoided liability may, for the employer, exceed in benefit any countervailing legal costs or difficulties. Wyoming law in this area has probably been influenced by tort cases allowing</w:t>
      </w:r>
      <w:r w:rsidRPr="002457F9">
        <w:rPr>
          <w:rFonts w:ascii="Times New Roman" w:hAnsi="Times New Roman" w:cs="Times New Roman"/>
          <w:sz w:val="24"/>
          <w:szCs w:val="24"/>
        </w:rPr>
        <w:t xml:space="preserve"> </w:t>
      </w:r>
      <w:r>
        <w:rPr>
          <w:rFonts w:ascii="Times New Roman" w:hAnsi="Times New Roman" w:cs="Times New Roman"/>
          <w:sz w:val="24"/>
          <w:szCs w:val="24"/>
        </w:rPr>
        <w:t>“</w:t>
      </w:r>
      <w:r w:rsidRPr="002457F9">
        <w:rPr>
          <w:rFonts w:ascii="Times New Roman" w:hAnsi="Times New Roman" w:cs="Times New Roman"/>
          <w:sz w:val="24"/>
          <w:szCs w:val="24"/>
        </w:rPr>
        <w:t>an award of such damages against a person responsible for an illegal alien</w:t>
      </w:r>
      <w:r>
        <w:rPr>
          <w:rFonts w:ascii="Times New Roman" w:hAnsi="Times New Roman" w:cs="Times New Roman"/>
          <w:sz w:val="24"/>
          <w:szCs w:val="24"/>
        </w:rPr>
        <w:t>’</w:t>
      </w:r>
      <w:r w:rsidRPr="002457F9">
        <w:rPr>
          <w:rFonts w:ascii="Times New Roman" w:hAnsi="Times New Roman" w:cs="Times New Roman"/>
          <w:sz w:val="24"/>
          <w:szCs w:val="24"/>
        </w:rPr>
        <w:t>s employment when that person knew or should have known of that illegal alien</w:t>
      </w:r>
      <w:r>
        <w:rPr>
          <w:rFonts w:ascii="Times New Roman" w:hAnsi="Times New Roman" w:cs="Times New Roman"/>
          <w:sz w:val="24"/>
          <w:szCs w:val="24"/>
        </w:rPr>
        <w:t>’</w:t>
      </w:r>
      <w:r w:rsidRPr="002457F9">
        <w:rPr>
          <w:rFonts w:ascii="Times New Roman" w:hAnsi="Times New Roman" w:cs="Times New Roman"/>
          <w:sz w:val="24"/>
          <w:szCs w:val="24"/>
        </w:rPr>
        <w:t xml:space="preserve">s status. The threat of tort liability acts as an incentive to reduce the risk of </w:t>
      </w:r>
      <w:r w:rsidRPr="002457F9">
        <w:rPr>
          <w:rFonts w:ascii="Times New Roman" w:hAnsi="Times New Roman" w:cs="Times New Roman"/>
          <w:sz w:val="24"/>
          <w:szCs w:val="24"/>
        </w:rPr>
        <w:lastRenderedPageBreak/>
        <w:t>injuries.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04"/>
      </w:r>
      <w:r>
        <w:rPr>
          <w:rFonts w:ascii="Times New Roman" w:hAnsi="Times New Roman" w:cs="Times New Roman"/>
          <w:sz w:val="24"/>
          <w:szCs w:val="24"/>
        </w:rPr>
        <w:t xml:space="preserve"> Regardless, the clear majority position in the United States is that undocumented workers are entitled to workers’ compensation benefits.</w:t>
      </w:r>
      <w:r w:rsidRPr="00112C9C">
        <w:rPr>
          <w:rFonts w:ascii="Times New Roman" w:hAnsi="Times New Roman" w:cs="Times New Roman"/>
          <w:sz w:val="24"/>
          <w:szCs w:val="24"/>
          <w:vertAlign w:val="superscript"/>
        </w:rPr>
        <w:footnoteReference w:id="105"/>
      </w:r>
    </w:p>
    <w:p w14:paraId="5DAB704B" w14:textId="77777777" w:rsidR="00FF7482" w:rsidRDefault="00FF7482" w:rsidP="006A3226">
      <w:pPr>
        <w:spacing w:after="0"/>
        <w:jc w:val="both"/>
        <w:rPr>
          <w:rFonts w:ascii="Times New Roman" w:hAnsi="Times New Roman" w:cs="Times New Roman"/>
          <w:sz w:val="24"/>
          <w:szCs w:val="24"/>
        </w:rPr>
      </w:pPr>
    </w:p>
    <w:p w14:paraId="608A7448" w14:textId="1E67D02B" w:rsidR="00FF7482" w:rsidRDefault="00FF7482" w:rsidP="00A1543A">
      <w:pPr>
        <w:pStyle w:val="Heading2"/>
        <w:rPr>
          <w:rFonts w:ascii="Times New Roman" w:hAnsi="Times New Roman" w:cs="Times New Roman"/>
          <w:b/>
          <w:color w:val="auto"/>
        </w:rPr>
      </w:pPr>
      <w:bookmarkStart w:id="136" w:name="_Toc75269347"/>
      <w:r w:rsidRPr="008B479F">
        <w:rPr>
          <w:rFonts w:ascii="Times New Roman" w:hAnsi="Times New Roman" w:cs="Times New Roman"/>
          <w:b/>
          <w:color w:val="auto"/>
        </w:rPr>
        <w:t>Extraterritoriality</w:t>
      </w:r>
      <w:r>
        <w:rPr>
          <w:rFonts w:ascii="Times New Roman" w:hAnsi="Times New Roman" w:cs="Times New Roman"/>
          <w:b/>
          <w:color w:val="auto"/>
        </w:rPr>
        <w:t xml:space="preserve"> in Wyoming</w:t>
      </w:r>
      <w:bookmarkEnd w:id="136"/>
    </w:p>
    <w:p w14:paraId="326A4956" w14:textId="77777777" w:rsidR="00FF7482" w:rsidRPr="008B479F" w:rsidRDefault="00FF7482" w:rsidP="00FE123E">
      <w:pPr>
        <w:spacing w:after="0"/>
      </w:pPr>
    </w:p>
    <w:p w14:paraId="5E4403D9" w14:textId="2EBEBFD4" w:rsidR="00FF7482" w:rsidRDefault="00FF7482" w:rsidP="006A3226">
      <w:pPr>
        <w:spacing w:after="0"/>
        <w:jc w:val="both"/>
        <w:rPr>
          <w:rFonts w:ascii="Times New Roman" w:hAnsi="Times New Roman" w:cs="Times New Roman"/>
          <w:sz w:val="24"/>
          <w:szCs w:val="24"/>
        </w:rPr>
      </w:pPr>
      <w:r>
        <w:rPr>
          <w:rFonts w:ascii="Times New Roman" w:hAnsi="Times New Roman" w:cs="Times New Roman"/>
          <w:sz w:val="24"/>
          <w:szCs w:val="24"/>
        </w:rPr>
        <w:t xml:space="preserve">In addition to falling under the statutory definition, </w:t>
      </w:r>
      <w:r w:rsidRPr="00714BDC">
        <w:rPr>
          <w:rFonts w:ascii="Times New Roman" w:hAnsi="Times New Roman" w:cs="Times New Roman"/>
          <w:b/>
          <w:bCs/>
          <w:sz w:val="24"/>
          <w:szCs w:val="24"/>
        </w:rPr>
        <w:t>the employee</w:t>
      </w:r>
      <w:r>
        <w:rPr>
          <w:rFonts w:ascii="Times New Roman" w:hAnsi="Times New Roman" w:cs="Times New Roman"/>
          <w:b/>
          <w:bCs/>
          <w:sz w:val="24"/>
          <w:szCs w:val="24"/>
        </w:rPr>
        <w:t>, to be covered,</w:t>
      </w:r>
      <w:r w:rsidRPr="00714BDC">
        <w:rPr>
          <w:rFonts w:ascii="Times New Roman" w:hAnsi="Times New Roman" w:cs="Times New Roman"/>
          <w:b/>
          <w:bCs/>
          <w:sz w:val="24"/>
          <w:szCs w:val="24"/>
        </w:rPr>
        <w:t xml:space="preserve"> must at the time of the injury be working under a contract for hire made in Wyoming for employment by an employer who has a principal place of business within the state and </w:t>
      </w:r>
      <w:r w:rsidRPr="00714BDC">
        <w:rPr>
          <w:rFonts w:ascii="Times New Roman" w:hAnsi="Times New Roman" w:cs="Times New Roman"/>
          <w:b/>
          <w:bCs/>
          <w:i/>
          <w:sz w:val="24"/>
          <w:szCs w:val="24"/>
        </w:rPr>
        <w:t>the employment</w:t>
      </w:r>
      <w:r w:rsidRPr="00714BDC">
        <w:rPr>
          <w:rFonts w:ascii="Times New Roman" w:hAnsi="Times New Roman" w:cs="Times New Roman"/>
          <w:b/>
          <w:bCs/>
          <w:sz w:val="24"/>
          <w:szCs w:val="24"/>
        </w:rPr>
        <w:t xml:space="preserve"> must be within the United States, a United States territory, Canada or Mexico, but which is not </w:t>
      </w:r>
      <w:r w:rsidRPr="00714BDC">
        <w:rPr>
          <w:rFonts w:ascii="Times New Roman" w:hAnsi="Times New Roman" w:cs="Times New Roman"/>
          <w:b/>
          <w:bCs/>
          <w:i/>
          <w:sz w:val="24"/>
          <w:szCs w:val="24"/>
        </w:rPr>
        <w:t>principally</w:t>
      </w:r>
      <w:r w:rsidRPr="00714BDC">
        <w:rPr>
          <w:rFonts w:ascii="Times New Roman" w:hAnsi="Times New Roman" w:cs="Times New Roman"/>
          <w:b/>
          <w:bCs/>
          <w:sz w:val="24"/>
          <w:szCs w:val="24"/>
        </w:rPr>
        <w:t xml:space="preserve"> localized in any other state, United States territory, Canada or Mexico</w:t>
      </w:r>
      <w:r w:rsidRPr="0007565C">
        <w:rPr>
          <w:rFonts w:ascii="Times New Roman" w:hAnsi="Times New Roman" w:cs="Times New Roman"/>
          <w:sz w:val="24"/>
          <w:szCs w:val="24"/>
        </w:rPr>
        <w:t>.</w:t>
      </w:r>
      <w:r w:rsidRPr="00714BDC">
        <w:rPr>
          <w:rFonts w:ascii="Times New Roman" w:hAnsi="Times New Roman" w:cs="Times New Roman"/>
          <w:b/>
          <w:bCs/>
          <w:sz w:val="24"/>
          <w:szCs w:val="24"/>
        </w:rPr>
        <w:t xml:space="preserve"> </w:t>
      </w:r>
      <w:r w:rsidRPr="000F0B35">
        <w:rPr>
          <w:rFonts w:ascii="Times New Roman" w:hAnsi="Times New Roman" w:cs="Times New Roman"/>
          <w:sz w:val="24"/>
          <w:szCs w:val="24"/>
        </w:rPr>
        <w:t xml:space="preserve">The employee </w:t>
      </w:r>
      <w:r w:rsidRPr="00542F72">
        <w:rPr>
          <w:rFonts w:ascii="Times New Roman" w:hAnsi="Times New Roman" w:cs="Times New Roman"/>
          <w:i/>
          <w:iCs/>
          <w:sz w:val="24"/>
          <w:szCs w:val="24"/>
        </w:rPr>
        <w:t>may</w:t>
      </w:r>
      <w:r>
        <w:rPr>
          <w:rFonts w:ascii="Times New Roman" w:hAnsi="Times New Roman" w:cs="Times New Roman"/>
          <w:sz w:val="24"/>
          <w:szCs w:val="24"/>
        </w:rPr>
        <w:t xml:space="preserve"> also be covered if, </w:t>
      </w:r>
      <w:r w:rsidRPr="000F0B35">
        <w:rPr>
          <w:rFonts w:ascii="Times New Roman" w:hAnsi="Times New Roman" w:cs="Times New Roman"/>
          <w:sz w:val="24"/>
          <w:szCs w:val="24"/>
        </w:rPr>
        <w:t>at the time of the injury</w:t>
      </w:r>
      <w:r>
        <w:rPr>
          <w:rFonts w:ascii="Times New Roman" w:hAnsi="Times New Roman" w:cs="Times New Roman"/>
          <w:sz w:val="24"/>
          <w:szCs w:val="24"/>
        </w:rPr>
        <w:t>, the employee</w:t>
      </w:r>
      <w:r w:rsidRPr="000F0B35">
        <w:rPr>
          <w:rFonts w:ascii="Times New Roman" w:hAnsi="Times New Roman" w:cs="Times New Roman"/>
          <w:sz w:val="24"/>
          <w:szCs w:val="24"/>
        </w:rPr>
        <w:t xml:space="preserve"> is working under </w:t>
      </w:r>
      <w:r w:rsidRPr="00714BDC">
        <w:rPr>
          <w:rFonts w:ascii="Times New Roman" w:hAnsi="Times New Roman" w:cs="Times New Roman"/>
          <w:b/>
          <w:bCs/>
          <w:sz w:val="24"/>
          <w:szCs w:val="24"/>
        </w:rPr>
        <w:t xml:space="preserve">a contract for hire made in Wyoming for employment principally localized in another state, United States territory, Canada or Mexico, </w:t>
      </w:r>
      <w:r w:rsidRPr="00714BDC">
        <w:rPr>
          <w:rFonts w:ascii="Times New Roman" w:hAnsi="Times New Roman" w:cs="Times New Roman"/>
          <w:b/>
          <w:bCs/>
          <w:i/>
          <w:sz w:val="24"/>
          <w:szCs w:val="24"/>
        </w:rPr>
        <w:t>the workers' compensation law of which jurisdiction does not require that the employment be covered by a workers' compensation insurance policy issued under the laws of that jurisdiction</w:t>
      </w:r>
      <w:r w:rsidRPr="0007565C">
        <w:rPr>
          <w:rFonts w:ascii="Times New Roman" w:hAnsi="Times New Roman" w:cs="Times New Roman"/>
          <w:sz w:val="24"/>
          <w:szCs w:val="24"/>
        </w:rPr>
        <w:t>.</w:t>
      </w:r>
      <w:r>
        <w:rPr>
          <w:rFonts w:ascii="Times New Roman" w:hAnsi="Times New Roman" w:cs="Times New Roman"/>
          <w:sz w:val="24"/>
          <w:szCs w:val="24"/>
        </w:rPr>
        <w:t xml:space="preserve"> Thus, even if the employee is working principally in another state, a work-related injury may be covered if </w:t>
      </w:r>
      <w:r w:rsidRPr="000F0B35">
        <w:rPr>
          <w:rFonts w:ascii="Times New Roman" w:hAnsi="Times New Roman" w:cs="Times New Roman"/>
          <w:i/>
          <w:sz w:val="24"/>
          <w:szCs w:val="24"/>
        </w:rPr>
        <w:t>that</w:t>
      </w:r>
      <w:r>
        <w:rPr>
          <w:rFonts w:ascii="Times New Roman" w:hAnsi="Times New Roman" w:cs="Times New Roman"/>
          <w:sz w:val="24"/>
          <w:szCs w:val="24"/>
        </w:rPr>
        <w:t xml:space="preserve"> state did not require the employment in which the injury occurred to be covered. The law on these issues is set out </w:t>
      </w:r>
      <w:r w:rsidR="00B54FED">
        <w:rPr>
          <w:rFonts w:ascii="Times New Roman" w:hAnsi="Times New Roman" w:cs="Times New Roman"/>
          <w:sz w:val="24"/>
          <w:szCs w:val="24"/>
        </w:rPr>
        <w:t xml:space="preserve">in </w:t>
      </w:r>
      <w:r w:rsidRPr="004B3D99">
        <w:rPr>
          <w:rFonts w:ascii="Times New Roman" w:hAnsi="Times New Roman" w:cs="Times New Roman"/>
          <w:sz w:val="24"/>
          <w:szCs w:val="24"/>
        </w:rPr>
        <w:t xml:space="preserve">W.S. § </w:t>
      </w:r>
      <w:hyperlink r:id="rId32" w:history="1">
        <w:r w:rsidRPr="004B3D99">
          <w:rPr>
            <w:rStyle w:val="Hyperlink"/>
            <w:rFonts w:ascii="Times New Roman" w:hAnsi="Times New Roman" w:cs="Times New Roman"/>
            <w:sz w:val="24"/>
            <w:szCs w:val="24"/>
          </w:rPr>
          <w:t>27-14-301</w:t>
        </w:r>
      </w:hyperlink>
      <w:r>
        <w:rPr>
          <w:rFonts w:ascii="Times New Roman" w:hAnsi="Times New Roman" w:cs="Times New Roman"/>
          <w:sz w:val="24"/>
          <w:szCs w:val="24"/>
        </w:rPr>
        <w:t>.</w:t>
      </w:r>
    </w:p>
    <w:p w14:paraId="5C100E78" w14:textId="77777777" w:rsidR="00FF7482" w:rsidRDefault="00FF7482" w:rsidP="006A3226">
      <w:pPr>
        <w:spacing w:after="0"/>
        <w:jc w:val="both"/>
        <w:rPr>
          <w:rFonts w:ascii="Times New Roman" w:hAnsi="Times New Roman" w:cs="Times New Roman"/>
          <w:sz w:val="24"/>
          <w:szCs w:val="24"/>
        </w:rPr>
      </w:pPr>
    </w:p>
    <w:p w14:paraId="0D0897BA" w14:textId="37F0321A" w:rsidR="00FF7482" w:rsidRPr="00050E85" w:rsidRDefault="00FF7482" w:rsidP="00A1543A">
      <w:pPr>
        <w:pStyle w:val="Heading2"/>
        <w:rPr>
          <w:rFonts w:ascii="Times New Roman" w:hAnsi="Times New Roman" w:cs="Times New Roman"/>
          <w:b/>
          <w:color w:val="auto"/>
        </w:rPr>
      </w:pPr>
      <w:bookmarkStart w:id="137" w:name="_Toc75269348"/>
      <w:r w:rsidRPr="00050E85">
        <w:rPr>
          <w:rFonts w:ascii="Times New Roman" w:hAnsi="Times New Roman" w:cs="Times New Roman"/>
          <w:b/>
          <w:color w:val="auto"/>
        </w:rPr>
        <w:t>Joint Employee</w:t>
      </w:r>
      <w:r>
        <w:rPr>
          <w:rFonts w:ascii="Times New Roman" w:hAnsi="Times New Roman" w:cs="Times New Roman"/>
          <w:b/>
          <w:color w:val="auto"/>
        </w:rPr>
        <w:t xml:space="preserve"> in Wyoming</w:t>
      </w:r>
      <w:bookmarkEnd w:id="137"/>
    </w:p>
    <w:p w14:paraId="7ADBAAC8" w14:textId="77777777" w:rsidR="00FF7482" w:rsidRPr="008B479F" w:rsidRDefault="00FF7482" w:rsidP="006A3226">
      <w:pPr>
        <w:spacing w:after="0"/>
      </w:pPr>
    </w:p>
    <w:p w14:paraId="3F10FAE0" w14:textId="256C397A" w:rsidR="00FF7482" w:rsidRDefault="00FF7482" w:rsidP="007026CF">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163F2F">
        <w:rPr>
          <w:rFonts w:ascii="Times New Roman" w:hAnsi="Times New Roman" w:cs="Times New Roman"/>
          <w:sz w:val="24"/>
          <w:szCs w:val="24"/>
        </w:rPr>
        <w:t>“</w:t>
      </w:r>
      <w:r>
        <w:rPr>
          <w:rFonts w:ascii="Times New Roman" w:hAnsi="Times New Roman" w:cs="Times New Roman"/>
          <w:sz w:val="24"/>
          <w:szCs w:val="24"/>
        </w:rPr>
        <w:t>j</w:t>
      </w:r>
      <w:r w:rsidRPr="00163F2F">
        <w:rPr>
          <w:rFonts w:ascii="Times New Roman" w:hAnsi="Times New Roman" w:cs="Times New Roman"/>
          <w:sz w:val="24"/>
          <w:szCs w:val="24"/>
        </w:rPr>
        <w:t>oint employee” means any person</w:t>
      </w:r>
      <w:r>
        <w:rPr>
          <w:rFonts w:ascii="Times New Roman" w:hAnsi="Times New Roman" w:cs="Times New Roman"/>
          <w:sz w:val="24"/>
          <w:szCs w:val="24"/>
        </w:rPr>
        <w:t xml:space="preserve"> having</w:t>
      </w:r>
      <w:r w:rsidRPr="00163F2F">
        <w:rPr>
          <w:rFonts w:ascii="Times New Roman" w:hAnsi="Times New Roman" w:cs="Times New Roman"/>
          <w:sz w:val="24"/>
          <w:szCs w:val="24"/>
        </w:rPr>
        <w:t xml:space="preserve"> an express or implied contract for employment with more than one joint employer</w:t>
      </w:r>
      <w:r>
        <w:rPr>
          <w:rFonts w:ascii="Times New Roman" w:hAnsi="Times New Roman" w:cs="Times New Roman"/>
          <w:sz w:val="24"/>
          <w:szCs w:val="24"/>
        </w:rPr>
        <w:t xml:space="preserve"> simultaneously; and whose work</w:t>
      </w:r>
      <w:r w:rsidRPr="00163F2F">
        <w:rPr>
          <w:rFonts w:ascii="Times New Roman" w:hAnsi="Times New Roman" w:cs="Times New Roman"/>
          <w:sz w:val="24"/>
          <w:szCs w:val="24"/>
        </w:rPr>
        <w:t xml:space="preserve"> is controlled by more than one joint employer; and</w:t>
      </w:r>
      <w:r>
        <w:rPr>
          <w:rFonts w:ascii="Times New Roman" w:hAnsi="Times New Roman" w:cs="Times New Roman"/>
          <w:sz w:val="24"/>
          <w:szCs w:val="24"/>
        </w:rPr>
        <w:t xml:space="preserve"> w</w:t>
      </w:r>
      <w:r w:rsidRPr="00163F2F">
        <w:rPr>
          <w:rFonts w:ascii="Times New Roman" w:hAnsi="Times New Roman" w:cs="Times New Roman"/>
          <w:sz w:val="24"/>
          <w:szCs w:val="24"/>
        </w:rPr>
        <w:t>ho is engaged in the performance of work for more than one joint employer.</w:t>
      </w:r>
      <w:r w:rsidRPr="00112C9C">
        <w:rPr>
          <w:rFonts w:ascii="Times New Roman" w:hAnsi="Times New Roman" w:cs="Times New Roman"/>
          <w:sz w:val="24"/>
          <w:szCs w:val="24"/>
          <w:vertAlign w:val="superscript"/>
        </w:rPr>
        <w:footnoteReference w:id="106"/>
      </w:r>
    </w:p>
    <w:p w14:paraId="7C8036E6" w14:textId="77777777" w:rsidR="00FF7482" w:rsidRDefault="00FF7482" w:rsidP="006A3226">
      <w:pPr>
        <w:spacing w:after="0"/>
        <w:ind w:firstLine="720"/>
        <w:jc w:val="both"/>
        <w:rPr>
          <w:rFonts w:ascii="Times New Roman" w:hAnsi="Times New Roman" w:cs="Times New Roman"/>
          <w:sz w:val="24"/>
          <w:szCs w:val="24"/>
        </w:rPr>
      </w:pPr>
    </w:p>
    <w:p w14:paraId="664569AD" w14:textId="278B7A24" w:rsidR="00FF7482" w:rsidRPr="00050E85" w:rsidRDefault="00FF7482" w:rsidP="00A1543A">
      <w:pPr>
        <w:pStyle w:val="Heading2"/>
        <w:rPr>
          <w:rFonts w:ascii="Times New Roman" w:hAnsi="Times New Roman" w:cs="Times New Roman"/>
          <w:b/>
          <w:color w:val="auto"/>
        </w:rPr>
      </w:pPr>
      <w:bookmarkStart w:id="139" w:name="_Toc75269349"/>
      <w:r w:rsidRPr="00050E85">
        <w:rPr>
          <w:rFonts w:ascii="Times New Roman" w:hAnsi="Times New Roman" w:cs="Times New Roman"/>
          <w:b/>
          <w:color w:val="auto"/>
        </w:rPr>
        <w:t>Employee Definitions Not Interchangeable</w:t>
      </w:r>
      <w:r>
        <w:rPr>
          <w:rFonts w:ascii="Times New Roman" w:hAnsi="Times New Roman" w:cs="Times New Roman"/>
          <w:b/>
          <w:color w:val="auto"/>
        </w:rPr>
        <w:t xml:space="preserve"> in Wyoming</w:t>
      </w:r>
      <w:bookmarkEnd w:id="139"/>
    </w:p>
    <w:p w14:paraId="5297670C" w14:textId="77777777" w:rsidR="00FF7482" w:rsidRPr="008B479F" w:rsidRDefault="00FF7482" w:rsidP="00FE123E">
      <w:pPr>
        <w:spacing w:after="0"/>
      </w:pPr>
    </w:p>
    <w:p w14:paraId="14EAA1FA" w14:textId="636232BA" w:rsidR="00FF7482" w:rsidRDefault="00FF7482" w:rsidP="006A3226">
      <w:pPr>
        <w:spacing w:after="0"/>
        <w:jc w:val="both"/>
        <w:rPr>
          <w:rFonts w:ascii="Times New Roman" w:hAnsi="Times New Roman" w:cs="Times New Roman"/>
          <w:sz w:val="24"/>
          <w:szCs w:val="24"/>
        </w:rPr>
      </w:pPr>
      <w:r>
        <w:rPr>
          <w:rFonts w:ascii="Times New Roman" w:hAnsi="Times New Roman" w:cs="Times New Roman"/>
          <w:sz w:val="24"/>
          <w:szCs w:val="24"/>
        </w:rPr>
        <w:t xml:space="preserve">Under Wyoming’s </w:t>
      </w:r>
      <w:r w:rsidRPr="006F698A">
        <w:rPr>
          <w:rFonts w:ascii="Times New Roman" w:hAnsi="Times New Roman" w:cs="Times New Roman"/>
          <w:b/>
          <w:bCs/>
          <w:i/>
          <w:sz w:val="24"/>
          <w:szCs w:val="24"/>
        </w:rPr>
        <w:t>unemployment compensation</w:t>
      </w:r>
      <w:r>
        <w:rPr>
          <w:rFonts w:ascii="Times New Roman" w:hAnsi="Times New Roman" w:cs="Times New Roman"/>
          <w:sz w:val="24"/>
          <w:szCs w:val="24"/>
        </w:rPr>
        <w:t xml:space="preserve"> law, W.S. </w:t>
      </w:r>
      <w:r w:rsidRPr="004B3D99">
        <w:rPr>
          <w:rFonts w:ascii="Times New Roman" w:hAnsi="Times New Roman" w:cs="Times New Roman"/>
          <w:sz w:val="24"/>
          <w:szCs w:val="24"/>
        </w:rPr>
        <w:t xml:space="preserve">§ </w:t>
      </w:r>
      <w:hyperlink r:id="rId33" w:history="1">
        <w:r w:rsidRPr="004B3D99">
          <w:rPr>
            <w:rStyle w:val="Hyperlink"/>
            <w:rFonts w:ascii="Times New Roman" w:hAnsi="Times New Roman" w:cs="Times New Roman"/>
            <w:sz w:val="24"/>
            <w:szCs w:val="24"/>
          </w:rPr>
          <w:t>27-3-104</w:t>
        </w:r>
      </w:hyperlink>
      <w:r>
        <w:rPr>
          <w:rFonts w:ascii="Times New Roman" w:hAnsi="Times New Roman" w:cs="Times New Roman"/>
          <w:sz w:val="24"/>
          <w:szCs w:val="24"/>
        </w:rPr>
        <w:t xml:space="preserve">(a)(i), an “employee” is defined in accord with the standard Internal Revenue Code definition which has historically utilized </w:t>
      </w:r>
      <w:r w:rsidRPr="006F698A">
        <w:rPr>
          <w:rFonts w:ascii="Times New Roman" w:hAnsi="Times New Roman" w:cs="Times New Roman"/>
          <w:b/>
          <w:bCs/>
          <w:sz w:val="24"/>
          <w:szCs w:val="24"/>
          <w:u w:val="single"/>
        </w:rPr>
        <w:t>a 20-factor common law test</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07"/>
      </w:r>
      <w:r>
        <w:rPr>
          <w:rFonts w:ascii="Times New Roman" w:hAnsi="Times New Roman" w:cs="Times New Roman"/>
          <w:sz w:val="24"/>
          <w:szCs w:val="24"/>
        </w:rPr>
        <w:t xml:space="preserve"> Under the </w:t>
      </w:r>
      <w:r w:rsidRPr="006F698A">
        <w:rPr>
          <w:rFonts w:ascii="Times New Roman" w:hAnsi="Times New Roman" w:cs="Times New Roman"/>
          <w:b/>
          <w:bCs/>
          <w:i/>
          <w:sz w:val="24"/>
          <w:szCs w:val="24"/>
        </w:rPr>
        <w:t>Wyoming Occupational Health and Safety statute</w:t>
      </w:r>
      <w:r>
        <w:rPr>
          <w:rFonts w:ascii="Times New Roman" w:hAnsi="Times New Roman" w:cs="Times New Roman"/>
          <w:sz w:val="24"/>
          <w:szCs w:val="24"/>
        </w:rPr>
        <w:t xml:space="preserve">, </w:t>
      </w:r>
      <w:r w:rsidRPr="004B3D99">
        <w:rPr>
          <w:rFonts w:ascii="Times New Roman" w:hAnsi="Times New Roman" w:cs="Times New Roman"/>
          <w:sz w:val="24"/>
          <w:szCs w:val="24"/>
        </w:rPr>
        <w:t xml:space="preserve">W.S. § </w:t>
      </w:r>
      <w:hyperlink r:id="rId34" w:history="1">
        <w:r w:rsidRPr="004B3D99">
          <w:rPr>
            <w:rStyle w:val="Hyperlink"/>
            <w:rFonts w:ascii="Times New Roman" w:hAnsi="Times New Roman" w:cs="Times New Roman"/>
            <w:sz w:val="24"/>
            <w:szCs w:val="24"/>
          </w:rPr>
          <w:t>27-11-103</w:t>
        </w:r>
      </w:hyperlink>
      <w:r>
        <w:rPr>
          <w:rFonts w:ascii="Times New Roman" w:hAnsi="Times New Roman" w:cs="Times New Roman"/>
          <w:sz w:val="24"/>
          <w:szCs w:val="24"/>
        </w:rPr>
        <w:t xml:space="preserve">(a)(iii), “employee” is defined as </w:t>
      </w:r>
      <w:r w:rsidRPr="006F698A">
        <w:rPr>
          <w:rFonts w:ascii="Times New Roman" w:hAnsi="Times New Roman" w:cs="Times New Roman"/>
          <w:b/>
          <w:bCs/>
          <w:sz w:val="24"/>
          <w:szCs w:val="24"/>
        </w:rPr>
        <w:t>“</w:t>
      </w:r>
      <w:r w:rsidRPr="006F698A">
        <w:rPr>
          <w:rFonts w:ascii="Times New Roman" w:hAnsi="Times New Roman" w:cs="Times New Roman"/>
          <w:b/>
          <w:bCs/>
          <w:sz w:val="24"/>
          <w:szCs w:val="24"/>
          <w:u w:val="single"/>
        </w:rPr>
        <w:t xml:space="preserve">a person permitted to work by an employer in </w:t>
      </w:r>
      <w:r w:rsidRPr="006F698A">
        <w:rPr>
          <w:rFonts w:ascii="Times New Roman" w:hAnsi="Times New Roman" w:cs="Times New Roman"/>
          <w:b/>
          <w:bCs/>
          <w:sz w:val="24"/>
          <w:szCs w:val="24"/>
          <w:u w:val="single"/>
        </w:rPr>
        <w:lastRenderedPageBreak/>
        <w:t>employment</w:t>
      </w:r>
      <w:r w:rsidRPr="006F698A">
        <w:rPr>
          <w:rFonts w:ascii="Times New Roman" w:hAnsi="Times New Roman" w:cs="Times New Roman"/>
          <w:b/>
          <w:bCs/>
          <w:sz w:val="24"/>
          <w:szCs w:val="24"/>
        </w:rPr>
        <w:t>.”</w:t>
      </w:r>
      <w:r>
        <w:rPr>
          <w:rFonts w:ascii="Times New Roman" w:hAnsi="Times New Roman" w:cs="Times New Roman"/>
          <w:sz w:val="24"/>
          <w:szCs w:val="24"/>
        </w:rPr>
        <w:t xml:space="preserve"> “Employment” is in turn defined, in (a)(v) of the same provision as “</w:t>
      </w:r>
      <w:r w:rsidRPr="00B4356A">
        <w:rPr>
          <w:rFonts w:ascii="Times New Roman" w:hAnsi="Times New Roman" w:cs="Times New Roman"/>
          <w:sz w:val="24"/>
          <w:szCs w:val="24"/>
        </w:rPr>
        <w:t>all services for pay under a contract of hire</w:t>
      </w:r>
      <w:r>
        <w:rPr>
          <w:rFonts w:ascii="Times New Roman" w:hAnsi="Times New Roman" w:cs="Times New Roman"/>
          <w:sz w:val="24"/>
          <w:szCs w:val="24"/>
        </w:rPr>
        <w:t xml:space="preserve">.”  While these appear to represent all the employee definitions in Wyoming’s </w:t>
      </w:r>
      <w:r w:rsidRPr="006F698A">
        <w:rPr>
          <w:rFonts w:ascii="Times New Roman" w:hAnsi="Times New Roman" w:cs="Times New Roman"/>
          <w:b/>
          <w:bCs/>
          <w:sz w:val="24"/>
          <w:szCs w:val="24"/>
        </w:rPr>
        <w:t>overall</w:t>
      </w:r>
      <w:r>
        <w:rPr>
          <w:rFonts w:ascii="Times New Roman" w:hAnsi="Times New Roman" w:cs="Times New Roman"/>
          <w:sz w:val="24"/>
          <w:szCs w:val="24"/>
        </w:rPr>
        <w:t xml:space="preserve"> Labor and Employment code, Title 27, the important point is that the employee definition for purposes of workers’ compensation law is distinct from these provisions. (See </w:t>
      </w:r>
      <w:r w:rsidRPr="006F698A">
        <w:rPr>
          <w:rFonts w:ascii="Times New Roman" w:hAnsi="Times New Roman" w:cs="Times New Roman"/>
          <w:i/>
          <w:iCs/>
          <w:sz w:val="24"/>
          <w:szCs w:val="24"/>
        </w:rPr>
        <w:t>supra.</w:t>
      </w:r>
      <w:r>
        <w:rPr>
          <w:rFonts w:ascii="Times New Roman" w:hAnsi="Times New Roman" w:cs="Times New Roman"/>
          <w:sz w:val="24"/>
          <w:szCs w:val="24"/>
        </w:rPr>
        <w:t xml:space="preserve"> in this Treatise at Section 2.2 above).</w:t>
      </w:r>
    </w:p>
    <w:p w14:paraId="45A7644E" w14:textId="77777777" w:rsidR="00FF7482" w:rsidRPr="00261BDF" w:rsidRDefault="00FF7482" w:rsidP="006A3226">
      <w:pPr>
        <w:spacing w:after="0"/>
        <w:jc w:val="both"/>
        <w:rPr>
          <w:rFonts w:ascii="Times New Roman" w:hAnsi="Times New Roman" w:cs="Times New Roman"/>
          <w:sz w:val="24"/>
          <w:szCs w:val="24"/>
        </w:rPr>
      </w:pPr>
    </w:p>
    <w:p w14:paraId="18D6907B" w14:textId="64B6A970" w:rsidR="00FF7482" w:rsidRPr="00050E85" w:rsidRDefault="00FF7482" w:rsidP="00A1543A">
      <w:pPr>
        <w:pStyle w:val="Heading2"/>
        <w:rPr>
          <w:rFonts w:ascii="Times New Roman" w:hAnsi="Times New Roman" w:cs="Times New Roman"/>
          <w:b/>
          <w:color w:val="auto"/>
        </w:rPr>
      </w:pPr>
      <w:bookmarkStart w:id="141" w:name="_Toc75269350"/>
      <w:r w:rsidRPr="00050E85">
        <w:rPr>
          <w:rFonts w:ascii="Times New Roman" w:hAnsi="Times New Roman" w:cs="Times New Roman"/>
          <w:b/>
          <w:color w:val="auto"/>
        </w:rPr>
        <w:t>Wyoming Independent Contractor Law</w:t>
      </w:r>
      <w:bookmarkEnd w:id="141"/>
    </w:p>
    <w:p w14:paraId="4ADB5567" w14:textId="77777777" w:rsidR="00FF7482" w:rsidRDefault="00FF7482" w:rsidP="00FB7728">
      <w:pPr>
        <w:spacing w:after="0"/>
        <w:jc w:val="both"/>
        <w:rPr>
          <w:rFonts w:ascii="Times New Roman" w:hAnsi="Times New Roman" w:cs="Times New Roman"/>
          <w:sz w:val="24"/>
          <w:szCs w:val="24"/>
        </w:rPr>
      </w:pPr>
    </w:p>
    <w:p w14:paraId="78FE45DF" w14:textId="56E94F5C" w:rsidR="00FF7482" w:rsidRDefault="00FF7482" w:rsidP="00951829">
      <w:pPr>
        <w:spacing w:after="0"/>
        <w:jc w:val="both"/>
        <w:rPr>
          <w:rFonts w:ascii="Times New Roman" w:hAnsi="Times New Roman" w:cs="Times New Roman"/>
          <w:sz w:val="24"/>
          <w:szCs w:val="24"/>
        </w:rPr>
      </w:pPr>
      <w:r w:rsidRPr="00714BDC">
        <w:rPr>
          <w:rFonts w:ascii="Times New Roman" w:hAnsi="Times New Roman" w:cs="Times New Roman"/>
          <w:b/>
          <w:sz w:val="24"/>
          <w:szCs w:val="24"/>
          <w:u w:val="single"/>
        </w:rPr>
        <w:t>Independent contractors are excluded from the statutory definition of “employee” and, thus, are extended no workers’ compensation benefits under Wyoming law</w:t>
      </w:r>
      <w:r w:rsidRPr="0007565C">
        <w:rPr>
          <w:rFonts w:ascii="Times New Roman" w:hAnsi="Times New Roman" w:cs="Times New Roman"/>
          <w:bCs/>
          <w:sz w:val="24"/>
          <w:szCs w:val="24"/>
        </w:rPr>
        <w:t xml:space="preserve">. </w:t>
      </w:r>
      <w:bookmarkStart w:id="142" w:name="_Hlk516840015"/>
      <w:r w:rsidRPr="004B3D99">
        <w:rPr>
          <w:rFonts w:ascii="Times New Roman" w:hAnsi="Times New Roman" w:cs="Times New Roman"/>
          <w:sz w:val="24"/>
          <w:szCs w:val="24"/>
        </w:rPr>
        <w:t xml:space="preserve">W.S. § </w:t>
      </w:r>
      <w:hyperlink r:id="rId35" w:history="1">
        <w:r w:rsidRPr="004B3D99">
          <w:rPr>
            <w:rStyle w:val="Hyperlink"/>
            <w:rFonts w:ascii="Times New Roman" w:hAnsi="Times New Roman" w:cs="Times New Roman"/>
            <w:sz w:val="24"/>
            <w:szCs w:val="24"/>
          </w:rPr>
          <w:t>27-14-102</w:t>
        </w:r>
      </w:hyperlink>
      <w:r w:rsidRPr="004B3D99">
        <w:rPr>
          <w:rFonts w:ascii="Times New Roman" w:hAnsi="Times New Roman" w:cs="Times New Roman"/>
          <w:sz w:val="24"/>
          <w:szCs w:val="24"/>
        </w:rPr>
        <w:t>(a)</w:t>
      </w:r>
      <w:r w:rsidRPr="004A04C8">
        <w:rPr>
          <w:rFonts w:ascii="Times New Roman" w:hAnsi="Times New Roman" w:cs="Times New Roman"/>
          <w:sz w:val="24"/>
          <w:szCs w:val="24"/>
        </w:rPr>
        <w:t>(vii)(D)</w:t>
      </w:r>
      <w:bookmarkEnd w:id="142"/>
      <w:r w:rsidRPr="004A04C8">
        <w:rPr>
          <w:rFonts w:ascii="Times New Roman" w:hAnsi="Times New Roman" w:cs="Times New Roman"/>
          <w:sz w:val="24"/>
          <w:szCs w:val="24"/>
        </w:rPr>
        <w:t>.</w:t>
      </w:r>
      <w:r>
        <w:rPr>
          <w:rFonts w:ascii="Times New Roman" w:hAnsi="Times New Roman" w:cs="Times New Roman"/>
          <w:sz w:val="24"/>
          <w:szCs w:val="24"/>
        </w:rPr>
        <w:t xml:space="preserve"> Unlike the nationally-dominant ten-factor Restatement Second of Agency test, to be discussed in greater detail below, </w:t>
      </w:r>
      <w:r w:rsidRPr="001F0F78">
        <w:rPr>
          <w:rFonts w:ascii="Times New Roman" w:hAnsi="Times New Roman" w:cs="Times New Roman"/>
          <w:b/>
          <w:sz w:val="24"/>
          <w:szCs w:val="24"/>
        </w:rPr>
        <w:t>Wyoming applies a three-factor test</w:t>
      </w:r>
      <w:r>
        <w:rPr>
          <w:rFonts w:ascii="Times New Roman" w:hAnsi="Times New Roman" w:cs="Times New Roman"/>
          <w:sz w:val="24"/>
          <w:szCs w:val="24"/>
        </w:rPr>
        <w:t xml:space="preserve">. While there is no magic to the number of factors utilized by legislatures or courts to determine independent contractor versus employee status, practitioners should be mindful that Wyoming’s test is somewhat unique when compared to more widely utilized tests throughout the country, to be discussed below. </w:t>
      </w:r>
      <w:r w:rsidRPr="001F0F78">
        <w:rPr>
          <w:rFonts w:ascii="Times New Roman" w:hAnsi="Times New Roman" w:cs="Times New Roman"/>
          <w:b/>
          <w:sz w:val="24"/>
          <w:szCs w:val="24"/>
        </w:rPr>
        <w:t>In Wyoming, “independent contractor” means 1) an individual who performs services for another individual or entity and is free from control or direction over the details of the performance of services by contract and by fact; 2) represents his services to the public as a self-employed individual or an independent contractor; and 3) may substitute another person to perform his services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08"/>
      </w:r>
      <w:r>
        <w:rPr>
          <w:rFonts w:ascii="Times New Roman" w:hAnsi="Times New Roman" w:cs="Times New Roman"/>
          <w:sz w:val="24"/>
          <w:szCs w:val="24"/>
        </w:rPr>
        <w:t xml:space="preserve"> The standard is similar, though not identical, to the “ABC” test used by some other jurisdictions discussed below at </w:t>
      </w:r>
      <w:r w:rsidR="00BC44E1">
        <w:rPr>
          <w:rFonts w:ascii="Times New Roman" w:hAnsi="Times New Roman" w:cs="Times New Roman"/>
          <w:sz w:val="24"/>
          <w:szCs w:val="24"/>
        </w:rPr>
        <w:t>S</w:t>
      </w:r>
      <w:r>
        <w:rPr>
          <w:rFonts w:ascii="Times New Roman" w:hAnsi="Times New Roman" w:cs="Times New Roman"/>
          <w:sz w:val="24"/>
          <w:szCs w:val="24"/>
        </w:rPr>
        <w:t>ection 2.6.</w:t>
      </w:r>
    </w:p>
    <w:p w14:paraId="6A55628E" w14:textId="77777777" w:rsidR="00951829" w:rsidRDefault="00951829" w:rsidP="00951829">
      <w:pPr>
        <w:spacing w:after="0"/>
        <w:jc w:val="both"/>
        <w:rPr>
          <w:rFonts w:ascii="Times New Roman" w:hAnsi="Times New Roman" w:cs="Times New Roman"/>
          <w:sz w:val="24"/>
          <w:szCs w:val="24"/>
        </w:rPr>
      </w:pPr>
    </w:p>
    <w:p w14:paraId="4E8A6BFD" w14:textId="0894600A"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The lead case analyzing and explaining the independent contractor standard in Wyoming is the Wyoming Supreme Court’s 2014 opinion in </w:t>
      </w:r>
      <w:r w:rsidRPr="005717A4">
        <w:rPr>
          <w:rFonts w:ascii="Times New Roman" w:hAnsi="Times New Roman" w:cs="Times New Roman"/>
          <w:i/>
          <w:iCs/>
          <w:sz w:val="24"/>
          <w:szCs w:val="24"/>
        </w:rPr>
        <w:t>Circle C Resources, Inc. v. Kobielusz</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09"/>
      </w:r>
      <w:r>
        <w:rPr>
          <w:rFonts w:ascii="Times New Roman" w:hAnsi="Times New Roman" w:cs="Times New Roman"/>
          <w:sz w:val="24"/>
          <w:szCs w:val="24"/>
        </w:rPr>
        <w:t xml:space="preserve"> In </w:t>
      </w:r>
      <w:r w:rsidRPr="009415C1">
        <w:rPr>
          <w:rFonts w:ascii="Times New Roman" w:hAnsi="Times New Roman" w:cs="Times New Roman"/>
          <w:i/>
          <w:sz w:val="24"/>
          <w:szCs w:val="24"/>
        </w:rPr>
        <w:t>Circle C</w:t>
      </w:r>
      <w:r>
        <w:rPr>
          <w:rFonts w:ascii="Times New Roman" w:hAnsi="Times New Roman" w:cs="Times New Roman"/>
          <w:sz w:val="24"/>
          <w:szCs w:val="24"/>
        </w:rPr>
        <w:t xml:space="preserve">, a host family provider fell and broke her ankle on Circle C’s premises. Unsurprisingly, first-level administrative fact finders initially found that the injury was compensable. </w:t>
      </w:r>
      <w:r w:rsidRPr="009415C1">
        <w:rPr>
          <w:rFonts w:ascii="Times New Roman" w:hAnsi="Times New Roman" w:cs="Times New Roman"/>
          <w:sz w:val="24"/>
          <w:szCs w:val="24"/>
        </w:rPr>
        <w:t>Circle C objected</w:t>
      </w:r>
      <w:r>
        <w:rPr>
          <w:rFonts w:ascii="Times New Roman" w:hAnsi="Times New Roman" w:cs="Times New Roman"/>
          <w:sz w:val="24"/>
          <w:szCs w:val="24"/>
        </w:rPr>
        <w:t>, arguing</w:t>
      </w:r>
      <w:r w:rsidRPr="009415C1">
        <w:rPr>
          <w:rFonts w:ascii="Times New Roman" w:hAnsi="Times New Roman" w:cs="Times New Roman"/>
          <w:sz w:val="24"/>
          <w:szCs w:val="24"/>
        </w:rPr>
        <w:t xml:space="preserve"> that </w:t>
      </w:r>
      <w:r>
        <w:rPr>
          <w:rFonts w:ascii="Times New Roman" w:hAnsi="Times New Roman" w:cs="Times New Roman"/>
          <w:sz w:val="24"/>
          <w:szCs w:val="24"/>
        </w:rPr>
        <w:t>the host family provider</w:t>
      </w:r>
      <w:r w:rsidRPr="009415C1">
        <w:rPr>
          <w:rFonts w:ascii="Times New Roman" w:hAnsi="Times New Roman" w:cs="Times New Roman"/>
          <w:sz w:val="24"/>
          <w:szCs w:val="24"/>
        </w:rPr>
        <w:t xml:space="preserve"> was an independent contractor.</w:t>
      </w:r>
      <w:r>
        <w:rPr>
          <w:rFonts w:ascii="Times New Roman" w:hAnsi="Times New Roman" w:cs="Times New Roman"/>
          <w:sz w:val="24"/>
          <w:szCs w:val="24"/>
        </w:rPr>
        <w:t xml:space="preserve"> Following a hearing, administrative authorities reaffirmed that the injury was compensable. Upon court appeal, the district court also affirmed. The Wyoming Supreme Court also ultimately affirmed.</w:t>
      </w:r>
    </w:p>
    <w:p w14:paraId="3827DB2E" w14:textId="77777777" w:rsidR="00951829" w:rsidRDefault="00951829" w:rsidP="00951829">
      <w:pPr>
        <w:spacing w:after="0"/>
        <w:jc w:val="both"/>
        <w:rPr>
          <w:rFonts w:ascii="Times New Roman" w:hAnsi="Times New Roman" w:cs="Times New Roman"/>
          <w:sz w:val="24"/>
          <w:szCs w:val="24"/>
        </w:rPr>
      </w:pPr>
    </w:p>
    <w:p w14:paraId="1FE50791" w14:textId="508C4E34"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In discussing the three factors, the Court first made clear that </w:t>
      </w:r>
      <w:r w:rsidRPr="00B84DAE">
        <w:rPr>
          <w:rFonts w:ascii="Times New Roman" w:hAnsi="Times New Roman" w:cs="Times New Roman"/>
          <w:b/>
          <w:i/>
          <w:sz w:val="24"/>
          <w:szCs w:val="24"/>
        </w:rPr>
        <w:t>each</w:t>
      </w:r>
      <w:r w:rsidRPr="00B84DAE">
        <w:rPr>
          <w:rFonts w:ascii="Times New Roman" w:hAnsi="Times New Roman" w:cs="Times New Roman"/>
          <w:b/>
          <w:sz w:val="24"/>
          <w:szCs w:val="24"/>
        </w:rPr>
        <w:t xml:space="preserve"> factor must be established to prove independent contractor status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10"/>
      </w:r>
      <w:r>
        <w:rPr>
          <w:rFonts w:ascii="Times New Roman" w:hAnsi="Times New Roman" w:cs="Times New Roman"/>
          <w:sz w:val="24"/>
          <w:szCs w:val="24"/>
        </w:rPr>
        <w:t xml:space="preserve"> Although differentiating Wyoming statutory from </w:t>
      </w:r>
      <w:r w:rsidRPr="006F698A">
        <w:rPr>
          <w:rFonts w:ascii="Times New Roman" w:hAnsi="Times New Roman" w:cs="Times New Roman"/>
          <w:i/>
          <w:iCs/>
          <w:sz w:val="24"/>
          <w:szCs w:val="24"/>
        </w:rPr>
        <w:t>common law control</w:t>
      </w:r>
      <w:r>
        <w:rPr>
          <w:rFonts w:ascii="Times New Roman" w:hAnsi="Times New Roman" w:cs="Times New Roman"/>
          <w:sz w:val="24"/>
          <w:szCs w:val="24"/>
        </w:rPr>
        <w:t>, central to analysis of the first factor, the Court emphasized that precedent analyzing common law control was merely “relevant” to the statutory control inquiry.</w:t>
      </w:r>
      <w:r w:rsidRPr="00112C9C">
        <w:rPr>
          <w:rFonts w:ascii="Times New Roman" w:hAnsi="Times New Roman" w:cs="Times New Roman"/>
          <w:sz w:val="24"/>
          <w:szCs w:val="24"/>
          <w:vertAlign w:val="superscript"/>
        </w:rPr>
        <w:footnoteReference w:id="111"/>
      </w:r>
      <w:r>
        <w:rPr>
          <w:rFonts w:ascii="Times New Roman" w:hAnsi="Times New Roman" w:cs="Times New Roman"/>
          <w:sz w:val="24"/>
          <w:szCs w:val="24"/>
        </w:rPr>
        <w:t xml:space="preserve">  The Court recounted from prior </w:t>
      </w:r>
      <w:r>
        <w:rPr>
          <w:rFonts w:ascii="Times New Roman" w:hAnsi="Times New Roman" w:cs="Times New Roman"/>
          <w:sz w:val="24"/>
          <w:szCs w:val="24"/>
        </w:rPr>
        <w:lastRenderedPageBreak/>
        <w:t xml:space="preserve">Wyoming cases the distinction between </w:t>
      </w:r>
      <w:r w:rsidRPr="0056160D">
        <w:rPr>
          <w:rFonts w:ascii="Times New Roman" w:hAnsi="Times New Roman" w:cs="Times New Roman"/>
          <w:sz w:val="24"/>
          <w:szCs w:val="24"/>
        </w:rPr>
        <w:t xml:space="preserve">control of the </w:t>
      </w:r>
      <w:r>
        <w:rPr>
          <w:rFonts w:ascii="Times New Roman" w:hAnsi="Times New Roman" w:cs="Times New Roman"/>
          <w:sz w:val="24"/>
          <w:szCs w:val="24"/>
        </w:rPr>
        <w:t>“</w:t>
      </w:r>
      <w:r w:rsidRPr="0056160D">
        <w:rPr>
          <w:rFonts w:ascii="Times New Roman" w:hAnsi="Times New Roman" w:cs="Times New Roman"/>
          <w:sz w:val="24"/>
          <w:szCs w:val="24"/>
        </w:rPr>
        <w:t>means and manner</w:t>
      </w:r>
      <w:r>
        <w:rPr>
          <w:rFonts w:ascii="Times New Roman" w:hAnsi="Times New Roman" w:cs="Times New Roman"/>
          <w:sz w:val="24"/>
          <w:szCs w:val="24"/>
        </w:rPr>
        <w:t>”</w:t>
      </w:r>
      <w:r w:rsidRPr="0056160D">
        <w:rPr>
          <w:rFonts w:ascii="Times New Roman" w:hAnsi="Times New Roman" w:cs="Times New Roman"/>
          <w:sz w:val="24"/>
          <w:szCs w:val="24"/>
        </w:rPr>
        <w:t xml:space="preserve"> of performance</w:t>
      </w:r>
      <w:r>
        <w:rPr>
          <w:rFonts w:ascii="Times New Roman" w:hAnsi="Times New Roman" w:cs="Times New Roman"/>
          <w:sz w:val="24"/>
          <w:szCs w:val="24"/>
        </w:rPr>
        <w:t xml:space="preserve"> of work</w:t>
      </w:r>
      <w:r w:rsidRPr="0056160D">
        <w:rPr>
          <w:rFonts w:ascii="Times New Roman" w:hAnsi="Times New Roman" w:cs="Times New Roman"/>
          <w:sz w:val="24"/>
          <w:szCs w:val="24"/>
        </w:rPr>
        <w:t xml:space="preserve"> and</w:t>
      </w:r>
      <w:r>
        <w:rPr>
          <w:rFonts w:ascii="Times New Roman" w:hAnsi="Times New Roman" w:cs="Times New Roman"/>
          <w:sz w:val="24"/>
          <w:szCs w:val="24"/>
        </w:rPr>
        <w:t xml:space="preserve"> control of</w:t>
      </w:r>
      <w:r w:rsidRPr="0056160D">
        <w:rPr>
          <w:rFonts w:ascii="Times New Roman" w:hAnsi="Times New Roman" w:cs="Times New Roman"/>
          <w:sz w:val="24"/>
          <w:szCs w:val="24"/>
        </w:rPr>
        <w:t xml:space="preserve"> the </w:t>
      </w:r>
      <w:r>
        <w:rPr>
          <w:rFonts w:ascii="Times New Roman" w:hAnsi="Times New Roman" w:cs="Times New Roman"/>
          <w:sz w:val="24"/>
          <w:szCs w:val="24"/>
        </w:rPr>
        <w:t>“</w:t>
      </w:r>
      <w:r w:rsidRPr="0056160D">
        <w:rPr>
          <w:rFonts w:ascii="Times New Roman" w:hAnsi="Times New Roman" w:cs="Times New Roman"/>
          <w:sz w:val="24"/>
          <w:szCs w:val="24"/>
        </w:rPr>
        <w:t>result</w:t>
      </w:r>
      <w:r>
        <w:rPr>
          <w:rFonts w:ascii="Times New Roman" w:hAnsi="Times New Roman" w:cs="Times New Roman"/>
          <w:sz w:val="24"/>
          <w:szCs w:val="24"/>
        </w:rPr>
        <w:t>”</w:t>
      </w:r>
      <w:r w:rsidRPr="0056160D">
        <w:rPr>
          <w:rFonts w:ascii="Times New Roman" w:hAnsi="Times New Roman" w:cs="Times New Roman"/>
          <w:sz w:val="24"/>
          <w:szCs w:val="24"/>
        </w:rPr>
        <w:t xml:space="preserve"> of the work performed</w:t>
      </w:r>
      <w:r>
        <w:rPr>
          <w:rFonts w:ascii="Times New Roman" w:hAnsi="Times New Roman" w:cs="Times New Roman"/>
          <w:sz w:val="24"/>
          <w:szCs w:val="24"/>
        </w:rPr>
        <w:t xml:space="preserve"> by a putative employee, and acknowledged Circle C’s argument that its concern was only about the result of the work.</w:t>
      </w:r>
      <w:r w:rsidRPr="00112C9C">
        <w:rPr>
          <w:rFonts w:ascii="Times New Roman" w:hAnsi="Times New Roman" w:cs="Times New Roman"/>
          <w:sz w:val="24"/>
          <w:szCs w:val="24"/>
          <w:vertAlign w:val="superscript"/>
        </w:rPr>
        <w:footnoteReference w:id="112"/>
      </w:r>
      <w:r>
        <w:rPr>
          <w:rFonts w:ascii="Times New Roman" w:hAnsi="Times New Roman" w:cs="Times New Roman"/>
          <w:sz w:val="24"/>
          <w:szCs w:val="24"/>
        </w:rPr>
        <w:t xml:space="preserve"> The Court concluded that “[t]</w:t>
      </w:r>
      <w:r w:rsidRPr="002B025E">
        <w:rPr>
          <w:rFonts w:ascii="Times New Roman" w:hAnsi="Times New Roman" w:cs="Times New Roman"/>
          <w:sz w:val="24"/>
          <w:szCs w:val="24"/>
        </w:rPr>
        <w:t>here is ample evidence in the record to support the hearing examiner's conclusion that Circle C controlled the details of</w:t>
      </w:r>
      <w:r>
        <w:rPr>
          <w:rFonts w:ascii="Times New Roman" w:hAnsi="Times New Roman" w:cs="Times New Roman"/>
          <w:sz w:val="24"/>
          <w:szCs w:val="24"/>
        </w:rPr>
        <w:t xml:space="preserve"> [the host family provider’s] </w:t>
      </w:r>
      <w:r w:rsidRPr="002B025E">
        <w:rPr>
          <w:rFonts w:ascii="Times New Roman" w:hAnsi="Times New Roman" w:cs="Times New Roman"/>
          <w:sz w:val="24"/>
          <w:szCs w:val="24"/>
        </w:rPr>
        <w:t>performance of services beyond that required by state or federal regulation.</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13"/>
      </w:r>
      <w:r>
        <w:rPr>
          <w:rFonts w:ascii="Times New Roman" w:hAnsi="Times New Roman" w:cs="Times New Roman"/>
          <w:sz w:val="24"/>
          <w:szCs w:val="24"/>
        </w:rPr>
        <w:t xml:space="preserve"> </w:t>
      </w:r>
    </w:p>
    <w:p w14:paraId="6C6D6445" w14:textId="77777777" w:rsidR="00951829" w:rsidRDefault="00951829" w:rsidP="00951829">
      <w:pPr>
        <w:spacing w:after="0"/>
        <w:jc w:val="both"/>
        <w:rPr>
          <w:rFonts w:ascii="Times New Roman" w:hAnsi="Times New Roman" w:cs="Times New Roman"/>
          <w:sz w:val="24"/>
          <w:szCs w:val="24"/>
        </w:rPr>
      </w:pPr>
    </w:p>
    <w:p w14:paraId="22F73B7E" w14:textId="6F359E29" w:rsidR="00FF7482" w:rsidRDefault="00FF7482" w:rsidP="00951829">
      <w:pPr>
        <w:spacing w:after="0"/>
        <w:jc w:val="both"/>
        <w:rPr>
          <w:rStyle w:val="Hyperlink"/>
          <w:rFonts w:ascii="Times New Roman" w:hAnsi="Times New Roman" w:cs="Times New Roman"/>
          <w:sz w:val="24"/>
          <w:szCs w:val="24"/>
          <w:vertAlign w:val="superscript"/>
        </w:rPr>
      </w:pPr>
      <w:r>
        <w:rPr>
          <w:rFonts w:ascii="Times New Roman" w:hAnsi="Times New Roman" w:cs="Times New Roman"/>
          <w:sz w:val="24"/>
          <w:szCs w:val="24"/>
        </w:rPr>
        <w:t>Noting that a written employment contract, when in existence, is a strong indication of the type of association intended by the parties,</w:t>
      </w:r>
      <w:r w:rsidRPr="00112C9C">
        <w:rPr>
          <w:rFonts w:ascii="Times New Roman" w:hAnsi="Times New Roman" w:cs="Times New Roman"/>
          <w:sz w:val="24"/>
          <w:szCs w:val="24"/>
          <w:vertAlign w:val="superscript"/>
        </w:rPr>
        <w:footnoteReference w:id="114"/>
      </w:r>
      <w:r>
        <w:rPr>
          <w:rFonts w:ascii="Times New Roman" w:hAnsi="Times New Roman" w:cs="Times New Roman"/>
          <w:sz w:val="24"/>
          <w:szCs w:val="24"/>
        </w:rPr>
        <w:t xml:space="preserve"> the Court observed that </w:t>
      </w:r>
      <w:r w:rsidRPr="00E01762">
        <w:rPr>
          <w:rFonts w:ascii="Times New Roman" w:hAnsi="Times New Roman" w:cs="Times New Roman"/>
          <w:sz w:val="24"/>
          <w:szCs w:val="24"/>
        </w:rPr>
        <w:t xml:space="preserve">two </w:t>
      </w:r>
      <w:r>
        <w:rPr>
          <w:rFonts w:ascii="Times New Roman" w:hAnsi="Times New Roman" w:cs="Times New Roman"/>
          <w:sz w:val="24"/>
          <w:szCs w:val="24"/>
        </w:rPr>
        <w:t>“</w:t>
      </w:r>
      <w:r w:rsidRPr="00E01762">
        <w:rPr>
          <w:rFonts w:ascii="Times New Roman" w:hAnsi="Times New Roman" w:cs="Times New Roman"/>
          <w:sz w:val="24"/>
          <w:szCs w:val="24"/>
        </w:rPr>
        <w:t>Host Family Provider Agreements</w:t>
      </w:r>
      <w:r>
        <w:rPr>
          <w:rFonts w:ascii="Times New Roman" w:hAnsi="Times New Roman" w:cs="Times New Roman"/>
          <w:sz w:val="24"/>
          <w:szCs w:val="24"/>
        </w:rPr>
        <w:t xml:space="preserve">,” entered into by the host family provider and </w:t>
      </w:r>
      <w:r w:rsidRPr="00E01762">
        <w:rPr>
          <w:rFonts w:ascii="Times New Roman" w:hAnsi="Times New Roman" w:cs="Times New Roman"/>
          <w:sz w:val="24"/>
          <w:szCs w:val="24"/>
        </w:rPr>
        <w:t>Circle C</w:t>
      </w:r>
      <w:r>
        <w:rPr>
          <w:rFonts w:ascii="Times New Roman" w:hAnsi="Times New Roman" w:cs="Times New Roman"/>
          <w:sz w:val="24"/>
          <w:szCs w:val="24"/>
        </w:rPr>
        <w:t xml:space="preserve">, </w:t>
      </w:r>
      <w:r w:rsidRPr="00E01762">
        <w:rPr>
          <w:rFonts w:ascii="Times New Roman" w:hAnsi="Times New Roman" w:cs="Times New Roman"/>
          <w:sz w:val="24"/>
          <w:szCs w:val="24"/>
        </w:rPr>
        <w:t xml:space="preserve">enumerated </w:t>
      </w:r>
      <w:r>
        <w:rPr>
          <w:rFonts w:ascii="Times New Roman" w:hAnsi="Times New Roman" w:cs="Times New Roman"/>
          <w:sz w:val="24"/>
          <w:szCs w:val="24"/>
        </w:rPr>
        <w:t>thirty-two</w:t>
      </w:r>
      <w:r w:rsidRPr="00E01762">
        <w:rPr>
          <w:rFonts w:ascii="Times New Roman" w:hAnsi="Times New Roman" w:cs="Times New Roman"/>
          <w:sz w:val="24"/>
          <w:szCs w:val="24"/>
        </w:rPr>
        <w:t xml:space="preserve"> separate responsibilities to be performed by </w:t>
      </w:r>
      <w:r>
        <w:rPr>
          <w:rFonts w:ascii="Times New Roman" w:hAnsi="Times New Roman" w:cs="Times New Roman"/>
          <w:sz w:val="24"/>
          <w:szCs w:val="24"/>
        </w:rPr>
        <w:t>the host family provider</w:t>
      </w:r>
      <w:r w:rsidRPr="00E01762">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15"/>
      </w:r>
      <w:r>
        <w:rPr>
          <w:rFonts w:ascii="Times New Roman" w:hAnsi="Times New Roman" w:cs="Times New Roman"/>
          <w:sz w:val="24"/>
          <w:szCs w:val="24"/>
        </w:rPr>
        <w:t xml:space="preserve"> Although each of the agreements disavowed creation of an employment relationship, each also noted that the agreements were </w:t>
      </w:r>
      <w:r w:rsidRPr="006F698A">
        <w:rPr>
          <w:rFonts w:ascii="Times New Roman" w:hAnsi="Times New Roman" w:cs="Times New Roman"/>
          <w:b/>
          <w:bCs/>
          <w:sz w:val="24"/>
          <w:szCs w:val="24"/>
        </w:rPr>
        <w:t>terminable at will</w:t>
      </w:r>
      <w:r>
        <w:rPr>
          <w:rFonts w:ascii="Times New Roman" w:hAnsi="Times New Roman" w:cs="Times New Roman"/>
          <w:sz w:val="24"/>
          <w:szCs w:val="24"/>
        </w:rPr>
        <w:t xml:space="preserve"> by either party with 60 days’ notice.</w:t>
      </w:r>
      <w:r w:rsidRPr="00112C9C">
        <w:rPr>
          <w:rFonts w:ascii="Times New Roman" w:hAnsi="Times New Roman" w:cs="Times New Roman"/>
          <w:sz w:val="24"/>
          <w:szCs w:val="24"/>
          <w:vertAlign w:val="superscript"/>
        </w:rPr>
        <w:footnoteReference w:id="116"/>
      </w:r>
      <w:r>
        <w:rPr>
          <w:rFonts w:ascii="Times New Roman" w:hAnsi="Times New Roman" w:cs="Times New Roman"/>
          <w:sz w:val="24"/>
          <w:szCs w:val="24"/>
        </w:rPr>
        <w:t xml:space="preserve"> </w:t>
      </w:r>
      <w:r w:rsidRPr="00B84DAE">
        <w:rPr>
          <w:rFonts w:ascii="Times New Roman" w:hAnsi="Times New Roman" w:cs="Times New Roman"/>
          <w:b/>
          <w:sz w:val="24"/>
          <w:szCs w:val="24"/>
        </w:rPr>
        <w:t>Under Wyoming law, “the right to terminate the services at will without incurring liability to the other, this embracing, of course, the right of the employer at any time to discharge the party performing the work . . . establish[es] the status of master and servant.”</w:t>
      </w:r>
      <w:r w:rsidRPr="00112C9C">
        <w:rPr>
          <w:rFonts w:ascii="Times New Roman" w:hAnsi="Times New Roman" w:cs="Times New Roman"/>
          <w:sz w:val="24"/>
          <w:szCs w:val="24"/>
          <w:vertAlign w:val="superscript"/>
        </w:rPr>
        <w:footnoteReference w:id="117"/>
      </w:r>
    </w:p>
    <w:p w14:paraId="675368EB" w14:textId="77777777" w:rsidR="00951829" w:rsidRDefault="00951829" w:rsidP="00951829">
      <w:pPr>
        <w:spacing w:after="0"/>
        <w:jc w:val="both"/>
        <w:rPr>
          <w:rFonts w:ascii="Times New Roman" w:hAnsi="Times New Roman" w:cs="Times New Roman"/>
          <w:sz w:val="24"/>
          <w:szCs w:val="24"/>
        </w:rPr>
      </w:pPr>
    </w:p>
    <w:p w14:paraId="36C9D6C5" w14:textId="5BC098C6"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Continuing its analysis of control, the </w:t>
      </w:r>
      <w:r w:rsidRPr="003569FF">
        <w:rPr>
          <w:rFonts w:ascii="Times New Roman" w:hAnsi="Times New Roman" w:cs="Times New Roman"/>
          <w:i/>
          <w:sz w:val="24"/>
          <w:szCs w:val="24"/>
        </w:rPr>
        <w:t>Circle C</w:t>
      </w:r>
      <w:r>
        <w:rPr>
          <w:rFonts w:ascii="Times New Roman" w:hAnsi="Times New Roman" w:cs="Times New Roman"/>
          <w:sz w:val="24"/>
          <w:szCs w:val="24"/>
        </w:rPr>
        <w:t xml:space="preserve"> Court observed that Wyoming Supreme Court </w:t>
      </w:r>
      <w:r w:rsidRPr="000E075B">
        <w:rPr>
          <w:rFonts w:ascii="Times New Roman" w:hAnsi="Times New Roman" w:cs="Times New Roman"/>
          <w:sz w:val="24"/>
          <w:szCs w:val="24"/>
        </w:rPr>
        <w:t xml:space="preserve">precedent </w:t>
      </w:r>
      <w:r>
        <w:rPr>
          <w:rFonts w:ascii="Times New Roman" w:hAnsi="Times New Roman" w:cs="Times New Roman"/>
          <w:sz w:val="24"/>
          <w:szCs w:val="24"/>
        </w:rPr>
        <w:t>establishes</w:t>
      </w:r>
      <w:r w:rsidRPr="000E075B">
        <w:rPr>
          <w:rFonts w:ascii="Times New Roman" w:hAnsi="Times New Roman" w:cs="Times New Roman"/>
          <w:sz w:val="24"/>
          <w:szCs w:val="24"/>
        </w:rPr>
        <w:t xml:space="preserve"> the </w:t>
      </w:r>
      <w:r w:rsidRPr="00B84DAE">
        <w:rPr>
          <w:rFonts w:ascii="Times New Roman" w:hAnsi="Times New Roman" w:cs="Times New Roman"/>
          <w:b/>
          <w:sz w:val="24"/>
          <w:szCs w:val="24"/>
        </w:rPr>
        <w:t>“method of payment” is a factor to be considered in evaluating the degree of control exercised over the performance of a worker's services</w:t>
      </w:r>
      <w:r w:rsidRPr="000E075B">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18"/>
      </w:r>
      <w:r>
        <w:rPr>
          <w:rFonts w:ascii="Times New Roman" w:hAnsi="Times New Roman" w:cs="Times New Roman"/>
          <w:sz w:val="24"/>
          <w:szCs w:val="24"/>
        </w:rPr>
        <w:t xml:space="preserve"> The Court also discussed various aspects of Circle C’s arguable control-in-fact over the details of the host family provider’s work: determining the parameters of care; facilitating transportation and furnishing a residence complete with appliances; and paying utilities for the residence.</w:t>
      </w:r>
      <w:r w:rsidRPr="00112C9C">
        <w:rPr>
          <w:rFonts w:ascii="Times New Roman" w:hAnsi="Times New Roman" w:cs="Times New Roman"/>
          <w:sz w:val="24"/>
          <w:szCs w:val="24"/>
          <w:vertAlign w:val="superscript"/>
        </w:rPr>
        <w:footnoteReference w:id="119"/>
      </w:r>
      <w:r>
        <w:rPr>
          <w:rFonts w:ascii="Times New Roman" w:hAnsi="Times New Roman" w:cs="Times New Roman"/>
          <w:sz w:val="24"/>
          <w:szCs w:val="24"/>
        </w:rPr>
        <w:t xml:space="preserve"> Ultimately, the Court opined that “[t]</w:t>
      </w:r>
      <w:r w:rsidRPr="00F8077B">
        <w:rPr>
          <w:rFonts w:ascii="Times New Roman" w:hAnsi="Times New Roman" w:cs="Times New Roman"/>
          <w:sz w:val="24"/>
          <w:szCs w:val="24"/>
        </w:rPr>
        <w:t xml:space="preserve">aken together, the facts set forth above provide substantial evidence to support the conclusion that </w:t>
      </w:r>
      <w:r>
        <w:rPr>
          <w:rFonts w:ascii="Times New Roman" w:hAnsi="Times New Roman" w:cs="Times New Roman"/>
          <w:sz w:val="24"/>
          <w:szCs w:val="24"/>
        </w:rPr>
        <w:t xml:space="preserve">[the host family provider] </w:t>
      </w:r>
      <w:r w:rsidRPr="00F8077B">
        <w:rPr>
          <w:rFonts w:ascii="Times New Roman" w:hAnsi="Times New Roman" w:cs="Times New Roman"/>
          <w:sz w:val="24"/>
          <w:szCs w:val="24"/>
        </w:rPr>
        <w:t xml:space="preserve">was </w:t>
      </w:r>
      <w:r w:rsidRPr="00F8077B">
        <w:rPr>
          <w:rFonts w:ascii="Times New Roman" w:hAnsi="Times New Roman" w:cs="Times New Roman"/>
          <w:sz w:val="24"/>
          <w:szCs w:val="24"/>
        </w:rPr>
        <w:lastRenderedPageBreak/>
        <w:t>not, by contract or by fact, free from control over the details of the performance of her services</w:t>
      </w:r>
      <w:r>
        <w:rPr>
          <w:rFonts w:ascii="Times New Roman" w:hAnsi="Times New Roman" w:cs="Times New Roman"/>
          <w:sz w:val="24"/>
          <w:szCs w:val="24"/>
        </w:rPr>
        <w:t xml:space="preserve"> . . .”</w:t>
      </w:r>
      <w:r w:rsidRPr="00112C9C">
        <w:rPr>
          <w:rFonts w:ascii="Times New Roman" w:hAnsi="Times New Roman" w:cs="Times New Roman"/>
          <w:sz w:val="24"/>
          <w:szCs w:val="24"/>
          <w:vertAlign w:val="superscript"/>
        </w:rPr>
        <w:footnoteReference w:id="120"/>
      </w:r>
    </w:p>
    <w:p w14:paraId="4506EC8C" w14:textId="77777777" w:rsidR="00951829" w:rsidRDefault="00951829" w:rsidP="00951829">
      <w:pPr>
        <w:spacing w:after="0"/>
        <w:jc w:val="both"/>
        <w:rPr>
          <w:rFonts w:ascii="Times New Roman" w:hAnsi="Times New Roman" w:cs="Times New Roman"/>
          <w:sz w:val="24"/>
          <w:szCs w:val="24"/>
        </w:rPr>
      </w:pPr>
    </w:p>
    <w:p w14:paraId="5A81C5F6" w14:textId="48E18B6B"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The Court quickly dismissed the case under the second and third elements of the statutory independent contractor test. There was no evidence that the host family provider represented her services to the public as a self-employed individual, and the Court easily upheld the hearing examiner’s finding in that regard.</w:t>
      </w:r>
      <w:r w:rsidRPr="00112C9C">
        <w:rPr>
          <w:rFonts w:ascii="Times New Roman" w:hAnsi="Times New Roman" w:cs="Times New Roman"/>
          <w:sz w:val="24"/>
          <w:szCs w:val="24"/>
          <w:vertAlign w:val="superscript"/>
        </w:rPr>
        <w:footnoteReference w:id="121"/>
      </w:r>
      <w:r>
        <w:rPr>
          <w:rFonts w:ascii="Times New Roman" w:hAnsi="Times New Roman" w:cs="Times New Roman"/>
          <w:sz w:val="24"/>
          <w:szCs w:val="24"/>
        </w:rPr>
        <w:t xml:space="preserve"> The Court similarly upheld the hearing examiner’s conclusion that the host family provider</w:t>
      </w:r>
      <w:r w:rsidRPr="00120772">
        <w:rPr>
          <w:rFonts w:ascii="Times New Roman" w:hAnsi="Times New Roman" w:cs="Times New Roman"/>
          <w:sz w:val="24"/>
          <w:szCs w:val="24"/>
        </w:rPr>
        <w:t xml:space="preserve"> was not </w:t>
      </w:r>
      <w:r>
        <w:rPr>
          <w:rFonts w:ascii="Times New Roman" w:hAnsi="Times New Roman" w:cs="Times New Roman"/>
          <w:sz w:val="24"/>
          <w:szCs w:val="24"/>
        </w:rPr>
        <w:t>“</w:t>
      </w:r>
      <w:r w:rsidRPr="00120772">
        <w:rPr>
          <w:rFonts w:ascii="Times New Roman" w:hAnsi="Times New Roman" w:cs="Times New Roman"/>
          <w:sz w:val="24"/>
          <w:szCs w:val="24"/>
        </w:rPr>
        <w:t>an individual who . . . [m]ay substitute another person to perform his services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22"/>
      </w:r>
      <w:r w:rsidRPr="00120772">
        <w:rPr>
          <w:rFonts w:ascii="Times New Roman" w:hAnsi="Times New Roman" w:cs="Times New Roman"/>
          <w:sz w:val="24"/>
          <w:szCs w:val="24"/>
        </w:rPr>
        <w:t xml:space="preserve"> </w:t>
      </w:r>
      <w:r>
        <w:rPr>
          <w:rFonts w:ascii="Times New Roman" w:hAnsi="Times New Roman" w:cs="Times New Roman"/>
          <w:sz w:val="24"/>
          <w:szCs w:val="24"/>
        </w:rPr>
        <w:t>Indeed, the written agreement appeared to make clear Circle C’s control of substitution. It is also worth noting the Court’s observation that the third element “</w:t>
      </w:r>
      <w:r w:rsidRPr="00120772">
        <w:rPr>
          <w:rFonts w:ascii="Times New Roman" w:hAnsi="Times New Roman" w:cs="Times New Roman"/>
          <w:sz w:val="24"/>
          <w:szCs w:val="24"/>
        </w:rPr>
        <w:t>is not a commonly used element in determining whether a worker is an employee or an independent contractor.</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23"/>
      </w:r>
      <w:r w:rsidRPr="0012077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6C56960" w14:textId="77777777" w:rsidR="00951829" w:rsidRDefault="00951829" w:rsidP="00951829">
      <w:pPr>
        <w:spacing w:after="0"/>
        <w:jc w:val="both"/>
        <w:rPr>
          <w:rFonts w:ascii="Times New Roman" w:hAnsi="Times New Roman" w:cs="Times New Roman"/>
          <w:sz w:val="24"/>
          <w:szCs w:val="24"/>
        </w:rPr>
      </w:pPr>
    </w:p>
    <w:p w14:paraId="1A1AAD66" w14:textId="0AD2D9F3"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The balance of </w:t>
      </w:r>
      <w:r w:rsidRPr="007C4C12">
        <w:rPr>
          <w:rFonts w:ascii="Times New Roman" w:hAnsi="Times New Roman" w:cs="Times New Roman"/>
          <w:i/>
          <w:sz w:val="24"/>
          <w:szCs w:val="24"/>
        </w:rPr>
        <w:t>Circle C</w:t>
      </w:r>
      <w:r>
        <w:rPr>
          <w:rFonts w:ascii="Times New Roman" w:hAnsi="Times New Roman" w:cs="Times New Roman"/>
          <w:sz w:val="24"/>
          <w:szCs w:val="24"/>
        </w:rPr>
        <w:t xml:space="preserve"> consists of the Court’s renewed acknowledgement of the parallels between the common law’s control tests and control within the meaning of the first statutory element of </w:t>
      </w:r>
      <w:r w:rsidRPr="004B3D99">
        <w:rPr>
          <w:rFonts w:ascii="Times New Roman" w:hAnsi="Times New Roman" w:cs="Times New Roman"/>
          <w:sz w:val="24"/>
          <w:szCs w:val="24"/>
        </w:rPr>
        <w:t xml:space="preserve">W.S. § </w:t>
      </w:r>
      <w:hyperlink r:id="rId36" w:history="1">
        <w:r w:rsidRPr="004B3D99">
          <w:rPr>
            <w:rStyle w:val="Hyperlink"/>
            <w:rFonts w:ascii="Times New Roman" w:hAnsi="Times New Roman" w:cs="Times New Roman"/>
            <w:sz w:val="24"/>
            <w:szCs w:val="24"/>
          </w:rPr>
          <w:t>27-14-102</w:t>
        </w:r>
      </w:hyperlink>
      <w:r>
        <w:rPr>
          <w:rFonts w:ascii="Times New Roman" w:hAnsi="Times New Roman" w:cs="Times New Roman"/>
          <w:sz w:val="24"/>
          <w:szCs w:val="24"/>
        </w:rPr>
        <w:t>(a)</w:t>
      </w:r>
      <w:r w:rsidRPr="004A04C8">
        <w:rPr>
          <w:rFonts w:ascii="Times New Roman" w:hAnsi="Times New Roman" w:cs="Times New Roman"/>
          <w:sz w:val="24"/>
          <w:szCs w:val="24"/>
        </w:rPr>
        <w:t>(</w:t>
      </w:r>
      <w:r>
        <w:rPr>
          <w:rFonts w:ascii="Times New Roman" w:hAnsi="Times New Roman" w:cs="Times New Roman"/>
          <w:sz w:val="24"/>
          <w:szCs w:val="24"/>
        </w:rPr>
        <w:t>xxiii</w:t>
      </w:r>
      <w:r w:rsidRPr="004A04C8">
        <w:rPr>
          <w:rFonts w:ascii="Times New Roman" w:hAnsi="Times New Roman" w:cs="Times New Roman"/>
          <w:sz w:val="24"/>
          <w:szCs w:val="24"/>
        </w:rPr>
        <w:t>)</w:t>
      </w:r>
      <w:r>
        <w:rPr>
          <w:rFonts w:ascii="Times New Roman" w:hAnsi="Times New Roman" w:cs="Times New Roman"/>
          <w:sz w:val="24"/>
          <w:szCs w:val="24"/>
        </w:rPr>
        <w:t xml:space="preserve">. </w:t>
      </w:r>
      <w:r w:rsidRPr="00297177">
        <w:rPr>
          <w:rFonts w:ascii="Times New Roman" w:hAnsi="Times New Roman" w:cs="Times New Roman"/>
          <w:i/>
          <w:sz w:val="24"/>
          <w:szCs w:val="24"/>
        </w:rPr>
        <w:t>Circle C</w:t>
      </w:r>
      <w:r>
        <w:rPr>
          <w:rFonts w:ascii="Times New Roman" w:hAnsi="Times New Roman" w:cs="Times New Roman"/>
          <w:sz w:val="24"/>
          <w:szCs w:val="24"/>
        </w:rPr>
        <w:t xml:space="preserve"> appears to establish that </w:t>
      </w:r>
      <w:r w:rsidRPr="00B84DAE">
        <w:rPr>
          <w:rFonts w:ascii="Times New Roman" w:hAnsi="Times New Roman" w:cs="Times New Roman"/>
          <w:b/>
          <w:sz w:val="24"/>
          <w:szCs w:val="24"/>
        </w:rPr>
        <w:t xml:space="preserve">unless a putative independent contractor has held herself out to the public as a self-employed individual providing services like those in question in a case </w:t>
      </w:r>
      <w:r w:rsidRPr="00B84DAE">
        <w:rPr>
          <w:rFonts w:ascii="Times New Roman" w:hAnsi="Times New Roman" w:cs="Times New Roman"/>
          <w:b/>
          <w:i/>
          <w:sz w:val="24"/>
          <w:szCs w:val="24"/>
          <w:u w:val="single"/>
        </w:rPr>
        <w:t>and</w:t>
      </w:r>
      <w:r w:rsidRPr="00B84DAE">
        <w:rPr>
          <w:rFonts w:ascii="Times New Roman" w:hAnsi="Times New Roman" w:cs="Times New Roman"/>
          <w:b/>
          <w:sz w:val="24"/>
          <w:szCs w:val="24"/>
        </w:rPr>
        <w:t xml:space="preserve"> is explicitly authorized to substitute workers in her stead to perform the services in question, a case will almost certainly be litigated on questions of control of the work, by agreement and in fact</w:t>
      </w:r>
      <w:r w:rsidRPr="0007565C">
        <w:rPr>
          <w:rFonts w:ascii="Times New Roman" w:hAnsi="Times New Roman" w:cs="Times New Roman"/>
          <w:bCs/>
          <w:sz w:val="24"/>
          <w:szCs w:val="24"/>
        </w:rPr>
        <w:t>.</w:t>
      </w:r>
      <w:r w:rsidRPr="00B84DAE">
        <w:rPr>
          <w:rFonts w:ascii="Times New Roman" w:hAnsi="Times New Roman" w:cs="Times New Roman"/>
          <w:b/>
          <w:sz w:val="24"/>
          <w:szCs w:val="24"/>
        </w:rPr>
        <w:t xml:space="preserve"> </w:t>
      </w:r>
      <w:r>
        <w:rPr>
          <w:rFonts w:ascii="Times New Roman" w:hAnsi="Times New Roman" w:cs="Times New Roman"/>
          <w:b/>
          <w:sz w:val="24"/>
          <w:szCs w:val="24"/>
        </w:rPr>
        <w:t>In such situations c</w:t>
      </w:r>
      <w:r w:rsidRPr="00B84DAE">
        <w:rPr>
          <w:rFonts w:ascii="Times New Roman" w:hAnsi="Times New Roman" w:cs="Times New Roman"/>
          <w:b/>
          <w:sz w:val="24"/>
          <w:szCs w:val="24"/>
        </w:rPr>
        <w:t>ontrol is the most important factor in Wyoming</w:t>
      </w:r>
      <w:r w:rsidRPr="0007565C">
        <w:rPr>
          <w:rFonts w:ascii="Times New Roman" w:hAnsi="Times New Roman" w:cs="Times New Roman"/>
          <w:bCs/>
          <w:sz w:val="24"/>
          <w:szCs w:val="24"/>
        </w:rPr>
        <w:t>.</w:t>
      </w:r>
      <w:r w:rsidRPr="00112C9C">
        <w:rPr>
          <w:rFonts w:ascii="Times New Roman" w:hAnsi="Times New Roman" w:cs="Times New Roman"/>
          <w:sz w:val="24"/>
          <w:szCs w:val="24"/>
          <w:vertAlign w:val="superscript"/>
        </w:rPr>
        <w:footnoteReference w:id="124"/>
      </w:r>
      <w:r>
        <w:rPr>
          <w:rFonts w:ascii="Times New Roman" w:hAnsi="Times New Roman" w:cs="Times New Roman"/>
          <w:sz w:val="24"/>
          <w:szCs w:val="24"/>
        </w:rPr>
        <w:t xml:space="preserve"> But it might be argued that, </w:t>
      </w:r>
      <w:r w:rsidRPr="006563D7">
        <w:rPr>
          <w:rFonts w:ascii="Times New Roman" w:hAnsi="Times New Roman" w:cs="Times New Roman"/>
          <w:i/>
          <w:sz w:val="24"/>
          <w:szCs w:val="24"/>
        </w:rPr>
        <w:t>even if</w:t>
      </w:r>
      <w:r>
        <w:rPr>
          <w:rFonts w:ascii="Times New Roman" w:hAnsi="Times New Roman" w:cs="Times New Roman"/>
          <w:sz w:val="24"/>
          <w:szCs w:val="24"/>
        </w:rPr>
        <w:t xml:space="preserve"> an individual worker controls the details of work in a manner </w:t>
      </w:r>
      <w:r w:rsidRPr="006563D7">
        <w:rPr>
          <w:rFonts w:ascii="Times New Roman" w:hAnsi="Times New Roman" w:cs="Times New Roman"/>
          <w:i/>
          <w:sz w:val="24"/>
          <w:szCs w:val="24"/>
        </w:rPr>
        <w:t>strongly</w:t>
      </w:r>
      <w:r>
        <w:rPr>
          <w:rFonts w:ascii="Times New Roman" w:hAnsi="Times New Roman" w:cs="Times New Roman"/>
          <w:sz w:val="24"/>
          <w:szCs w:val="24"/>
        </w:rPr>
        <w:t xml:space="preserve"> suggestive of independent contractor status, she </w:t>
      </w:r>
      <w:r w:rsidRPr="00B84DAE">
        <w:rPr>
          <w:rFonts w:ascii="Times New Roman" w:hAnsi="Times New Roman" w:cs="Times New Roman"/>
          <w:i/>
          <w:sz w:val="24"/>
          <w:szCs w:val="24"/>
        </w:rPr>
        <w:t>still</w:t>
      </w:r>
      <w:r>
        <w:rPr>
          <w:rFonts w:ascii="Times New Roman" w:hAnsi="Times New Roman" w:cs="Times New Roman"/>
          <w:sz w:val="24"/>
          <w:szCs w:val="24"/>
        </w:rPr>
        <w:t xml:space="preserve"> might be found an employee if the “holding out” and “substitution” elements have </w:t>
      </w:r>
      <w:r w:rsidRPr="00AF2EF6">
        <w:rPr>
          <w:rFonts w:ascii="Times New Roman" w:hAnsi="Times New Roman" w:cs="Times New Roman"/>
          <w:i/>
          <w:iCs/>
          <w:sz w:val="24"/>
          <w:szCs w:val="24"/>
        </w:rPr>
        <w:t>not</w:t>
      </w:r>
      <w:r>
        <w:rPr>
          <w:rFonts w:ascii="Times New Roman" w:hAnsi="Times New Roman" w:cs="Times New Roman"/>
          <w:sz w:val="24"/>
          <w:szCs w:val="24"/>
        </w:rPr>
        <w:t xml:space="preserve"> been satisfied, because the three-factor test, as explained in </w:t>
      </w:r>
      <w:r w:rsidRPr="00AF2EF6">
        <w:rPr>
          <w:rFonts w:ascii="Times New Roman" w:hAnsi="Times New Roman" w:cs="Times New Roman"/>
          <w:i/>
          <w:iCs/>
          <w:sz w:val="24"/>
          <w:szCs w:val="24"/>
        </w:rPr>
        <w:t>Circle C</w:t>
      </w:r>
      <w:r>
        <w:rPr>
          <w:rFonts w:ascii="Times New Roman" w:hAnsi="Times New Roman" w:cs="Times New Roman"/>
          <w:sz w:val="24"/>
          <w:szCs w:val="24"/>
        </w:rPr>
        <w:t>, requires satisfaction of all three factors.</w:t>
      </w:r>
      <w:r w:rsidRPr="00112C9C">
        <w:rPr>
          <w:rFonts w:ascii="Times New Roman" w:hAnsi="Times New Roman" w:cs="Times New Roman"/>
          <w:sz w:val="24"/>
          <w:szCs w:val="24"/>
          <w:vertAlign w:val="superscript"/>
        </w:rPr>
        <w:footnoteReference w:id="125"/>
      </w:r>
      <w:r>
        <w:rPr>
          <w:rFonts w:ascii="Times New Roman" w:hAnsi="Times New Roman" w:cs="Times New Roman"/>
          <w:sz w:val="24"/>
          <w:szCs w:val="24"/>
        </w:rPr>
        <w:t xml:space="preserve"> </w:t>
      </w:r>
    </w:p>
    <w:p w14:paraId="607B2746" w14:textId="77777777" w:rsidR="00951829" w:rsidRDefault="00951829" w:rsidP="00951829">
      <w:pPr>
        <w:spacing w:after="0"/>
        <w:jc w:val="both"/>
        <w:rPr>
          <w:rFonts w:ascii="Times New Roman" w:hAnsi="Times New Roman" w:cs="Times New Roman"/>
          <w:sz w:val="24"/>
          <w:szCs w:val="24"/>
        </w:rPr>
      </w:pPr>
    </w:p>
    <w:p w14:paraId="01B9A457" w14:textId="72646841" w:rsidR="00951829" w:rsidRDefault="00FF7482" w:rsidP="00FE123E">
      <w:pPr>
        <w:spacing w:after="0"/>
        <w:jc w:val="both"/>
        <w:rPr>
          <w:rFonts w:ascii="Times New Roman" w:hAnsi="Times New Roman" w:cs="Times New Roman"/>
          <w:sz w:val="24"/>
          <w:szCs w:val="24"/>
        </w:rPr>
      </w:pPr>
      <w:r>
        <w:rPr>
          <w:rFonts w:ascii="Times New Roman" w:hAnsi="Times New Roman" w:cs="Times New Roman"/>
          <w:sz w:val="24"/>
          <w:szCs w:val="24"/>
        </w:rPr>
        <w:t xml:space="preserve">This emphasis on “control” is also somewhat differently articulated through the concept of the “employment relationship.” </w:t>
      </w:r>
      <w:r w:rsidRPr="00130DD2">
        <w:rPr>
          <w:rFonts w:ascii="Times New Roman" w:hAnsi="Times New Roman" w:cs="Times New Roman"/>
          <w:b/>
          <w:sz w:val="24"/>
          <w:szCs w:val="24"/>
        </w:rPr>
        <w:t xml:space="preserve">Historically under Wyoming law the </w:t>
      </w:r>
      <w:r w:rsidRPr="00130DD2">
        <w:rPr>
          <w:rFonts w:ascii="Times New Roman" w:hAnsi="Times New Roman" w:cs="Times New Roman"/>
          <w:b/>
          <w:sz w:val="24"/>
          <w:szCs w:val="24"/>
        </w:rPr>
        <w:lastRenderedPageBreak/>
        <w:t xml:space="preserve">primary test to determine the existence of an employment relationship is </w:t>
      </w:r>
      <w:r>
        <w:rPr>
          <w:rFonts w:ascii="Times New Roman" w:hAnsi="Times New Roman" w:cs="Times New Roman"/>
          <w:b/>
          <w:sz w:val="24"/>
          <w:szCs w:val="24"/>
        </w:rPr>
        <w:t xml:space="preserve">the </w:t>
      </w:r>
      <w:r w:rsidRPr="00130DD2">
        <w:rPr>
          <w:rFonts w:ascii="Times New Roman" w:hAnsi="Times New Roman" w:cs="Times New Roman"/>
          <w:b/>
          <w:sz w:val="24"/>
          <w:szCs w:val="24"/>
        </w:rPr>
        <w:t xml:space="preserve">right of control of the </w:t>
      </w:r>
      <w:r>
        <w:rPr>
          <w:rFonts w:ascii="Times New Roman" w:hAnsi="Times New Roman" w:cs="Times New Roman"/>
          <w:b/>
          <w:sz w:val="24"/>
          <w:szCs w:val="24"/>
        </w:rPr>
        <w:t>putative</w:t>
      </w:r>
      <w:r w:rsidRPr="00130DD2">
        <w:rPr>
          <w:rFonts w:ascii="Times New Roman" w:hAnsi="Times New Roman" w:cs="Times New Roman"/>
          <w:b/>
          <w:sz w:val="24"/>
          <w:szCs w:val="24"/>
        </w:rPr>
        <w:t xml:space="preserve"> employer</w:t>
      </w:r>
      <w:r w:rsidRPr="0007565C">
        <w:rPr>
          <w:rFonts w:ascii="Times New Roman" w:hAnsi="Times New Roman" w:cs="Times New Roman"/>
          <w:bCs/>
          <w:sz w:val="24"/>
          <w:szCs w:val="24"/>
        </w:rPr>
        <w:t>.</w:t>
      </w:r>
      <w:r w:rsidRPr="00112C9C">
        <w:rPr>
          <w:rFonts w:ascii="Times New Roman" w:hAnsi="Times New Roman" w:cs="Times New Roman"/>
          <w:bCs/>
          <w:sz w:val="24"/>
          <w:szCs w:val="24"/>
          <w:vertAlign w:val="superscript"/>
        </w:rPr>
        <w:footnoteReference w:id="126"/>
      </w:r>
    </w:p>
    <w:p w14:paraId="08451BB7" w14:textId="77777777" w:rsidR="00951829" w:rsidRDefault="00951829" w:rsidP="00FE123E">
      <w:pPr>
        <w:spacing w:after="0"/>
        <w:jc w:val="both"/>
        <w:rPr>
          <w:rFonts w:ascii="Times New Roman" w:hAnsi="Times New Roman" w:cs="Times New Roman"/>
          <w:sz w:val="24"/>
          <w:szCs w:val="24"/>
        </w:rPr>
      </w:pPr>
    </w:p>
    <w:p w14:paraId="4E9BCEFF" w14:textId="52F04CC2" w:rsidR="00FF7482" w:rsidRDefault="00FF7482" w:rsidP="00FE123E">
      <w:pPr>
        <w:spacing w:after="0"/>
        <w:jc w:val="both"/>
        <w:rPr>
          <w:rFonts w:ascii="Times New Roman" w:hAnsi="Times New Roman" w:cs="Times New Roman"/>
          <w:sz w:val="24"/>
          <w:szCs w:val="24"/>
        </w:rPr>
      </w:pPr>
      <w:r w:rsidRPr="00AF2EF6">
        <w:rPr>
          <w:rFonts w:ascii="Times New Roman" w:hAnsi="Times New Roman" w:cs="Times New Roman"/>
          <w:b/>
          <w:bCs/>
          <w:iCs/>
          <w:sz w:val="24"/>
          <w:szCs w:val="24"/>
          <w:u w:val="single"/>
        </w:rPr>
        <w:t>The structure of the Wyoming statute strongly suggests that the burden of proof is squarely on the party asserting independent contractor status</w:t>
      </w:r>
      <w:r>
        <w:rPr>
          <w:rFonts w:ascii="Times New Roman" w:hAnsi="Times New Roman" w:cs="Times New Roman"/>
          <w:sz w:val="24"/>
          <w:szCs w:val="24"/>
        </w:rPr>
        <w:t xml:space="preserve">, which is an important point considering the rather loose definition of employee in </w:t>
      </w:r>
      <w:r w:rsidRPr="00653894">
        <w:rPr>
          <w:rFonts w:ascii="Times New Roman" w:hAnsi="Times New Roman" w:cs="Times New Roman"/>
          <w:sz w:val="24"/>
          <w:szCs w:val="24"/>
        </w:rPr>
        <w:t xml:space="preserve">W.S. </w:t>
      </w:r>
      <w:r w:rsidRPr="004B3D99">
        <w:rPr>
          <w:rFonts w:ascii="Times New Roman" w:hAnsi="Times New Roman" w:cs="Times New Roman"/>
          <w:sz w:val="24"/>
          <w:szCs w:val="24"/>
        </w:rPr>
        <w:t xml:space="preserve">§ </w:t>
      </w:r>
      <w:hyperlink r:id="rId37" w:history="1">
        <w:r w:rsidRPr="004B3D99">
          <w:rPr>
            <w:rStyle w:val="Hyperlink"/>
            <w:rFonts w:ascii="Times New Roman" w:hAnsi="Times New Roman" w:cs="Times New Roman"/>
            <w:sz w:val="24"/>
            <w:szCs w:val="24"/>
          </w:rPr>
          <w:t>27-14-102</w:t>
        </w:r>
      </w:hyperlink>
      <w:r w:rsidRPr="00653894">
        <w:rPr>
          <w:rFonts w:ascii="Times New Roman" w:hAnsi="Times New Roman" w:cs="Times New Roman"/>
          <w:sz w:val="24"/>
          <w:szCs w:val="24"/>
        </w:rPr>
        <w:t>(a)(vii)</w:t>
      </w:r>
      <w:r>
        <w:rPr>
          <w:rFonts w:ascii="Times New Roman" w:hAnsi="Times New Roman" w:cs="Times New Roman"/>
          <w:sz w:val="24"/>
          <w:szCs w:val="24"/>
        </w:rPr>
        <w:t>,</w:t>
      </w:r>
      <w:r w:rsidRPr="00653894">
        <w:rPr>
          <w:rFonts w:ascii="Times New Roman" w:hAnsi="Times New Roman" w:cs="Times New Roman"/>
          <w:sz w:val="24"/>
          <w:szCs w:val="24"/>
        </w:rPr>
        <w:t xml:space="preserve"> and</w:t>
      </w:r>
      <w:r>
        <w:rPr>
          <w:rFonts w:ascii="Times New Roman" w:hAnsi="Times New Roman" w:cs="Times New Roman"/>
          <w:sz w:val="24"/>
          <w:szCs w:val="24"/>
        </w:rPr>
        <w:t xml:space="preserve"> the specific</w:t>
      </w:r>
      <w:r w:rsidRPr="00653894">
        <w:rPr>
          <w:rFonts w:ascii="Times New Roman" w:hAnsi="Times New Roman" w:cs="Times New Roman"/>
          <w:sz w:val="24"/>
          <w:szCs w:val="24"/>
        </w:rPr>
        <w:t xml:space="preserve"> exclusions of </w:t>
      </w:r>
      <w:r w:rsidRPr="004B3D99">
        <w:rPr>
          <w:rFonts w:ascii="Times New Roman" w:hAnsi="Times New Roman" w:cs="Times New Roman"/>
          <w:sz w:val="24"/>
          <w:szCs w:val="24"/>
        </w:rPr>
        <w:t xml:space="preserve">W.S. § </w:t>
      </w:r>
      <w:hyperlink r:id="rId38" w:history="1">
        <w:r w:rsidRPr="004B3D99">
          <w:rPr>
            <w:rStyle w:val="Hyperlink"/>
            <w:rFonts w:ascii="Times New Roman" w:hAnsi="Times New Roman" w:cs="Times New Roman"/>
            <w:sz w:val="24"/>
            <w:szCs w:val="24"/>
          </w:rPr>
          <w:t>27-14-102</w:t>
        </w:r>
      </w:hyperlink>
      <w:r w:rsidRPr="00653894">
        <w:rPr>
          <w:rFonts w:ascii="Times New Roman" w:hAnsi="Times New Roman" w:cs="Times New Roman"/>
          <w:sz w:val="24"/>
          <w:szCs w:val="24"/>
        </w:rPr>
        <w:t>(a)(vii)(A)-(R)</w:t>
      </w:r>
      <w:r>
        <w:rPr>
          <w:rFonts w:ascii="Times New Roman" w:hAnsi="Times New Roman" w:cs="Times New Roman"/>
          <w:sz w:val="24"/>
          <w:szCs w:val="24"/>
        </w:rPr>
        <w:t xml:space="preserve">. Furthermore, </w:t>
      </w:r>
      <w:r w:rsidRPr="00AF2EF6">
        <w:rPr>
          <w:rFonts w:ascii="Times New Roman" w:hAnsi="Times New Roman" w:cs="Times New Roman"/>
          <w:b/>
          <w:bCs/>
          <w:sz w:val="24"/>
          <w:szCs w:val="24"/>
        </w:rPr>
        <w:t>an agreement between an employer and workers’ compensation claimant which purports to establish an “independent</w:t>
      </w:r>
      <w:r w:rsidR="00406203">
        <w:rPr>
          <w:rFonts w:ascii="Times New Roman" w:hAnsi="Times New Roman" w:cs="Times New Roman"/>
          <w:b/>
          <w:bCs/>
          <w:sz w:val="24"/>
          <w:szCs w:val="24"/>
        </w:rPr>
        <w:t xml:space="preserve"> contractor</w:t>
      </w:r>
      <w:r w:rsidRPr="00AF2EF6">
        <w:rPr>
          <w:rFonts w:ascii="Times New Roman" w:hAnsi="Times New Roman" w:cs="Times New Roman"/>
          <w:b/>
          <w:bCs/>
          <w:sz w:val="24"/>
          <w:szCs w:val="24"/>
        </w:rPr>
        <w:t xml:space="preserve">” relationship rather than an employer-employee relationship has been found by Wyoming courts </w:t>
      </w:r>
      <w:r w:rsidRPr="00AF2EF6">
        <w:rPr>
          <w:rFonts w:ascii="Times New Roman" w:hAnsi="Times New Roman" w:cs="Times New Roman"/>
          <w:b/>
          <w:bCs/>
          <w:sz w:val="24"/>
          <w:szCs w:val="24"/>
          <w:u w:val="single"/>
        </w:rPr>
        <w:t>not</w:t>
      </w:r>
      <w:r w:rsidRPr="00AF2EF6">
        <w:rPr>
          <w:rFonts w:ascii="Times New Roman" w:hAnsi="Times New Roman" w:cs="Times New Roman"/>
          <w:b/>
          <w:bCs/>
          <w:sz w:val="24"/>
          <w:szCs w:val="24"/>
        </w:rPr>
        <w:t xml:space="preserve"> to be dispositive</w:t>
      </w:r>
      <w:r>
        <w:rPr>
          <w:rFonts w:ascii="Times New Roman" w:hAnsi="Times New Roman" w:cs="Times New Roman"/>
          <w:sz w:val="24"/>
          <w:szCs w:val="24"/>
        </w:rPr>
        <w:t xml:space="preserve"> because  “</w:t>
      </w:r>
      <w:r w:rsidRPr="00AB183F">
        <w:rPr>
          <w:rFonts w:ascii="Times New Roman" w:hAnsi="Times New Roman" w:cs="Times New Roman"/>
          <w:sz w:val="24"/>
          <w:szCs w:val="24"/>
        </w:rPr>
        <w:t xml:space="preserve">it is </w:t>
      </w:r>
      <w:r>
        <w:rPr>
          <w:rFonts w:ascii="Times New Roman" w:hAnsi="Times New Roman" w:cs="Times New Roman"/>
          <w:sz w:val="24"/>
          <w:szCs w:val="24"/>
        </w:rPr>
        <w:t xml:space="preserve">. . . </w:t>
      </w:r>
      <w:r w:rsidRPr="00AB183F">
        <w:rPr>
          <w:rFonts w:ascii="Times New Roman" w:hAnsi="Times New Roman" w:cs="Times New Roman"/>
          <w:sz w:val="24"/>
          <w:szCs w:val="24"/>
        </w:rPr>
        <w:t xml:space="preserve">the actual relationship between the parties, not the designation of the employee, </w:t>
      </w:r>
      <w:r>
        <w:rPr>
          <w:rFonts w:ascii="Times New Roman" w:hAnsi="Times New Roman" w:cs="Times New Roman"/>
          <w:sz w:val="24"/>
          <w:szCs w:val="24"/>
        </w:rPr>
        <w:t xml:space="preserve">[that must] </w:t>
      </w:r>
      <w:r w:rsidRPr="00AB183F">
        <w:rPr>
          <w:rFonts w:ascii="Times New Roman" w:hAnsi="Times New Roman" w:cs="Times New Roman"/>
          <w:sz w:val="24"/>
          <w:szCs w:val="24"/>
        </w:rPr>
        <w:t>meet the test of a bona</w:t>
      </w:r>
      <w:r>
        <w:rPr>
          <w:rFonts w:ascii="Times New Roman" w:hAnsi="Times New Roman" w:cs="Times New Roman"/>
          <w:sz w:val="24"/>
          <w:szCs w:val="24"/>
        </w:rPr>
        <w:t xml:space="preserve"> </w:t>
      </w:r>
      <w:r w:rsidRPr="00AB183F">
        <w:rPr>
          <w:rFonts w:ascii="Times New Roman" w:hAnsi="Times New Roman" w:cs="Times New Roman"/>
          <w:sz w:val="24"/>
          <w:szCs w:val="24"/>
        </w:rPr>
        <w:t>fide independent-contractor status.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27"/>
      </w:r>
      <w:r>
        <w:rPr>
          <w:rFonts w:ascii="Times New Roman" w:hAnsi="Times New Roman" w:cs="Times New Roman"/>
          <w:sz w:val="24"/>
          <w:szCs w:val="24"/>
        </w:rPr>
        <w:t xml:space="preserve"> </w:t>
      </w:r>
    </w:p>
    <w:p w14:paraId="7B8CB58E" w14:textId="77777777" w:rsidR="00FF7482" w:rsidRDefault="00FF7482" w:rsidP="00FE123E">
      <w:pPr>
        <w:spacing w:after="0"/>
        <w:jc w:val="both"/>
        <w:rPr>
          <w:rFonts w:ascii="Times New Roman" w:hAnsi="Times New Roman" w:cs="Times New Roman"/>
          <w:sz w:val="24"/>
          <w:szCs w:val="24"/>
        </w:rPr>
      </w:pPr>
    </w:p>
    <w:p w14:paraId="7A7171C8" w14:textId="538A53B6" w:rsidR="00FF7482" w:rsidRPr="00050E85" w:rsidRDefault="00FF7482" w:rsidP="00A1543A">
      <w:pPr>
        <w:pStyle w:val="Heading2"/>
        <w:rPr>
          <w:rFonts w:ascii="Times New Roman" w:hAnsi="Times New Roman" w:cs="Times New Roman"/>
          <w:b/>
          <w:color w:val="auto"/>
        </w:rPr>
      </w:pPr>
      <w:bookmarkStart w:id="165" w:name="_Toc75269351"/>
      <w:r w:rsidRPr="00050E85">
        <w:rPr>
          <w:rFonts w:ascii="Times New Roman" w:hAnsi="Times New Roman" w:cs="Times New Roman"/>
          <w:b/>
          <w:color w:val="auto"/>
        </w:rPr>
        <w:t>Tort Law versus Workers’ Compensation Law</w:t>
      </w:r>
      <w:r>
        <w:rPr>
          <w:rFonts w:ascii="Times New Roman" w:hAnsi="Times New Roman" w:cs="Times New Roman"/>
          <w:b/>
          <w:color w:val="auto"/>
        </w:rPr>
        <w:t xml:space="preserve"> Generally</w:t>
      </w:r>
      <w:bookmarkEnd w:id="165"/>
    </w:p>
    <w:p w14:paraId="037B5A48" w14:textId="77777777" w:rsidR="00FF7482" w:rsidRPr="008B479F" w:rsidRDefault="00FF7482" w:rsidP="00FB7728">
      <w:pPr>
        <w:spacing w:after="0"/>
      </w:pPr>
    </w:p>
    <w:p w14:paraId="1F35232B" w14:textId="133CF4D8" w:rsidR="00FF7482" w:rsidRDefault="00FF7482" w:rsidP="006A3226">
      <w:pPr>
        <w:spacing w:after="0"/>
        <w:jc w:val="both"/>
        <w:rPr>
          <w:rFonts w:ascii="Times New Roman" w:hAnsi="Times New Roman" w:cs="Times New Roman"/>
          <w:sz w:val="24"/>
          <w:szCs w:val="24"/>
        </w:rPr>
      </w:pPr>
      <w:r>
        <w:rPr>
          <w:rFonts w:ascii="Times New Roman" w:hAnsi="Times New Roman" w:cs="Times New Roman"/>
          <w:sz w:val="24"/>
          <w:szCs w:val="24"/>
        </w:rPr>
        <w:t xml:space="preserve">Before moving on to a brief discussion of other national approaches to the employee versus independent contractor question, it may be useful to note that, under the common law, </w:t>
      </w:r>
      <w:bookmarkStart w:id="166" w:name="_Hlk24631266"/>
      <w:r>
        <w:rPr>
          <w:rFonts w:ascii="Times New Roman" w:hAnsi="Times New Roman" w:cs="Times New Roman"/>
          <w:sz w:val="24"/>
          <w:szCs w:val="24"/>
        </w:rPr>
        <w:t xml:space="preserve">the distinction </w:t>
      </w:r>
      <w:r w:rsidR="004536C1">
        <w:rPr>
          <w:rFonts w:ascii="Times New Roman" w:hAnsi="Times New Roman" w:cs="Times New Roman"/>
          <w:sz w:val="24"/>
          <w:szCs w:val="24"/>
        </w:rPr>
        <w:t xml:space="preserve">between </w:t>
      </w:r>
      <w:r>
        <w:rPr>
          <w:rFonts w:ascii="Times New Roman" w:hAnsi="Times New Roman" w:cs="Times New Roman"/>
          <w:sz w:val="24"/>
          <w:szCs w:val="24"/>
        </w:rPr>
        <w:t xml:space="preserve">employee (or “servant”) and independent contractor was important for reasons having nothing to do with an employment statute. </w:t>
      </w:r>
      <w:bookmarkEnd w:id="166"/>
      <w:r>
        <w:rPr>
          <w:rFonts w:ascii="Times New Roman" w:hAnsi="Times New Roman" w:cs="Times New Roman"/>
          <w:sz w:val="24"/>
          <w:szCs w:val="24"/>
        </w:rPr>
        <w:t>Because an employee/servant acting within the scope of employment potentially creates vicarious liability in the employer/master, courts in an earlier era were inclined to be especially cautious before finding that the employer’s agent was in fact a “servant.”</w:t>
      </w:r>
      <w:r w:rsidRPr="00112C9C">
        <w:rPr>
          <w:rFonts w:ascii="Times New Roman" w:hAnsi="Times New Roman" w:cs="Times New Roman"/>
          <w:sz w:val="24"/>
          <w:szCs w:val="24"/>
          <w:vertAlign w:val="superscript"/>
        </w:rPr>
        <w:footnoteReference w:id="128"/>
      </w:r>
      <w:r>
        <w:rPr>
          <w:rFonts w:ascii="Times New Roman" w:hAnsi="Times New Roman" w:cs="Times New Roman"/>
          <w:sz w:val="24"/>
          <w:szCs w:val="24"/>
        </w:rPr>
        <w:t xml:space="preserve"> In his workers’ compensation classes, this writer has referred to this as the “push” phenomenon: an attempt by courts to </w:t>
      </w:r>
      <w:r w:rsidRPr="001F0F78">
        <w:rPr>
          <w:rFonts w:ascii="Times New Roman" w:hAnsi="Times New Roman" w:cs="Times New Roman"/>
          <w:i/>
          <w:sz w:val="24"/>
          <w:szCs w:val="24"/>
        </w:rPr>
        <w:t>push employee status away</w:t>
      </w:r>
      <w:r>
        <w:rPr>
          <w:rFonts w:ascii="Times New Roman" w:hAnsi="Times New Roman" w:cs="Times New Roman"/>
          <w:sz w:val="24"/>
          <w:szCs w:val="24"/>
        </w:rPr>
        <w:t xml:space="preserve">. In contrast, large “remedial” employment statutes aimed from their inception at broad coverage. This context at times inclined courts in doubtful cases to </w:t>
      </w:r>
      <w:r w:rsidRPr="001F0F78">
        <w:rPr>
          <w:rFonts w:ascii="Times New Roman" w:hAnsi="Times New Roman" w:cs="Times New Roman"/>
          <w:i/>
          <w:sz w:val="24"/>
          <w:szCs w:val="24"/>
        </w:rPr>
        <w:t>“pull” individuals into employee status</w:t>
      </w:r>
      <w:r>
        <w:rPr>
          <w:rFonts w:ascii="Times New Roman" w:hAnsi="Times New Roman" w:cs="Times New Roman"/>
          <w:sz w:val="24"/>
          <w:szCs w:val="24"/>
        </w:rPr>
        <w:t xml:space="preserve">. This push-pull dynamic lives on in modern times as jurisdictions define employees differently under a variety of </w:t>
      </w:r>
      <w:r w:rsidRPr="001F0F78">
        <w:rPr>
          <w:rFonts w:ascii="Times New Roman" w:hAnsi="Times New Roman" w:cs="Times New Roman"/>
          <w:i/>
          <w:sz w:val="24"/>
          <w:szCs w:val="24"/>
        </w:rPr>
        <w:t>workplace</w:t>
      </w:r>
      <w:r>
        <w:rPr>
          <w:rFonts w:ascii="Times New Roman" w:hAnsi="Times New Roman" w:cs="Times New Roman"/>
          <w:sz w:val="24"/>
          <w:szCs w:val="24"/>
        </w:rPr>
        <w:t xml:space="preserve"> laws and across </w:t>
      </w:r>
      <w:r w:rsidRPr="001F0F78">
        <w:rPr>
          <w:rFonts w:ascii="Times New Roman" w:hAnsi="Times New Roman" w:cs="Times New Roman"/>
          <w:i/>
          <w:sz w:val="24"/>
          <w:szCs w:val="24"/>
        </w:rPr>
        <w:t xml:space="preserve">tort </w:t>
      </w:r>
      <w:r>
        <w:rPr>
          <w:rFonts w:ascii="Times New Roman" w:hAnsi="Times New Roman" w:cs="Times New Roman"/>
          <w:sz w:val="24"/>
          <w:szCs w:val="24"/>
        </w:rPr>
        <w:t>law, as if, to repeat the colorful phrase of a famous judge, employee status was deployed analytically as a “universal solvent.”</w:t>
      </w:r>
      <w:r w:rsidRPr="00112C9C">
        <w:rPr>
          <w:rFonts w:ascii="Times New Roman" w:hAnsi="Times New Roman" w:cs="Times New Roman"/>
          <w:sz w:val="24"/>
          <w:szCs w:val="24"/>
          <w:vertAlign w:val="superscript"/>
        </w:rPr>
        <w:footnoteReference w:id="129"/>
      </w:r>
      <w:r>
        <w:rPr>
          <w:rFonts w:ascii="Times New Roman" w:hAnsi="Times New Roman" w:cs="Times New Roman"/>
          <w:sz w:val="24"/>
          <w:szCs w:val="24"/>
        </w:rPr>
        <w:t xml:space="preserve"> </w:t>
      </w:r>
    </w:p>
    <w:p w14:paraId="457E6676" w14:textId="77777777" w:rsidR="00FF7482" w:rsidRDefault="00FF7482" w:rsidP="006A3226">
      <w:pPr>
        <w:spacing w:after="0"/>
        <w:jc w:val="both"/>
        <w:rPr>
          <w:rFonts w:ascii="Times New Roman" w:hAnsi="Times New Roman" w:cs="Times New Roman"/>
          <w:sz w:val="24"/>
          <w:szCs w:val="24"/>
        </w:rPr>
      </w:pPr>
    </w:p>
    <w:p w14:paraId="6D270136" w14:textId="794A459B" w:rsidR="00FF7482" w:rsidRPr="00050E85" w:rsidRDefault="00FF7482" w:rsidP="00A1543A">
      <w:pPr>
        <w:pStyle w:val="Heading2"/>
        <w:rPr>
          <w:rFonts w:ascii="Times New Roman" w:hAnsi="Times New Roman" w:cs="Times New Roman"/>
          <w:b/>
          <w:color w:val="auto"/>
        </w:rPr>
      </w:pPr>
      <w:bookmarkStart w:id="170" w:name="_Toc75269352"/>
      <w:r w:rsidRPr="00050E85">
        <w:rPr>
          <w:rFonts w:ascii="Times New Roman" w:hAnsi="Times New Roman" w:cs="Times New Roman"/>
          <w:b/>
          <w:color w:val="auto"/>
        </w:rPr>
        <w:t>Restatement Second of Agency Test</w:t>
      </w:r>
      <w:r>
        <w:rPr>
          <w:rFonts w:ascii="Times New Roman" w:hAnsi="Times New Roman" w:cs="Times New Roman"/>
          <w:b/>
          <w:color w:val="auto"/>
        </w:rPr>
        <w:t xml:space="preserve"> (National)</w:t>
      </w:r>
      <w:bookmarkEnd w:id="170"/>
    </w:p>
    <w:p w14:paraId="6489B45F" w14:textId="77777777" w:rsidR="00FF7482" w:rsidRPr="008B479F" w:rsidRDefault="00FF7482" w:rsidP="00FB7728">
      <w:pPr>
        <w:spacing w:after="0"/>
      </w:pPr>
    </w:p>
    <w:p w14:paraId="7B2385AC" w14:textId="4BF7F246" w:rsidR="00FF7482" w:rsidRDefault="00FF7482" w:rsidP="00A1543A">
      <w:pPr>
        <w:spacing w:after="0"/>
        <w:jc w:val="both"/>
        <w:rPr>
          <w:rFonts w:ascii="Times New Roman" w:hAnsi="Times New Roman" w:cs="Times New Roman"/>
          <w:sz w:val="24"/>
          <w:szCs w:val="24"/>
        </w:rPr>
      </w:pPr>
      <w:r w:rsidRPr="00E40E81">
        <w:rPr>
          <w:rFonts w:ascii="Times New Roman" w:hAnsi="Times New Roman" w:cs="Times New Roman"/>
          <w:sz w:val="24"/>
          <w:szCs w:val="24"/>
        </w:rPr>
        <w:t xml:space="preserve">The </w:t>
      </w:r>
      <w:r>
        <w:rPr>
          <w:rFonts w:ascii="Times New Roman" w:hAnsi="Times New Roman" w:cs="Times New Roman"/>
          <w:sz w:val="24"/>
          <w:szCs w:val="24"/>
        </w:rPr>
        <w:t xml:space="preserve">Restatement Second of Agency, Section 220(2), is one of the most widely utilized frameworks in the United States for distinguishing employees from </w:t>
      </w:r>
      <w:r>
        <w:rPr>
          <w:rFonts w:ascii="Times New Roman" w:hAnsi="Times New Roman" w:cs="Times New Roman"/>
          <w:sz w:val="24"/>
          <w:szCs w:val="24"/>
        </w:rPr>
        <w:lastRenderedPageBreak/>
        <w:t>independent contractors.</w:t>
      </w:r>
      <w:r w:rsidRPr="00112C9C">
        <w:rPr>
          <w:rFonts w:ascii="Times New Roman" w:hAnsi="Times New Roman" w:cs="Times New Roman"/>
          <w:sz w:val="24"/>
          <w:szCs w:val="24"/>
          <w:vertAlign w:val="superscript"/>
        </w:rPr>
        <w:footnoteReference w:id="130"/>
      </w:r>
      <w:r>
        <w:rPr>
          <w:rFonts w:ascii="Times New Roman" w:hAnsi="Times New Roman" w:cs="Times New Roman"/>
          <w:sz w:val="24"/>
          <w:szCs w:val="24"/>
        </w:rPr>
        <w:t xml:space="preserve"> It must constantly be kept in mind, however, that it is possible for a jurisdiction to apply the Restatement test in </w:t>
      </w:r>
      <w:r w:rsidRPr="002A7EA4">
        <w:rPr>
          <w:rFonts w:ascii="Times New Roman" w:hAnsi="Times New Roman" w:cs="Times New Roman"/>
          <w:i/>
          <w:iCs/>
          <w:sz w:val="24"/>
          <w:szCs w:val="24"/>
        </w:rPr>
        <w:t>some</w:t>
      </w:r>
      <w:r>
        <w:rPr>
          <w:rFonts w:ascii="Times New Roman" w:hAnsi="Times New Roman" w:cs="Times New Roman"/>
          <w:sz w:val="24"/>
          <w:szCs w:val="24"/>
        </w:rPr>
        <w:t xml:space="preserve"> employment law contexts and a different test in the workers’ compensation law context. Under the Restatement rubric, the following factors are assessed, and the totality of the circumstances determines whether an individual is an employee or an independent contractor:</w:t>
      </w:r>
    </w:p>
    <w:p w14:paraId="04FA0706" w14:textId="77777777" w:rsidR="00A1543A" w:rsidRDefault="00A1543A" w:rsidP="00A1543A">
      <w:pPr>
        <w:spacing w:after="0"/>
        <w:jc w:val="both"/>
        <w:rPr>
          <w:rFonts w:ascii="Times New Roman" w:hAnsi="Times New Roman" w:cs="Times New Roman"/>
          <w:sz w:val="24"/>
          <w:szCs w:val="24"/>
        </w:rPr>
      </w:pPr>
    </w:p>
    <w:p w14:paraId="4EC0ECD5" w14:textId="7316CBC9" w:rsidR="00FF7482" w:rsidRPr="00E40E81" w:rsidRDefault="00FF7482" w:rsidP="009207B3">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(a) the </w:t>
      </w:r>
      <w:r w:rsidRPr="002A7EA4">
        <w:rPr>
          <w:rFonts w:ascii="Times New Roman" w:hAnsi="Times New Roman" w:cs="Times New Roman"/>
          <w:b/>
          <w:bCs/>
          <w:sz w:val="24"/>
          <w:szCs w:val="24"/>
        </w:rPr>
        <w:t>extent of control</w:t>
      </w:r>
      <w:r w:rsidRPr="00E40E81">
        <w:rPr>
          <w:rFonts w:ascii="Times New Roman" w:hAnsi="Times New Roman" w:cs="Times New Roman"/>
          <w:sz w:val="24"/>
          <w:szCs w:val="24"/>
        </w:rPr>
        <w:t xml:space="preserve"> which, </w:t>
      </w:r>
      <w:r w:rsidRPr="002A7EA4">
        <w:rPr>
          <w:rFonts w:ascii="Times New Roman" w:hAnsi="Times New Roman" w:cs="Times New Roman"/>
          <w:b/>
          <w:bCs/>
          <w:sz w:val="24"/>
          <w:szCs w:val="24"/>
        </w:rPr>
        <w:t>by the agreement</w:t>
      </w:r>
      <w:r w:rsidRPr="00E40E81">
        <w:rPr>
          <w:rFonts w:ascii="Times New Roman" w:hAnsi="Times New Roman" w:cs="Times New Roman"/>
          <w:sz w:val="24"/>
          <w:szCs w:val="24"/>
        </w:rPr>
        <w:t>, the master may exercise over the details of the work;</w:t>
      </w:r>
    </w:p>
    <w:p w14:paraId="7893C445" w14:textId="4C94CFE9"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(b) whether or not the one employed is engaged in a </w:t>
      </w:r>
      <w:r w:rsidRPr="002A7EA4">
        <w:rPr>
          <w:rFonts w:ascii="Times New Roman" w:hAnsi="Times New Roman" w:cs="Times New Roman"/>
          <w:b/>
          <w:bCs/>
          <w:sz w:val="24"/>
          <w:szCs w:val="24"/>
        </w:rPr>
        <w:t>distinct occupation</w:t>
      </w:r>
      <w:r w:rsidRPr="00E40E81">
        <w:rPr>
          <w:rFonts w:ascii="Times New Roman" w:hAnsi="Times New Roman" w:cs="Times New Roman"/>
          <w:sz w:val="24"/>
          <w:szCs w:val="24"/>
        </w:rPr>
        <w:t xml:space="preserve"> or business;</w:t>
      </w:r>
    </w:p>
    <w:p w14:paraId="67B938E2" w14:textId="03F8FB16"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(c) the </w:t>
      </w:r>
      <w:r w:rsidRPr="002A7EA4">
        <w:rPr>
          <w:rFonts w:ascii="Times New Roman" w:hAnsi="Times New Roman" w:cs="Times New Roman"/>
          <w:b/>
          <w:bCs/>
          <w:sz w:val="24"/>
          <w:szCs w:val="24"/>
        </w:rPr>
        <w:t>kind of occupation</w:t>
      </w:r>
      <w:r w:rsidRPr="00E40E81">
        <w:rPr>
          <w:rFonts w:ascii="Times New Roman" w:hAnsi="Times New Roman" w:cs="Times New Roman"/>
          <w:sz w:val="24"/>
          <w:szCs w:val="24"/>
        </w:rPr>
        <w:t>, with reference to whether, in the locality, the work is usually done under the direction of the employer or by a specialist without supervision;</w:t>
      </w:r>
    </w:p>
    <w:p w14:paraId="631AEB12" w14:textId="01C51B84" w:rsidR="00FF7482" w:rsidRPr="00E40E81" w:rsidRDefault="00FF7482" w:rsidP="000E29EB">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(d) the </w:t>
      </w:r>
      <w:r w:rsidRPr="002A7EA4">
        <w:rPr>
          <w:rFonts w:ascii="Times New Roman" w:hAnsi="Times New Roman" w:cs="Times New Roman"/>
          <w:b/>
          <w:bCs/>
          <w:sz w:val="24"/>
          <w:szCs w:val="24"/>
        </w:rPr>
        <w:t xml:space="preserve">skill </w:t>
      </w:r>
      <w:r w:rsidRPr="00E40E81">
        <w:rPr>
          <w:rFonts w:ascii="Times New Roman" w:hAnsi="Times New Roman" w:cs="Times New Roman"/>
          <w:sz w:val="24"/>
          <w:szCs w:val="24"/>
        </w:rPr>
        <w:t>required in the particular occupation;</w:t>
      </w:r>
    </w:p>
    <w:p w14:paraId="4788E79A" w14:textId="01BD43FD"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(e) whether the </w:t>
      </w:r>
      <w:r w:rsidRPr="002A7EA4">
        <w:rPr>
          <w:rFonts w:ascii="Times New Roman" w:hAnsi="Times New Roman" w:cs="Times New Roman"/>
          <w:b/>
          <w:bCs/>
          <w:sz w:val="24"/>
          <w:szCs w:val="24"/>
        </w:rPr>
        <w:t>employer or the workman supplies the instrumentalities</w:t>
      </w:r>
      <w:r w:rsidRPr="00E40E81">
        <w:rPr>
          <w:rFonts w:ascii="Times New Roman" w:hAnsi="Times New Roman" w:cs="Times New Roman"/>
          <w:sz w:val="24"/>
          <w:szCs w:val="24"/>
        </w:rPr>
        <w:t>, tools, and the place of work for the person doing the work;</w:t>
      </w:r>
    </w:p>
    <w:p w14:paraId="63967B5E" w14:textId="54E5FAC2"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(f) the </w:t>
      </w:r>
      <w:r w:rsidRPr="002A7EA4">
        <w:rPr>
          <w:rFonts w:ascii="Times New Roman" w:hAnsi="Times New Roman" w:cs="Times New Roman"/>
          <w:b/>
          <w:bCs/>
          <w:sz w:val="24"/>
          <w:szCs w:val="24"/>
        </w:rPr>
        <w:t>length of time</w:t>
      </w:r>
      <w:r w:rsidRPr="00E40E81">
        <w:rPr>
          <w:rFonts w:ascii="Times New Roman" w:hAnsi="Times New Roman" w:cs="Times New Roman"/>
          <w:sz w:val="24"/>
          <w:szCs w:val="24"/>
        </w:rPr>
        <w:t xml:space="preserve"> for which the person is </w:t>
      </w:r>
      <w:r w:rsidRPr="002A7EA4">
        <w:rPr>
          <w:rFonts w:ascii="Times New Roman" w:hAnsi="Times New Roman" w:cs="Times New Roman"/>
          <w:b/>
          <w:bCs/>
          <w:sz w:val="24"/>
          <w:szCs w:val="24"/>
        </w:rPr>
        <w:t>employed</w:t>
      </w:r>
      <w:r w:rsidRPr="00E40E81">
        <w:rPr>
          <w:rFonts w:ascii="Times New Roman" w:hAnsi="Times New Roman" w:cs="Times New Roman"/>
          <w:sz w:val="24"/>
          <w:szCs w:val="24"/>
        </w:rPr>
        <w:t>;</w:t>
      </w:r>
    </w:p>
    <w:p w14:paraId="07BAC46A" w14:textId="15D1B7A5"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(g) the </w:t>
      </w:r>
      <w:r w:rsidRPr="002A7EA4">
        <w:rPr>
          <w:rFonts w:ascii="Times New Roman" w:hAnsi="Times New Roman" w:cs="Times New Roman"/>
          <w:b/>
          <w:bCs/>
          <w:sz w:val="24"/>
          <w:szCs w:val="24"/>
        </w:rPr>
        <w:t>method of payment</w:t>
      </w:r>
      <w:r w:rsidRPr="00E40E81">
        <w:rPr>
          <w:rFonts w:ascii="Times New Roman" w:hAnsi="Times New Roman" w:cs="Times New Roman"/>
          <w:sz w:val="24"/>
          <w:szCs w:val="24"/>
        </w:rPr>
        <w:t>, whether by the time or by the job;</w:t>
      </w:r>
    </w:p>
    <w:p w14:paraId="64102E73" w14:textId="297EF89A"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(h) whether or not the work is a part of the </w:t>
      </w:r>
      <w:r w:rsidRPr="002A7EA4">
        <w:rPr>
          <w:rFonts w:ascii="Times New Roman" w:hAnsi="Times New Roman" w:cs="Times New Roman"/>
          <w:b/>
          <w:bCs/>
          <w:sz w:val="24"/>
          <w:szCs w:val="24"/>
        </w:rPr>
        <w:t>regular business of the employer</w:t>
      </w:r>
      <w:r w:rsidRPr="00E40E81">
        <w:rPr>
          <w:rFonts w:ascii="Times New Roman" w:hAnsi="Times New Roman" w:cs="Times New Roman"/>
          <w:sz w:val="24"/>
          <w:szCs w:val="24"/>
        </w:rPr>
        <w:t>;</w:t>
      </w:r>
    </w:p>
    <w:p w14:paraId="42138FF9" w14:textId="0714069D" w:rsidR="00FF7482" w:rsidRPr="00E40E81" w:rsidRDefault="00FF7482" w:rsidP="00A1543A">
      <w:pPr>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(i) whether or not the </w:t>
      </w:r>
      <w:r w:rsidRPr="002A7EA4">
        <w:rPr>
          <w:rFonts w:ascii="Times New Roman" w:hAnsi="Times New Roman" w:cs="Times New Roman"/>
          <w:b/>
          <w:bCs/>
          <w:sz w:val="24"/>
          <w:szCs w:val="24"/>
        </w:rPr>
        <w:t>parties believe they are creating the relation of master and servant</w:t>
      </w:r>
      <w:r w:rsidRPr="00E40E81">
        <w:rPr>
          <w:rFonts w:ascii="Times New Roman" w:hAnsi="Times New Roman" w:cs="Times New Roman"/>
          <w:sz w:val="24"/>
          <w:szCs w:val="24"/>
        </w:rPr>
        <w:t>; and</w:t>
      </w:r>
    </w:p>
    <w:p w14:paraId="2EC72213" w14:textId="78E3FB1D" w:rsidR="00FF7482" w:rsidRDefault="00FF7482" w:rsidP="00A1543A">
      <w:pPr>
        <w:spacing w:after="0"/>
        <w:ind w:left="720" w:right="720"/>
        <w:jc w:val="both"/>
        <w:rPr>
          <w:rFonts w:ascii="Times New Roman" w:hAnsi="Times New Roman" w:cs="Times New Roman"/>
          <w:sz w:val="24"/>
          <w:szCs w:val="24"/>
        </w:rPr>
      </w:pPr>
      <w:r w:rsidRPr="00E40E81">
        <w:rPr>
          <w:rFonts w:ascii="Times New Roman" w:hAnsi="Times New Roman" w:cs="Times New Roman"/>
          <w:sz w:val="24"/>
          <w:szCs w:val="24"/>
        </w:rPr>
        <w:t xml:space="preserve">(j) </w:t>
      </w:r>
      <w:r w:rsidRPr="002A7EA4">
        <w:rPr>
          <w:rFonts w:ascii="Times New Roman" w:hAnsi="Times New Roman" w:cs="Times New Roman"/>
          <w:b/>
          <w:bCs/>
          <w:sz w:val="24"/>
          <w:szCs w:val="24"/>
        </w:rPr>
        <w:t>whether the principal is or is not in business</w:t>
      </w:r>
      <w:r w:rsidRPr="00E40E81">
        <w:rPr>
          <w:rFonts w:ascii="Times New Roman" w:hAnsi="Times New Roman" w:cs="Times New Roman"/>
          <w:sz w:val="24"/>
          <w:szCs w:val="24"/>
        </w:rPr>
        <w:t>.</w:t>
      </w:r>
    </w:p>
    <w:p w14:paraId="5D2583D7" w14:textId="77777777" w:rsidR="00A1543A" w:rsidRDefault="00A1543A" w:rsidP="00A1543A">
      <w:pPr>
        <w:spacing w:after="0"/>
        <w:ind w:left="720" w:right="720"/>
        <w:jc w:val="both"/>
        <w:rPr>
          <w:rFonts w:ascii="Times New Roman" w:hAnsi="Times New Roman" w:cs="Times New Roman"/>
          <w:sz w:val="24"/>
          <w:szCs w:val="24"/>
        </w:rPr>
      </w:pPr>
    </w:p>
    <w:p w14:paraId="6112E2D0" w14:textId="7317EE5C" w:rsidR="00FF7482" w:rsidRDefault="00FF7482"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A great variety of outcomes can be reached utilizing these factors, and sometimes different outcomes can be reached on very similar sets of facts. As the </w:t>
      </w:r>
      <w:r w:rsidRPr="007E34E1">
        <w:rPr>
          <w:rFonts w:ascii="Times New Roman" w:hAnsi="Times New Roman" w:cs="Times New Roman"/>
          <w:i/>
          <w:sz w:val="24"/>
          <w:szCs w:val="24"/>
        </w:rPr>
        <w:t>Larson</w:t>
      </w:r>
      <w:r w:rsidRPr="002A7EA4">
        <w:rPr>
          <w:rFonts w:ascii="Times New Roman" w:hAnsi="Times New Roman" w:cs="Times New Roman"/>
          <w:iCs/>
          <w:sz w:val="24"/>
          <w:szCs w:val="24"/>
        </w:rPr>
        <w:t>’s</w:t>
      </w:r>
      <w:r>
        <w:rPr>
          <w:rFonts w:ascii="Times New Roman" w:hAnsi="Times New Roman" w:cs="Times New Roman"/>
          <w:sz w:val="24"/>
          <w:szCs w:val="24"/>
        </w:rPr>
        <w:t xml:space="preserve"> treatise aptly puts it: </w:t>
      </w:r>
    </w:p>
    <w:p w14:paraId="55F9136F" w14:textId="77777777" w:rsidR="00FF7482" w:rsidRDefault="00FF7482" w:rsidP="00FB7728">
      <w:pPr>
        <w:spacing w:after="0"/>
        <w:ind w:firstLine="720"/>
        <w:jc w:val="both"/>
        <w:rPr>
          <w:rFonts w:ascii="Times New Roman" w:hAnsi="Times New Roman" w:cs="Times New Roman"/>
          <w:sz w:val="24"/>
          <w:szCs w:val="24"/>
        </w:rPr>
      </w:pPr>
    </w:p>
    <w:p w14:paraId="3672B7F7" w14:textId="2FAC6A8D" w:rsidR="00FF7482" w:rsidRDefault="00FF7482" w:rsidP="006A3226">
      <w:pPr>
        <w:spacing w:after="0"/>
        <w:ind w:left="720" w:right="720"/>
        <w:jc w:val="both"/>
        <w:rPr>
          <w:rFonts w:ascii="Times New Roman" w:hAnsi="Times New Roman" w:cs="Times New Roman"/>
          <w:sz w:val="24"/>
          <w:szCs w:val="24"/>
        </w:rPr>
      </w:pPr>
      <w:r w:rsidRPr="007E34E1">
        <w:rPr>
          <w:rFonts w:ascii="Times New Roman" w:hAnsi="Times New Roman" w:cs="Times New Roman"/>
          <w:sz w:val="24"/>
          <w:szCs w:val="24"/>
        </w:rPr>
        <w:t>It is, however, the application of these rules to an infinite variety of borderline cases that brings about this amount of litigation and disagreement. It has been said that precedents may be found on both sides of almost every situation in which the question could arise</w:t>
      </w:r>
      <w:r>
        <w:rPr>
          <w:rFonts w:ascii="Times New Roman" w:hAnsi="Times New Roman" w:cs="Times New Roman"/>
          <w:sz w:val="24"/>
          <w:szCs w:val="24"/>
        </w:rPr>
        <w:t xml:space="preserve">. </w:t>
      </w:r>
      <w:r w:rsidRPr="007E34E1">
        <w:rPr>
          <w:rFonts w:ascii="Times New Roman" w:hAnsi="Times New Roman" w:cs="Times New Roman"/>
          <w:sz w:val="24"/>
          <w:szCs w:val="24"/>
        </w:rPr>
        <w:t xml:space="preserve">The explanation of this paradox—agreement on principles and disagreement in actual decisions—seems to lie partly in the relative weight given to the various tests of status and partly in the extent to </w:t>
      </w:r>
      <w:r w:rsidRPr="007E34E1">
        <w:rPr>
          <w:rFonts w:ascii="Times New Roman" w:hAnsi="Times New Roman" w:cs="Times New Roman"/>
          <w:sz w:val="24"/>
          <w:szCs w:val="24"/>
        </w:rPr>
        <w:lastRenderedPageBreak/>
        <w:t>which courts define status in view of the purpose served by the particular legislation rather than as a static concept.</w:t>
      </w:r>
      <w:r w:rsidRPr="00112C9C">
        <w:rPr>
          <w:rFonts w:ascii="Times New Roman" w:hAnsi="Times New Roman" w:cs="Times New Roman"/>
          <w:sz w:val="24"/>
          <w:szCs w:val="24"/>
          <w:vertAlign w:val="superscript"/>
        </w:rPr>
        <w:footnoteReference w:id="131"/>
      </w:r>
    </w:p>
    <w:p w14:paraId="2CE627D5" w14:textId="77777777" w:rsidR="00FF7482" w:rsidRDefault="00FF7482" w:rsidP="006A3226">
      <w:pPr>
        <w:spacing w:after="0"/>
        <w:ind w:left="720" w:right="720"/>
        <w:jc w:val="both"/>
        <w:rPr>
          <w:rFonts w:ascii="Times New Roman" w:hAnsi="Times New Roman" w:cs="Times New Roman"/>
          <w:sz w:val="24"/>
          <w:szCs w:val="24"/>
        </w:rPr>
      </w:pPr>
    </w:p>
    <w:p w14:paraId="0C6662B1" w14:textId="7271E610" w:rsidR="00FF7482" w:rsidRPr="00050E85" w:rsidRDefault="00FF7482" w:rsidP="00A1543A">
      <w:pPr>
        <w:pStyle w:val="Heading2"/>
        <w:rPr>
          <w:rFonts w:ascii="Times New Roman" w:hAnsi="Times New Roman" w:cs="Times New Roman"/>
          <w:b/>
          <w:color w:val="auto"/>
        </w:rPr>
      </w:pPr>
      <w:bookmarkStart w:id="173" w:name="_Toc75269353"/>
      <w:r w:rsidRPr="00050E85">
        <w:rPr>
          <w:rFonts w:ascii="Times New Roman" w:hAnsi="Times New Roman" w:cs="Times New Roman"/>
          <w:b/>
          <w:color w:val="auto"/>
        </w:rPr>
        <w:t xml:space="preserve">National </w:t>
      </w:r>
      <w:r>
        <w:rPr>
          <w:rFonts w:ascii="Times New Roman" w:hAnsi="Times New Roman" w:cs="Times New Roman"/>
          <w:b/>
          <w:color w:val="auto"/>
        </w:rPr>
        <w:t>Flurry</w:t>
      </w:r>
      <w:r w:rsidRPr="00050E85">
        <w:rPr>
          <w:rFonts w:ascii="Times New Roman" w:hAnsi="Times New Roman" w:cs="Times New Roman"/>
          <w:b/>
          <w:color w:val="auto"/>
        </w:rPr>
        <w:t xml:space="preserve"> of </w:t>
      </w:r>
      <w:r>
        <w:rPr>
          <w:rFonts w:ascii="Times New Roman" w:hAnsi="Times New Roman" w:cs="Times New Roman"/>
          <w:b/>
          <w:color w:val="auto"/>
        </w:rPr>
        <w:t>“</w:t>
      </w:r>
      <w:r w:rsidRPr="00050E85">
        <w:rPr>
          <w:rFonts w:ascii="Times New Roman" w:hAnsi="Times New Roman" w:cs="Times New Roman"/>
          <w:b/>
          <w:color w:val="auto"/>
        </w:rPr>
        <w:t>Gig Laws</w:t>
      </w:r>
      <w:r>
        <w:rPr>
          <w:rFonts w:ascii="Times New Roman" w:hAnsi="Times New Roman" w:cs="Times New Roman"/>
          <w:b/>
          <w:color w:val="auto"/>
        </w:rPr>
        <w:t>”</w:t>
      </w:r>
      <w:r w:rsidRPr="00050E85">
        <w:rPr>
          <w:rFonts w:ascii="Times New Roman" w:hAnsi="Times New Roman" w:cs="Times New Roman"/>
          <w:b/>
          <w:color w:val="auto"/>
        </w:rPr>
        <w:t xml:space="preserve"> in 2018</w:t>
      </w:r>
      <w:bookmarkEnd w:id="173"/>
    </w:p>
    <w:p w14:paraId="6395CE0F" w14:textId="77777777" w:rsidR="00FF7482" w:rsidRPr="008B479F" w:rsidRDefault="00FF7482" w:rsidP="00FB7728">
      <w:pPr>
        <w:spacing w:after="0"/>
      </w:pPr>
    </w:p>
    <w:p w14:paraId="2FC00D23" w14:textId="77777777" w:rsidR="00951829"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t xml:space="preserve">It is not surprising to this writer that, given the variability of outcomes under the Restatement Second of Agency </w:t>
      </w:r>
      <w:r w:rsidRPr="002A7EA4">
        <w:rPr>
          <w:rFonts w:ascii="Times New Roman" w:hAnsi="Times New Roman" w:cs="Times New Roman"/>
          <w:i/>
          <w:iCs/>
          <w:sz w:val="24"/>
          <w:szCs w:val="24"/>
        </w:rPr>
        <w:t>employee versus independent</w:t>
      </w:r>
      <w:r>
        <w:rPr>
          <w:rFonts w:ascii="Times New Roman" w:hAnsi="Times New Roman" w:cs="Times New Roman"/>
          <w:sz w:val="24"/>
          <w:szCs w:val="24"/>
        </w:rPr>
        <w:t xml:space="preserve"> </w:t>
      </w:r>
      <w:r w:rsidRPr="002A7EA4">
        <w:rPr>
          <w:rFonts w:ascii="Times New Roman" w:hAnsi="Times New Roman" w:cs="Times New Roman"/>
          <w:i/>
          <w:iCs/>
          <w:sz w:val="24"/>
          <w:szCs w:val="24"/>
        </w:rPr>
        <w:t>contractor test</w:t>
      </w:r>
      <w:r>
        <w:rPr>
          <w:rFonts w:ascii="Times New Roman" w:hAnsi="Times New Roman" w:cs="Times New Roman"/>
          <w:sz w:val="24"/>
          <w:szCs w:val="24"/>
        </w:rPr>
        <w:t xml:space="preserve"> discussed in the previous subsection, some states would want to change their laws to better predict outcomes. The problem is that employee-status outcomes will likely always be variable because workplaces (and the nature of work) are variable. The only way to achieve consistent outcomes may be to put a thumb on the scale in one direction or another, and that is exactly what some states appear to be doing. Along those lines, </w:t>
      </w:r>
      <w:r w:rsidRPr="002A7EA4">
        <w:rPr>
          <w:rFonts w:ascii="Times New Roman" w:hAnsi="Times New Roman" w:cs="Times New Roman"/>
          <w:i/>
          <w:iCs/>
          <w:sz w:val="24"/>
          <w:szCs w:val="24"/>
        </w:rPr>
        <w:t xml:space="preserve">this </w:t>
      </w:r>
      <w:r>
        <w:rPr>
          <w:rFonts w:ascii="Times New Roman" w:hAnsi="Times New Roman" w:cs="Times New Roman"/>
          <w:sz w:val="24"/>
          <w:szCs w:val="24"/>
        </w:rPr>
        <w:t xml:space="preserve">section of the Treatise will discuss an employee-independent contractor test seemed designed to make </w:t>
      </w:r>
      <w:r w:rsidRPr="002A7EA4">
        <w:rPr>
          <w:rFonts w:ascii="Times New Roman" w:hAnsi="Times New Roman" w:cs="Times New Roman"/>
          <w:i/>
          <w:iCs/>
          <w:sz w:val="24"/>
          <w:szCs w:val="24"/>
        </w:rPr>
        <w:t>more</w:t>
      </w:r>
      <w:r>
        <w:rPr>
          <w:rFonts w:ascii="Times New Roman" w:hAnsi="Times New Roman" w:cs="Times New Roman"/>
          <w:sz w:val="24"/>
          <w:szCs w:val="24"/>
        </w:rPr>
        <w:t xml:space="preserve"> likely that individuals fall on the </w:t>
      </w:r>
      <w:r w:rsidRPr="002A5B66">
        <w:rPr>
          <w:rFonts w:ascii="Times New Roman" w:hAnsi="Times New Roman" w:cs="Times New Roman"/>
          <w:i/>
          <w:iCs/>
          <w:sz w:val="24"/>
          <w:szCs w:val="24"/>
        </w:rPr>
        <w:t>independent contractor</w:t>
      </w:r>
      <w:r>
        <w:rPr>
          <w:rFonts w:ascii="Times New Roman" w:hAnsi="Times New Roman" w:cs="Times New Roman"/>
          <w:sz w:val="24"/>
          <w:szCs w:val="24"/>
        </w:rPr>
        <w:t xml:space="preserve"> side of the ledger. The </w:t>
      </w:r>
      <w:r w:rsidRPr="002A7EA4">
        <w:rPr>
          <w:rFonts w:ascii="Times New Roman" w:hAnsi="Times New Roman" w:cs="Times New Roman"/>
          <w:i/>
          <w:iCs/>
          <w:sz w:val="24"/>
          <w:szCs w:val="24"/>
        </w:rPr>
        <w:t>next</w:t>
      </w:r>
      <w:r>
        <w:rPr>
          <w:rFonts w:ascii="Times New Roman" w:hAnsi="Times New Roman" w:cs="Times New Roman"/>
          <w:sz w:val="24"/>
          <w:szCs w:val="24"/>
        </w:rPr>
        <w:t xml:space="preserve"> section of the Treatise, on the other hand, will discuss an employee-independent contractor test designed to make more likely that individuals fall on the </w:t>
      </w:r>
      <w:r w:rsidRPr="002A7EA4">
        <w:rPr>
          <w:rFonts w:ascii="Times New Roman" w:hAnsi="Times New Roman" w:cs="Times New Roman"/>
          <w:i/>
          <w:iCs/>
          <w:sz w:val="24"/>
          <w:szCs w:val="24"/>
        </w:rPr>
        <w:t>employee</w:t>
      </w:r>
      <w:r>
        <w:rPr>
          <w:rFonts w:ascii="Times New Roman" w:hAnsi="Times New Roman" w:cs="Times New Roman"/>
          <w:sz w:val="24"/>
          <w:szCs w:val="24"/>
        </w:rPr>
        <w:t xml:space="preserve"> side of the ledger. While the two approaches seem equally plausible as a state law policy choice, there is an important difference. As mentioned earlier in this Treatise, workers’ compensation is the </w:t>
      </w:r>
      <w:r w:rsidRPr="002A7EA4">
        <w:rPr>
          <w:rFonts w:ascii="Times New Roman" w:hAnsi="Times New Roman" w:cs="Times New Roman"/>
          <w:i/>
          <w:iCs/>
          <w:sz w:val="24"/>
          <w:szCs w:val="24"/>
        </w:rPr>
        <w:t>quid pro quo</w:t>
      </w:r>
      <w:r>
        <w:rPr>
          <w:rFonts w:ascii="Times New Roman" w:hAnsi="Times New Roman" w:cs="Times New Roman"/>
          <w:sz w:val="24"/>
          <w:szCs w:val="24"/>
        </w:rPr>
        <w:t xml:space="preserve"> for a tort action. </w:t>
      </w:r>
      <w:r w:rsidRPr="002A7EA4">
        <w:rPr>
          <w:rFonts w:ascii="Times New Roman" w:hAnsi="Times New Roman" w:cs="Times New Roman"/>
          <w:i/>
          <w:iCs/>
          <w:sz w:val="24"/>
          <w:szCs w:val="24"/>
        </w:rPr>
        <w:t>Broadly</w:t>
      </w:r>
      <w:r>
        <w:rPr>
          <w:rFonts w:ascii="Times New Roman" w:hAnsi="Times New Roman" w:cs="Times New Roman"/>
          <w:sz w:val="24"/>
          <w:szCs w:val="24"/>
        </w:rPr>
        <w:t xml:space="preserve"> exclusionary policies call the workers’ compensation bargain into question. At some point, excluded workers may be provoked to file tort suits, and states could be forced into deciding thorny constitutional dilemmas, not to mention having to grapple with tricky questions that can arise when a workers’ compensation statute </w:t>
      </w:r>
      <w:r w:rsidRPr="00FA6422">
        <w:rPr>
          <w:rFonts w:ascii="Times New Roman" w:hAnsi="Times New Roman" w:cs="Times New Roman"/>
          <w:i/>
          <w:iCs/>
          <w:sz w:val="24"/>
          <w:szCs w:val="24"/>
        </w:rPr>
        <w:t xml:space="preserve">excludes workers who would be considered employees under state </w:t>
      </w:r>
      <w:r w:rsidRPr="002A5B66">
        <w:rPr>
          <w:rFonts w:ascii="Times New Roman" w:hAnsi="Times New Roman" w:cs="Times New Roman"/>
          <w:b/>
          <w:bCs/>
          <w:i/>
          <w:iCs/>
          <w:sz w:val="24"/>
          <w:szCs w:val="24"/>
          <w:u w:val="single"/>
        </w:rPr>
        <w:t>tort</w:t>
      </w:r>
      <w:r w:rsidRPr="00FA6422">
        <w:rPr>
          <w:rFonts w:ascii="Times New Roman" w:hAnsi="Times New Roman" w:cs="Times New Roman"/>
          <w:i/>
          <w:iCs/>
          <w:sz w:val="24"/>
          <w:szCs w:val="24"/>
        </w:rPr>
        <w:t xml:space="preserve"> (vicarious liability) law</w:t>
      </w:r>
      <w:r>
        <w:rPr>
          <w:rFonts w:ascii="Times New Roman" w:hAnsi="Times New Roman" w:cs="Times New Roman"/>
          <w:sz w:val="24"/>
          <w:szCs w:val="24"/>
        </w:rPr>
        <w:t xml:space="preserve">. </w:t>
      </w:r>
    </w:p>
    <w:p w14:paraId="07796E90" w14:textId="77777777" w:rsidR="00951829" w:rsidRDefault="00951829" w:rsidP="00951829">
      <w:pPr>
        <w:spacing w:after="0"/>
        <w:jc w:val="both"/>
        <w:rPr>
          <w:rFonts w:ascii="Times New Roman" w:hAnsi="Times New Roman" w:cs="Times New Roman"/>
          <w:sz w:val="24"/>
          <w:szCs w:val="24"/>
        </w:rPr>
      </w:pPr>
    </w:p>
    <w:p w14:paraId="22DFE704" w14:textId="58531C81" w:rsidR="00FF7482" w:rsidRDefault="00FF7482"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In the spring of 2018, several states, primarily in the South but a few in the Midwest, enacted what became popularly known as “gig” laws. The underlying premise of such laws was that the nature of the economy was changing: work was becoming more ephemeral, more technological, more intellectual, and hence necessarily more “worker”-guided. Several commenters, including this writer, argued that, if employers were </w:t>
      </w:r>
      <w:r w:rsidRPr="002A5B66">
        <w:rPr>
          <w:rFonts w:ascii="Times New Roman" w:hAnsi="Times New Roman" w:cs="Times New Roman"/>
          <w:i/>
          <w:iCs/>
          <w:sz w:val="24"/>
          <w:szCs w:val="24"/>
        </w:rPr>
        <w:t>in fact</w:t>
      </w:r>
      <w:r>
        <w:rPr>
          <w:rFonts w:ascii="Times New Roman" w:hAnsi="Times New Roman" w:cs="Times New Roman"/>
          <w:sz w:val="24"/>
          <w:szCs w:val="24"/>
        </w:rPr>
        <w:t xml:space="preserve"> not in control of work then existing law would </w:t>
      </w:r>
      <w:r w:rsidRPr="002A5B66">
        <w:rPr>
          <w:rFonts w:ascii="Times New Roman" w:hAnsi="Times New Roman" w:cs="Times New Roman"/>
          <w:i/>
          <w:iCs/>
          <w:sz w:val="24"/>
          <w:szCs w:val="24"/>
        </w:rPr>
        <w:t xml:space="preserve">already </w:t>
      </w:r>
      <w:r>
        <w:rPr>
          <w:rFonts w:ascii="Times New Roman" w:hAnsi="Times New Roman" w:cs="Times New Roman"/>
          <w:sz w:val="24"/>
          <w:szCs w:val="24"/>
        </w:rPr>
        <w:t xml:space="preserve">classify their workers as independent contractors. Ironically, it was a handyman company, Handy, Inc, using workers performing very non-technological, physical labor that was purportedly the moving agent in enactment of these laws. This was ironic because conceptually the defense of gig laws hypothesized high-tech computer programmers, or the like. A prototypical and representative gig law of the 2018 wave, upon which this Treatise will dwell for a moment, was the one enacted in Tennessee. The law was </w:t>
      </w:r>
      <w:r w:rsidRPr="009637ED">
        <w:rPr>
          <w:rFonts w:ascii="Times New Roman" w:hAnsi="Times New Roman" w:cs="Times New Roman"/>
          <w:sz w:val="24"/>
          <w:szCs w:val="24"/>
        </w:rPr>
        <w:t>styled a</w:t>
      </w:r>
      <w:r>
        <w:rPr>
          <w:rFonts w:ascii="Times New Roman" w:hAnsi="Times New Roman" w:cs="Times New Roman"/>
          <w:sz w:val="24"/>
          <w:szCs w:val="24"/>
        </w:rPr>
        <w:t xml:space="preserve">s </w:t>
      </w:r>
      <w:r w:rsidRPr="009637ED">
        <w:rPr>
          <w:rFonts w:ascii="Times New Roman" w:hAnsi="Times New Roman" w:cs="Times New Roman"/>
          <w:sz w:val="24"/>
          <w:szCs w:val="24"/>
        </w:rPr>
        <w:t>applicable only to retired handymen, and similar part-time workers</w:t>
      </w:r>
      <w:r>
        <w:rPr>
          <w:rFonts w:ascii="Times New Roman" w:hAnsi="Times New Roman" w:cs="Times New Roman"/>
          <w:sz w:val="24"/>
          <w:szCs w:val="24"/>
        </w:rPr>
        <w:t>. But</w:t>
      </w:r>
      <w:r w:rsidRPr="009637ED">
        <w:rPr>
          <w:rFonts w:ascii="Times New Roman" w:hAnsi="Times New Roman" w:cs="Times New Roman"/>
          <w:sz w:val="24"/>
          <w:szCs w:val="24"/>
        </w:rPr>
        <w:t xml:space="preserve"> the text </w:t>
      </w:r>
      <w:r>
        <w:rPr>
          <w:rFonts w:ascii="Times New Roman" w:hAnsi="Times New Roman" w:cs="Times New Roman"/>
          <w:sz w:val="24"/>
          <w:szCs w:val="24"/>
        </w:rPr>
        <w:t>tells a different story</w:t>
      </w:r>
      <w:r w:rsidRPr="009637ED">
        <w:rPr>
          <w:rFonts w:ascii="Times New Roman" w:hAnsi="Times New Roman" w:cs="Times New Roman"/>
          <w:sz w:val="24"/>
          <w:szCs w:val="24"/>
        </w:rPr>
        <w:t>.</w:t>
      </w:r>
    </w:p>
    <w:p w14:paraId="2343453B" w14:textId="77777777" w:rsidR="00951829" w:rsidRDefault="00951829" w:rsidP="00951829">
      <w:pPr>
        <w:spacing w:after="0"/>
        <w:jc w:val="both"/>
        <w:rPr>
          <w:rFonts w:ascii="Times New Roman" w:hAnsi="Times New Roman" w:cs="Times New Roman"/>
          <w:sz w:val="24"/>
          <w:szCs w:val="24"/>
        </w:rPr>
      </w:pPr>
    </w:p>
    <w:p w14:paraId="33604FB5" w14:textId="562F94E3" w:rsidR="00FF7482" w:rsidRDefault="00FF7482" w:rsidP="009518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Under the law, </w:t>
      </w:r>
      <w:r w:rsidRPr="009637ED">
        <w:rPr>
          <w:rFonts w:ascii="Times New Roman" w:hAnsi="Times New Roman" w:cs="Times New Roman"/>
          <w:sz w:val="24"/>
          <w:szCs w:val="24"/>
        </w:rPr>
        <w:t xml:space="preserve">a “marketplace contractor” working for a “third party” at the direction of a “marketplace platform” is an independent contractor </w:t>
      </w:r>
      <w:r w:rsidRPr="002A5B66">
        <w:rPr>
          <w:rFonts w:ascii="Times New Roman" w:hAnsi="Times New Roman" w:cs="Times New Roman"/>
          <w:b/>
          <w:bCs/>
          <w:sz w:val="24"/>
          <w:szCs w:val="24"/>
        </w:rPr>
        <w:t>as a matter of law</w:t>
      </w:r>
      <w:r w:rsidRPr="009637ED">
        <w:rPr>
          <w:rFonts w:ascii="Times New Roman" w:hAnsi="Times New Roman" w:cs="Times New Roman"/>
          <w:sz w:val="24"/>
          <w:szCs w:val="24"/>
        </w:rPr>
        <w:t xml:space="preserve"> if (1) the platform and contractor agree that the contractor is an independent contractor; (2) the platform does not unilaterally prescribe specific hours of work (if the platform posts the contractor’s hours of work—at an unspecified location—that is not prescribing hours of work); (3) the platform does not prohibit the contractor from using other platforms; (4) the platform does not restrict the contractor from engaging in any other occupation or business; (5) the platform does not require contractors to use specific supplies or equipment; and (6) the platform does not supply on site supervision to the contractor.</w:t>
      </w:r>
    </w:p>
    <w:p w14:paraId="7A6FA034" w14:textId="77777777" w:rsidR="00A1543A" w:rsidRDefault="00A1543A" w:rsidP="00951829">
      <w:pPr>
        <w:spacing w:after="0"/>
        <w:jc w:val="both"/>
        <w:rPr>
          <w:rFonts w:ascii="Times New Roman" w:hAnsi="Times New Roman" w:cs="Times New Roman"/>
          <w:sz w:val="24"/>
          <w:szCs w:val="24"/>
        </w:rPr>
      </w:pPr>
    </w:p>
    <w:p w14:paraId="06FB12A5" w14:textId="2761DFA1" w:rsidR="00FF7482" w:rsidRDefault="00FF7482"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The law defines a “marketplace contractor” as any </w:t>
      </w:r>
      <w:r w:rsidRPr="00935B3A">
        <w:rPr>
          <w:rFonts w:ascii="Times New Roman" w:hAnsi="Times New Roman" w:cs="Times New Roman"/>
          <w:sz w:val="24"/>
          <w:szCs w:val="24"/>
        </w:rPr>
        <w:t>individual, corporation, partnership, sole proprietorship, or other business entity that:</w:t>
      </w:r>
    </w:p>
    <w:p w14:paraId="70CCFD53" w14:textId="77777777" w:rsidR="00A1543A" w:rsidRDefault="00A1543A" w:rsidP="00A1543A">
      <w:pPr>
        <w:spacing w:after="0"/>
        <w:jc w:val="both"/>
        <w:rPr>
          <w:rFonts w:ascii="Times New Roman" w:hAnsi="Times New Roman" w:cs="Times New Roman"/>
          <w:sz w:val="24"/>
          <w:szCs w:val="24"/>
        </w:rPr>
      </w:pPr>
    </w:p>
    <w:p w14:paraId="031A14C2" w14:textId="61B611F8" w:rsidR="00336EDF" w:rsidRPr="00935B3A" w:rsidRDefault="00FF7482" w:rsidP="00336EDF">
      <w:pPr>
        <w:ind w:left="720" w:right="720"/>
        <w:jc w:val="both"/>
        <w:rPr>
          <w:rFonts w:ascii="Times New Roman" w:hAnsi="Times New Roman" w:cs="Times New Roman"/>
          <w:sz w:val="24"/>
          <w:szCs w:val="24"/>
        </w:rPr>
      </w:pPr>
      <w:r w:rsidRPr="00935B3A">
        <w:rPr>
          <w:rFonts w:ascii="Times New Roman" w:hAnsi="Times New Roman" w:cs="Times New Roman"/>
          <w:sz w:val="24"/>
          <w:szCs w:val="24"/>
        </w:rPr>
        <w:t>(A) Enters into an agreement with a marketplace platform to use the platform's online-enabled application, software, website, or system to be given an assignment, or otherwise receive connections, to third-party individuals or entities seeking its services in this state; and</w:t>
      </w:r>
    </w:p>
    <w:p w14:paraId="554D794C" w14:textId="4B421720" w:rsidR="00FF7482" w:rsidRDefault="00FF7482" w:rsidP="00336EDF">
      <w:pPr>
        <w:spacing w:after="0"/>
        <w:ind w:left="720" w:right="720"/>
        <w:jc w:val="both"/>
        <w:rPr>
          <w:rFonts w:ascii="Times New Roman" w:hAnsi="Times New Roman" w:cs="Times New Roman"/>
          <w:sz w:val="24"/>
          <w:szCs w:val="24"/>
        </w:rPr>
      </w:pPr>
      <w:r w:rsidRPr="00935B3A">
        <w:rPr>
          <w:rFonts w:ascii="Times New Roman" w:hAnsi="Times New Roman" w:cs="Times New Roman"/>
          <w:sz w:val="24"/>
          <w:szCs w:val="24"/>
        </w:rPr>
        <w:t>(B) In return for compensation from the third-party or marketplace platform, offers or provides services to third-party individuals or entities upon being given an assignment or connection through the marketplace platform's online-enabled application, software, website, or system</w:t>
      </w:r>
      <w:r>
        <w:rPr>
          <w:rFonts w:ascii="Times New Roman" w:hAnsi="Times New Roman" w:cs="Times New Roman"/>
          <w:sz w:val="24"/>
          <w:szCs w:val="24"/>
        </w:rPr>
        <w:t>.</w:t>
      </w:r>
    </w:p>
    <w:p w14:paraId="417E081B" w14:textId="77777777" w:rsidR="00336EDF" w:rsidRDefault="00336EDF" w:rsidP="00336EDF">
      <w:pPr>
        <w:spacing w:after="0"/>
        <w:ind w:left="720" w:right="720"/>
        <w:jc w:val="both"/>
        <w:rPr>
          <w:rFonts w:ascii="Times New Roman" w:hAnsi="Times New Roman" w:cs="Times New Roman"/>
          <w:sz w:val="24"/>
          <w:szCs w:val="24"/>
        </w:rPr>
      </w:pPr>
    </w:p>
    <w:p w14:paraId="1A6176F6" w14:textId="58CE6BCE" w:rsidR="00FF7482" w:rsidRDefault="00FF7482" w:rsidP="00336EDF">
      <w:pPr>
        <w:spacing w:after="0"/>
        <w:jc w:val="both"/>
        <w:rPr>
          <w:rFonts w:ascii="Times New Roman" w:hAnsi="Times New Roman" w:cs="Times New Roman"/>
          <w:sz w:val="24"/>
          <w:szCs w:val="24"/>
        </w:rPr>
      </w:pPr>
      <w:r>
        <w:rPr>
          <w:rFonts w:ascii="Times New Roman" w:hAnsi="Times New Roman" w:cs="Times New Roman"/>
          <w:sz w:val="24"/>
          <w:szCs w:val="24"/>
        </w:rPr>
        <w:t>The law defines a “marketplace platform” as “</w:t>
      </w:r>
      <w:r w:rsidRPr="00935B3A">
        <w:rPr>
          <w:rFonts w:ascii="Times New Roman" w:hAnsi="Times New Roman" w:cs="Times New Roman"/>
          <w:sz w:val="24"/>
          <w:szCs w:val="24"/>
        </w:rPr>
        <w:t>a corporation, partnership, sole proprietorship, or other business entity operating in this state that offers an online-enabled application, software, website, or system that enables the provision of services by marketplace contractors to third-party individuals or entities seeking the services.</w:t>
      </w:r>
      <w:r>
        <w:rPr>
          <w:rFonts w:ascii="Times New Roman" w:hAnsi="Times New Roman" w:cs="Times New Roman"/>
          <w:sz w:val="24"/>
          <w:szCs w:val="24"/>
        </w:rPr>
        <w:t>”</w:t>
      </w:r>
    </w:p>
    <w:p w14:paraId="020AAD09" w14:textId="77777777" w:rsidR="00A1543A" w:rsidRDefault="00A1543A" w:rsidP="00ED25A2">
      <w:pPr>
        <w:spacing w:after="0"/>
        <w:jc w:val="both"/>
        <w:rPr>
          <w:rFonts w:ascii="Times New Roman" w:hAnsi="Times New Roman" w:cs="Times New Roman"/>
          <w:sz w:val="24"/>
          <w:szCs w:val="24"/>
        </w:rPr>
      </w:pPr>
    </w:p>
    <w:p w14:paraId="2F8E4CF3" w14:textId="11535D4E" w:rsidR="00FF7482" w:rsidRDefault="00FF7482" w:rsidP="00ED25A2">
      <w:pPr>
        <w:spacing w:after="0"/>
        <w:jc w:val="both"/>
        <w:rPr>
          <w:rFonts w:ascii="Times New Roman" w:hAnsi="Times New Roman" w:cs="Times New Roman"/>
          <w:sz w:val="24"/>
          <w:szCs w:val="24"/>
        </w:rPr>
      </w:pPr>
      <w:bookmarkStart w:id="174" w:name="_Hlk24631398"/>
      <w:r>
        <w:rPr>
          <w:rFonts w:ascii="Times New Roman" w:hAnsi="Times New Roman" w:cs="Times New Roman"/>
          <w:sz w:val="24"/>
          <w:szCs w:val="24"/>
        </w:rPr>
        <w:t>In such a scheme it is easy to</w:t>
      </w:r>
      <w:r w:rsidRPr="00935B3A">
        <w:rPr>
          <w:rFonts w:ascii="Times New Roman" w:hAnsi="Times New Roman" w:cs="Times New Roman"/>
          <w:sz w:val="24"/>
          <w:szCs w:val="24"/>
        </w:rPr>
        <w:t xml:space="preserve"> imagine a situation in which a contractor is subject to discipline if he or she does not comply with a work schedule “voluntarily” posted; </w:t>
      </w:r>
      <w:r>
        <w:rPr>
          <w:rFonts w:ascii="Times New Roman" w:hAnsi="Times New Roman" w:cs="Times New Roman"/>
          <w:sz w:val="24"/>
          <w:szCs w:val="24"/>
        </w:rPr>
        <w:t xml:space="preserve">to </w:t>
      </w:r>
      <w:r w:rsidRPr="00935B3A">
        <w:rPr>
          <w:rFonts w:ascii="Times New Roman" w:hAnsi="Times New Roman" w:cs="Times New Roman"/>
          <w:sz w:val="24"/>
          <w:szCs w:val="24"/>
        </w:rPr>
        <w:t>imagine a contractor who does not in fact use other “platforms</w:t>
      </w:r>
      <w:r>
        <w:rPr>
          <w:rFonts w:ascii="Times New Roman" w:hAnsi="Times New Roman" w:cs="Times New Roman"/>
          <w:sz w:val="24"/>
          <w:szCs w:val="24"/>
        </w:rPr>
        <w:t>.</w:t>
      </w:r>
      <w:r w:rsidRPr="00935B3A">
        <w:rPr>
          <w:rFonts w:ascii="Times New Roman" w:hAnsi="Times New Roman" w:cs="Times New Roman"/>
          <w:sz w:val="24"/>
          <w:szCs w:val="24"/>
        </w:rPr>
        <w:t>”</w:t>
      </w:r>
      <w:r>
        <w:rPr>
          <w:rFonts w:ascii="Times New Roman" w:hAnsi="Times New Roman" w:cs="Times New Roman"/>
          <w:sz w:val="24"/>
          <w:szCs w:val="24"/>
        </w:rPr>
        <w:t xml:space="preserve"> </w:t>
      </w:r>
      <w:bookmarkEnd w:id="174"/>
      <w:r>
        <w:rPr>
          <w:rFonts w:ascii="Times New Roman" w:hAnsi="Times New Roman" w:cs="Times New Roman"/>
          <w:sz w:val="24"/>
          <w:szCs w:val="24"/>
        </w:rPr>
        <w:t>It is also easy to foresee</w:t>
      </w:r>
      <w:r w:rsidRPr="00935B3A">
        <w:rPr>
          <w:rFonts w:ascii="Times New Roman" w:hAnsi="Times New Roman" w:cs="Times New Roman"/>
          <w:sz w:val="24"/>
          <w:szCs w:val="24"/>
        </w:rPr>
        <w:t xml:space="preserve"> a contractor who does not in fact engage in any other occupation or business; </w:t>
      </w:r>
      <w:r>
        <w:rPr>
          <w:rFonts w:ascii="Times New Roman" w:hAnsi="Times New Roman" w:cs="Times New Roman"/>
          <w:sz w:val="24"/>
          <w:szCs w:val="24"/>
        </w:rPr>
        <w:t>or</w:t>
      </w:r>
      <w:r w:rsidRPr="00935B3A">
        <w:rPr>
          <w:rFonts w:ascii="Times New Roman" w:hAnsi="Times New Roman" w:cs="Times New Roman"/>
          <w:sz w:val="24"/>
          <w:szCs w:val="24"/>
        </w:rPr>
        <w:t xml:space="preserve"> a contractor who in fact uses platform-provided supplies or equipment</w:t>
      </w:r>
      <w:r>
        <w:rPr>
          <w:rFonts w:ascii="Times New Roman" w:hAnsi="Times New Roman" w:cs="Times New Roman"/>
          <w:sz w:val="24"/>
          <w:szCs w:val="24"/>
        </w:rPr>
        <w:t xml:space="preserve">. Even more tellingly, </w:t>
      </w:r>
      <w:r w:rsidRPr="00935B3A">
        <w:rPr>
          <w:rFonts w:ascii="Times New Roman" w:hAnsi="Times New Roman" w:cs="Times New Roman"/>
          <w:sz w:val="24"/>
          <w:szCs w:val="24"/>
        </w:rPr>
        <w:t xml:space="preserve">a platform </w:t>
      </w:r>
      <w:r>
        <w:rPr>
          <w:rFonts w:ascii="Times New Roman" w:hAnsi="Times New Roman" w:cs="Times New Roman"/>
          <w:sz w:val="24"/>
          <w:szCs w:val="24"/>
        </w:rPr>
        <w:t>may</w:t>
      </w:r>
      <w:r w:rsidRPr="00935B3A">
        <w:rPr>
          <w:rFonts w:ascii="Times New Roman" w:hAnsi="Times New Roman" w:cs="Times New Roman"/>
          <w:sz w:val="24"/>
          <w:szCs w:val="24"/>
        </w:rPr>
        <w:t xml:space="preserve"> in fact suppl</w:t>
      </w:r>
      <w:r>
        <w:rPr>
          <w:rFonts w:ascii="Times New Roman" w:hAnsi="Times New Roman" w:cs="Times New Roman"/>
          <w:sz w:val="24"/>
          <w:szCs w:val="24"/>
        </w:rPr>
        <w:t>y</w:t>
      </w:r>
      <w:r w:rsidRPr="00935B3A">
        <w:rPr>
          <w:rFonts w:ascii="Times New Roman" w:hAnsi="Times New Roman" w:cs="Times New Roman"/>
          <w:sz w:val="24"/>
          <w:szCs w:val="24"/>
        </w:rPr>
        <w:t xml:space="preserve"> </w:t>
      </w:r>
      <w:r w:rsidRPr="00935B3A">
        <w:rPr>
          <w:rFonts w:ascii="Times New Roman" w:hAnsi="Times New Roman" w:cs="Times New Roman"/>
          <w:i/>
          <w:sz w:val="24"/>
          <w:szCs w:val="24"/>
        </w:rPr>
        <w:t>offsite</w:t>
      </w:r>
      <w:r w:rsidRPr="00935B3A">
        <w:rPr>
          <w:rFonts w:ascii="Times New Roman" w:hAnsi="Times New Roman" w:cs="Times New Roman"/>
          <w:sz w:val="24"/>
          <w:szCs w:val="24"/>
        </w:rPr>
        <w:t xml:space="preserve"> supervision</w:t>
      </w:r>
      <w:r>
        <w:rPr>
          <w:rFonts w:ascii="Times New Roman" w:hAnsi="Times New Roman" w:cs="Times New Roman"/>
          <w:sz w:val="24"/>
          <w:szCs w:val="24"/>
        </w:rPr>
        <w:t xml:space="preserve"> (an obvious indicator of control)</w:t>
      </w:r>
      <w:r w:rsidRPr="00935B3A">
        <w:rPr>
          <w:rFonts w:ascii="Times New Roman" w:hAnsi="Times New Roman" w:cs="Times New Roman"/>
          <w:sz w:val="24"/>
          <w:szCs w:val="24"/>
        </w:rPr>
        <w:t xml:space="preserve"> to the contractor. I</w:t>
      </w:r>
      <w:r>
        <w:rPr>
          <w:rFonts w:ascii="Times New Roman" w:hAnsi="Times New Roman" w:cs="Times New Roman"/>
          <w:sz w:val="24"/>
          <w:szCs w:val="24"/>
        </w:rPr>
        <w:t xml:space="preserve">n short, </w:t>
      </w:r>
      <w:r w:rsidRPr="009B4A59">
        <w:rPr>
          <w:rFonts w:ascii="Times New Roman" w:hAnsi="Times New Roman" w:cs="Times New Roman"/>
          <w:b/>
          <w:bCs/>
          <w:sz w:val="24"/>
          <w:szCs w:val="24"/>
        </w:rPr>
        <w:t>many individuals who would traditionally be defined as employees under a restatement-type test will likely be classified as independent contractors under the “gig” test</w:t>
      </w:r>
      <w:r>
        <w:rPr>
          <w:rFonts w:ascii="Times New Roman" w:hAnsi="Times New Roman" w:cs="Times New Roman"/>
          <w:sz w:val="24"/>
          <w:szCs w:val="24"/>
        </w:rPr>
        <w:t xml:space="preserve">, which appears to be broadly applicable to employment law cases, including workers’ compensation cases. In fact, it could be argued that the law erects a </w:t>
      </w:r>
      <w:r w:rsidRPr="009B4A59">
        <w:rPr>
          <w:rFonts w:ascii="Times New Roman" w:hAnsi="Times New Roman" w:cs="Times New Roman"/>
          <w:b/>
          <w:bCs/>
          <w:i/>
          <w:iCs/>
          <w:sz w:val="24"/>
          <w:szCs w:val="24"/>
        </w:rPr>
        <w:t xml:space="preserve">presumption </w:t>
      </w:r>
      <w:r>
        <w:rPr>
          <w:rFonts w:ascii="Times New Roman" w:hAnsi="Times New Roman" w:cs="Times New Roman"/>
          <w:sz w:val="24"/>
          <w:szCs w:val="24"/>
        </w:rPr>
        <w:t xml:space="preserve">of independent contractor status for all workers dispatched to a worksite by email. As with all </w:t>
      </w:r>
      <w:r>
        <w:rPr>
          <w:rFonts w:ascii="Times New Roman" w:hAnsi="Times New Roman" w:cs="Times New Roman"/>
          <w:sz w:val="24"/>
          <w:szCs w:val="24"/>
        </w:rPr>
        <w:lastRenderedPageBreak/>
        <w:t>alternative approaches to determining employee status, gig laws will have to be scrutinized to verify that they apply, in a given state, specifically to workers’ compensation cases.</w:t>
      </w:r>
    </w:p>
    <w:p w14:paraId="462F2E76" w14:textId="1B163664" w:rsidR="00DB12D6" w:rsidRDefault="00DB12D6" w:rsidP="00ED25A2">
      <w:pPr>
        <w:spacing w:after="0"/>
        <w:jc w:val="both"/>
        <w:rPr>
          <w:rFonts w:ascii="Times New Roman" w:hAnsi="Times New Roman" w:cs="Times New Roman"/>
          <w:sz w:val="24"/>
          <w:szCs w:val="24"/>
        </w:rPr>
      </w:pPr>
    </w:p>
    <w:p w14:paraId="3E3165C8" w14:textId="31D76CF9" w:rsidR="00DB12D6" w:rsidRDefault="00DB12D6" w:rsidP="00ED25A2">
      <w:pPr>
        <w:spacing w:after="0"/>
        <w:jc w:val="both"/>
        <w:rPr>
          <w:rFonts w:ascii="Times New Roman" w:hAnsi="Times New Roman" w:cs="Times New Roman"/>
          <w:sz w:val="24"/>
          <w:szCs w:val="24"/>
        </w:rPr>
      </w:pPr>
      <w:r>
        <w:rPr>
          <w:rFonts w:ascii="Times New Roman" w:hAnsi="Times New Roman" w:cs="Times New Roman"/>
          <w:sz w:val="24"/>
          <w:szCs w:val="24"/>
        </w:rPr>
        <w:t>Given the intervening pandemic</w:t>
      </w:r>
      <w:r w:rsidR="00C62828">
        <w:rPr>
          <w:rFonts w:ascii="Times New Roman" w:hAnsi="Times New Roman" w:cs="Times New Roman"/>
          <w:sz w:val="24"/>
          <w:szCs w:val="24"/>
        </w:rPr>
        <w:t>,</w:t>
      </w:r>
      <w:r w:rsidR="007D3671">
        <w:rPr>
          <w:rFonts w:ascii="Times New Roman" w:hAnsi="Times New Roman" w:cs="Times New Roman"/>
          <w:sz w:val="24"/>
          <w:szCs w:val="24"/>
        </w:rPr>
        <w:t xml:space="preserve"> it is unsurprising</w:t>
      </w:r>
      <w:r>
        <w:rPr>
          <w:rFonts w:ascii="Times New Roman" w:hAnsi="Times New Roman" w:cs="Times New Roman"/>
          <w:sz w:val="24"/>
          <w:szCs w:val="24"/>
        </w:rPr>
        <w:t xml:space="preserve"> little Gig-specific </w:t>
      </w:r>
      <w:r w:rsidR="007D3671">
        <w:rPr>
          <w:rFonts w:ascii="Times New Roman" w:hAnsi="Times New Roman" w:cs="Times New Roman"/>
          <w:sz w:val="24"/>
          <w:szCs w:val="24"/>
        </w:rPr>
        <w:t xml:space="preserve">state </w:t>
      </w:r>
      <w:r>
        <w:rPr>
          <w:rFonts w:ascii="Times New Roman" w:hAnsi="Times New Roman" w:cs="Times New Roman"/>
          <w:sz w:val="24"/>
          <w:szCs w:val="24"/>
        </w:rPr>
        <w:t>legislative activity transpired in 2020</w:t>
      </w:r>
      <w:r w:rsidR="00C62828">
        <w:rPr>
          <w:rFonts w:ascii="Times New Roman" w:hAnsi="Times New Roman" w:cs="Times New Roman"/>
          <w:sz w:val="24"/>
          <w:szCs w:val="24"/>
        </w:rPr>
        <w:t xml:space="preserve"> (but see the entry on California in the next section)</w:t>
      </w:r>
      <w:r>
        <w:rPr>
          <w:rFonts w:ascii="Times New Roman" w:hAnsi="Times New Roman" w:cs="Times New Roman"/>
          <w:sz w:val="24"/>
          <w:szCs w:val="24"/>
        </w:rPr>
        <w:t>. The author suspects that</w:t>
      </w:r>
      <w:r w:rsidR="009F528A">
        <w:rPr>
          <w:rFonts w:ascii="Times New Roman" w:hAnsi="Times New Roman" w:cs="Times New Roman"/>
          <w:sz w:val="24"/>
          <w:szCs w:val="24"/>
        </w:rPr>
        <w:t>,</w:t>
      </w:r>
      <w:r>
        <w:rPr>
          <w:rFonts w:ascii="Times New Roman" w:hAnsi="Times New Roman" w:cs="Times New Roman"/>
          <w:sz w:val="24"/>
          <w:szCs w:val="24"/>
        </w:rPr>
        <w:t xml:space="preserve"> i</w:t>
      </w:r>
      <w:r w:rsidR="009F528A">
        <w:rPr>
          <w:rFonts w:ascii="Times New Roman" w:hAnsi="Times New Roman" w:cs="Times New Roman"/>
          <w:sz w:val="24"/>
          <w:szCs w:val="24"/>
        </w:rPr>
        <w:t>f</w:t>
      </w:r>
      <w:r>
        <w:rPr>
          <w:rFonts w:ascii="Times New Roman" w:hAnsi="Times New Roman" w:cs="Times New Roman"/>
          <w:sz w:val="24"/>
          <w:szCs w:val="24"/>
        </w:rPr>
        <w:t xml:space="preserve"> the United States economy experiences a downturn in 2021 and 2022</w:t>
      </w:r>
      <w:r w:rsidR="009F528A">
        <w:rPr>
          <w:rFonts w:ascii="Times New Roman" w:hAnsi="Times New Roman" w:cs="Times New Roman"/>
          <w:sz w:val="24"/>
          <w:szCs w:val="24"/>
        </w:rPr>
        <w:t>,</w:t>
      </w:r>
      <w:r>
        <w:rPr>
          <w:rFonts w:ascii="Times New Roman" w:hAnsi="Times New Roman" w:cs="Times New Roman"/>
          <w:sz w:val="24"/>
          <w:szCs w:val="24"/>
        </w:rPr>
        <w:t xml:space="preserve"> the </w:t>
      </w:r>
      <w:r w:rsidR="009F528A">
        <w:rPr>
          <w:rFonts w:ascii="Times New Roman" w:hAnsi="Times New Roman" w:cs="Times New Roman"/>
          <w:sz w:val="24"/>
          <w:szCs w:val="24"/>
        </w:rPr>
        <w:t xml:space="preserve">low wage </w:t>
      </w:r>
      <w:r>
        <w:rPr>
          <w:rFonts w:ascii="Times New Roman" w:hAnsi="Times New Roman" w:cs="Times New Roman"/>
          <w:sz w:val="24"/>
          <w:szCs w:val="24"/>
        </w:rPr>
        <w:t xml:space="preserve">Gig economy </w:t>
      </w:r>
      <w:r w:rsidR="009F528A">
        <w:rPr>
          <w:rFonts w:ascii="Times New Roman" w:hAnsi="Times New Roman" w:cs="Times New Roman"/>
          <w:sz w:val="24"/>
          <w:szCs w:val="24"/>
        </w:rPr>
        <w:t xml:space="preserve">could expand, </w:t>
      </w:r>
      <w:r>
        <w:rPr>
          <w:rFonts w:ascii="Times New Roman" w:hAnsi="Times New Roman" w:cs="Times New Roman"/>
          <w:sz w:val="24"/>
          <w:szCs w:val="24"/>
        </w:rPr>
        <w:t>potentially setting up a confrontation</w:t>
      </w:r>
      <w:r w:rsidR="009F528A">
        <w:rPr>
          <w:rFonts w:ascii="Times New Roman" w:hAnsi="Times New Roman" w:cs="Times New Roman"/>
          <w:sz w:val="24"/>
          <w:szCs w:val="24"/>
        </w:rPr>
        <w:t xml:space="preserve"> between states and</w:t>
      </w:r>
      <w:r>
        <w:rPr>
          <w:rFonts w:ascii="Times New Roman" w:hAnsi="Times New Roman" w:cs="Times New Roman"/>
          <w:sz w:val="24"/>
          <w:szCs w:val="24"/>
        </w:rPr>
        <w:t xml:space="preserve"> current federal </w:t>
      </w:r>
      <w:r w:rsidR="007D3671">
        <w:rPr>
          <w:rFonts w:ascii="Times New Roman" w:hAnsi="Times New Roman" w:cs="Times New Roman"/>
          <w:sz w:val="24"/>
          <w:szCs w:val="24"/>
        </w:rPr>
        <w:t xml:space="preserve">labor </w:t>
      </w:r>
      <w:r>
        <w:rPr>
          <w:rFonts w:ascii="Times New Roman" w:hAnsi="Times New Roman" w:cs="Times New Roman"/>
          <w:sz w:val="24"/>
          <w:szCs w:val="24"/>
        </w:rPr>
        <w:t>authorities that have made misclassification of employees a ce</w:t>
      </w:r>
      <w:r w:rsidR="007D3671">
        <w:rPr>
          <w:rFonts w:ascii="Times New Roman" w:hAnsi="Times New Roman" w:cs="Times New Roman"/>
          <w:sz w:val="24"/>
          <w:szCs w:val="24"/>
        </w:rPr>
        <w:t xml:space="preserve">nterpiece of enforcement policy. Workers’ compensation attorneys will have to be alert to differences in employee definitions from state to state, </w:t>
      </w:r>
      <w:r w:rsidR="009F528A">
        <w:rPr>
          <w:rFonts w:ascii="Times New Roman" w:hAnsi="Times New Roman" w:cs="Times New Roman"/>
          <w:sz w:val="24"/>
          <w:szCs w:val="24"/>
        </w:rPr>
        <w:t xml:space="preserve">definitional </w:t>
      </w:r>
      <w:r w:rsidR="007D3671">
        <w:rPr>
          <w:rFonts w:ascii="Times New Roman" w:hAnsi="Times New Roman" w:cs="Times New Roman"/>
          <w:sz w:val="24"/>
          <w:szCs w:val="24"/>
        </w:rPr>
        <w:t xml:space="preserve">differences </w:t>
      </w:r>
      <w:r w:rsidR="009F528A">
        <w:rPr>
          <w:rFonts w:ascii="Times New Roman" w:hAnsi="Times New Roman" w:cs="Times New Roman"/>
          <w:sz w:val="24"/>
          <w:szCs w:val="24"/>
        </w:rPr>
        <w:t>between</w:t>
      </w:r>
      <w:r w:rsidR="007D3671">
        <w:rPr>
          <w:rFonts w:ascii="Times New Roman" w:hAnsi="Times New Roman" w:cs="Times New Roman"/>
          <w:sz w:val="24"/>
          <w:szCs w:val="24"/>
        </w:rPr>
        <w:t xml:space="preserve"> federal and state </w:t>
      </w:r>
      <w:r w:rsidR="009F528A">
        <w:rPr>
          <w:rFonts w:ascii="Times New Roman" w:hAnsi="Times New Roman" w:cs="Times New Roman"/>
          <w:sz w:val="24"/>
          <w:szCs w:val="24"/>
        </w:rPr>
        <w:t xml:space="preserve">employment (and tax) </w:t>
      </w:r>
      <w:r w:rsidR="007D3671">
        <w:rPr>
          <w:rFonts w:ascii="Times New Roman" w:hAnsi="Times New Roman" w:cs="Times New Roman"/>
          <w:sz w:val="24"/>
          <w:szCs w:val="24"/>
        </w:rPr>
        <w:t xml:space="preserve">law, and even differences </w:t>
      </w:r>
      <w:r w:rsidR="009F528A">
        <w:rPr>
          <w:rFonts w:ascii="Times New Roman" w:hAnsi="Times New Roman" w:cs="Times New Roman"/>
          <w:sz w:val="24"/>
          <w:szCs w:val="24"/>
        </w:rPr>
        <w:t>between</w:t>
      </w:r>
      <w:r w:rsidR="007D3671">
        <w:rPr>
          <w:rFonts w:ascii="Times New Roman" w:hAnsi="Times New Roman" w:cs="Times New Roman"/>
          <w:sz w:val="24"/>
          <w:szCs w:val="24"/>
        </w:rPr>
        <w:t xml:space="preserve"> </w:t>
      </w:r>
      <w:r w:rsidR="009F528A">
        <w:rPr>
          <w:rFonts w:ascii="Times New Roman" w:hAnsi="Times New Roman" w:cs="Times New Roman"/>
          <w:sz w:val="24"/>
          <w:szCs w:val="24"/>
        </w:rPr>
        <w:t xml:space="preserve">various </w:t>
      </w:r>
      <w:r w:rsidR="007D3671">
        <w:rPr>
          <w:rFonts w:ascii="Times New Roman" w:hAnsi="Times New Roman" w:cs="Times New Roman"/>
          <w:sz w:val="24"/>
          <w:szCs w:val="24"/>
        </w:rPr>
        <w:t>state employment statutes</w:t>
      </w:r>
      <w:r w:rsidR="009F528A">
        <w:rPr>
          <w:rFonts w:ascii="Times New Roman" w:hAnsi="Times New Roman" w:cs="Times New Roman"/>
          <w:sz w:val="24"/>
          <w:szCs w:val="24"/>
        </w:rPr>
        <w:t xml:space="preserve"> in the same state</w:t>
      </w:r>
      <w:r w:rsidR="007D367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5DD38BC" w14:textId="10A91E59" w:rsidR="00FF7482" w:rsidRPr="00D15B20" w:rsidRDefault="00FF7482" w:rsidP="00FE1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EE4CD55" w14:textId="6CD6F06F" w:rsidR="00FF7482" w:rsidRPr="00050E85" w:rsidRDefault="00FF7482" w:rsidP="00A1543A">
      <w:pPr>
        <w:pStyle w:val="Heading2"/>
        <w:rPr>
          <w:rFonts w:ascii="Times New Roman" w:hAnsi="Times New Roman" w:cs="Times New Roman"/>
          <w:b/>
          <w:color w:val="auto"/>
        </w:rPr>
      </w:pPr>
      <w:bookmarkStart w:id="175" w:name="_Toc75269354"/>
      <w:r w:rsidRPr="00050E85">
        <w:rPr>
          <w:rFonts w:ascii="Times New Roman" w:hAnsi="Times New Roman" w:cs="Times New Roman"/>
          <w:b/>
          <w:color w:val="auto"/>
        </w:rPr>
        <w:t>ABC Approach</w:t>
      </w:r>
      <w:r>
        <w:rPr>
          <w:rFonts w:ascii="Times New Roman" w:hAnsi="Times New Roman" w:cs="Times New Roman"/>
          <w:b/>
          <w:color w:val="auto"/>
        </w:rPr>
        <w:t xml:space="preserve"> (National)</w:t>
      </w:r>
      <w:bookmarkEnd w:id="175"/>
    </w:p>
    <w:p w14:paraId="0110FB52" w14:textId="77777777" w:rsidR="00FF7482" w:rsidRPr="00050E85" w:rsidRDefault="00FF7482" w:rsidP="00FB7728">
      <w:pPr>
        <w:spacing w:after="0"/>
      </w:pPr>
    </w:p>
    <w:p w14:paraId="1AC756EE" w14:textId="0C842A8B" w:rsidR="00FF7482" w:rsidRDefault="00FF7482" w:rsidP="00ED25A2">
      <w:pPr>
        <w:spacing w:after="0"/>
        <w:jc w:val="both"/>
        <w:rPr>
          <w:rStyle w:val="Hyperlink"/>
          <w:rFonts w:ascii="Times New Roman" w:hAnsi="Times New Roman" w:cs="Times New Roman"/>
          <w:sz w:val="24"/>
          <w:szCs w:val="24"/>
          <w:vertAlign w:val="superscript"/>
        </w:rPr>
      </w:pPr>
      <w:r w:rsidRPr="009B4A59">
        <w:rPr>
          <w:rFonts w:ascii="Times New Roman" w:hAnsi="Times New Roman" w:cs="Times New Roman"/>
          <w:b/>
          <w:bCs/>
          <w:sz w:val="24"/>
          <w:szCs w:val="24"/>
        </w:rPr>
        <w:t>Placing a thumb on the scale of employee-status is the ABC test</w:t>
      </w:r>
      <w:r>
        <w:rPr>
          <w:rFonts w:ascii="Times New Roman" w:hAnsi="Times New Roman" w:cs="Times New Roman"/>
          <w:sz w:val="24"/>
          <w:szCs w:val="24"/>
        </w:rPr>
        <w:t>, which is utilized in various contexts, most notably in Massachusetts, New Jersey, and California. Although the formulation can be stated differently across jurisdictions, t</w:t>
      </w:r>
      <w:r w:rsidRPr="00800E69">
        <w:rPr>
          <w:rFonts w:ascii="Times New Roman" w:hAnsi="Times New Roman" w:cs="Times New Roman"/>
          <w:sz w:val="24"/>
          <w:szCs w:val="24"/>
        </w:rPr>
        <w:t>he ABC test</w:t>
      </w:r>
      <w:r>
        <w:rPr>
          <w:rFonts w:ascii="Times New Roman" w:hAnsi="Times New Roman" w:cs="Times New Roman"/>
          <w:sz w:val="24"/>
          <w:szCs w:val="24"/>
        </w:rPr>
        <w:t xml:space="preserve"> usually</w:t>
      </w:r>
      <w:r w:rsidRPr="00800E69">
        <w:rPr>
          <w:rFonts w:ascii="Times New Roman" w:hAnsi="Times New Roman" w:cs="Times New Roman"/>
          <w:sz w:val="24"/>
          <w:szCs w:val="24"/>
        </w:rPr>
        <w:t xml:space="preserve"> </w:t>
      </w:r>
      <w:r w:rsidRPr="009B4A59">
        <w:rPr>
          <w:rFonts w:ascii="Times New Roman" w:hAnsi="Times New Roman" w:cs="Times New Roman"/>
          <w:b/>
          <w:bCs/>
          <w:i/>
          <w:iCs/>
          <w:sz w:val="24"/>
          <w:szCs w:val="24"/>
        </w:rPr>
        <w:t>presumes</w:t>
      </w:r>
      <w:r w:rsidRPr="00800E69">
        <w:rPr>
          <w:rFonts w:ascii="Times New Roman" w:hAnsi="Times New Roman" w:cs="Times New Roman"/>
          <w:sz w:val="24"/>
          <w:szCs w:val="24"/>
        </w:rPr>
        <w:t xml:space="preserve"> </w:t>
      </w:r>
      <w:r w:rsidRPr="009B4A59">
        <w:rPr>
          <w:rFonts w:ascii="Times New Roman" w:hAnsi="Times New Roman" w:cs="Times New Roman"/>
          <w:b/>
          <w:bCs/>
          <w:i/>
          <w:iCs/>
          <w:sz w:val="24"/>
          <w:szCs w:val="24"/>
        </w:rPr>
        <w:t>an individual is an employee</w:t>
      </w:r>
      <w:r w:rsidRPr="00800E69">
        <w:rPr>
          <w:rFonts w:ascii="Times New Roman" w:hAnsi="Times New Roman" w:cs="Times New Roman"/>
          <w:sz w:val="24"/>
          <w:szCs w:val="24"/>
        </w:rPr>
        <w:t xml:space="preserve"> unless the employer can make certain showings regarding the individual employed, including: (A) Such individual has been and will continue to be free from control or direction over the performance of such service, both under his contract of service and in fact; and (B) Such service is either outside the usual course of the business for which such service is performed, or that such service is performed outside of all the places of business of the enterprise for which such service is performed; and (C) Such individual is customarily engaged in an independently established trade, occupation, profession or business.</w:t>
      </w:r>
      <w:r w:rsidRPr="00112C9C">
        <w:rPr>
          <w:rFonts w:ascii="Times New Roman" w:hAnsi="Times New Roman" w:cs="Times New Roman"/>
          <w:sz w:val="24"/>
          <w:szCs w:val="24"/>
          <w:vertAlign w:val="superscript"/>
        </w:rPr>
        <w:footnoteReference w:id="132"/>
      </w:r>
    </w:p>
    <w:p w14:paraId="5562B780" w14:textId="77777777" w:rsidR="00ED25A2" w:rsidRDefault="00ED25A2" w:rsidP="00ED25A2">
      <w:pPr>
        <w:spacing w:after="0"/>
        <w:jc w:val="both"/>
        <w:rPr>
          <w:rFonts w:ascii="Times New Roman" w:hAnsi="Times New Roman" w:cs="Times New Roman"/>
          <w:sz w:val="24"/>
          <w:szCs w:val="24"/>
        </w:rPr>
      </w:pPr>
    </w:p>
    <w:p w14:paraId="1E821C93" w14:textId="39D60303"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The standard makes clear that </w:t>
      </w:r>
      <w:r w:rsidRPr="009B4A59">
        <w:rPr>
          <w:rFonts w:ascii="Times New Roman" w:hAnsi="Times New Roman" w:cs="Times New Roman"/>
          <w:b/>
          <w:bCs/>
          <w:sz w:val="24"/>
          <w:szCs w:val="24"/>
        </w:rPr>
        <w:t>the burden is on the employer to establish independent contractor status</w:t>
      </w:r>
      <w:r>
        <w:rPr>
          <w:rFonts w:ascii="Times New Roman" w:hAnsi="Times New Roman" w:cs="Times New Roman"/>
          <w:sz w:val="24"/>
          <w:szCs w:val="24"/>
        </w:rPr>
        <w:t xml:space="preserve">. It is also evident that the employer must establish each of the independent contractor factors. Like the Wyoming independent contractor standard, it is possible that a putative contractor, though free from control or direction over the performance of a service, could nevertheless be found an employee because the work is not outside of the “employer’s” usual business, or because the putative contractor is not customarily engaged in an independently established trade, occupation, profession, or business. The standard, when applied to workers’ compensation cases, is consistent with compensation theory: the costs </w:t>
      </w:r>
      <w:r>
        <w:rPr>
          <w:rFonts w:ascii="Times New Roman" w:hAnsi="Times New Roman" w:cs="Times New Roman"/>
          <w:sz w:val="24"/>
          <w:szCs w:val="24"/>
        </w:rPr>
        <w:lastRenderedPageBreak/>
        <w:t xml:space="preserve">of industrial accidents or injuries are </w:t>
      </w:r>
      <w:r w:rsidRPr="009B4A59">
        <w:rPr>
          <w:rFonts w:ascii="Times New Roman" w:hAnsi="Times New Roman" w:cs="Times New Roman"/>
          <w:i/>
          <w:iCs/>
          <w:sz w:val="24"/>
          <w:szCs w:val="24"/>
        </w:rPr>
        <w:t>broadly allocated to the relevant industry utilizing labor</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33"/>
      </w:r>
      <w:r>
        <w:rPr>
          <w:rFonts w:ascii="Times New Roman" w:hAnsi="Times New Roman" w:cs="Times New Roman"/>
          <w:sz w:val="24"/>
          <w:szCs w:val="24"/>
        </w:rPr>
        <w:t xml:space="preserve"> </w:t>
      </w:r>
    </w:p>
    <w:p w14:paraId="5678DB8F" w14:textId="77777777" w:rsidR="00ED25A2" w:rsidRDefault="00ED25A2" w:rsidP="00ED25A2">
      <w:pPr>
        <w:spacing w:after="0"/>
        <w:jc w:val="both"/>
        <w:rPr>
          <w:rFonts w:ascii="Times New Roman" w:hAnsi="Times New Roman" w:cs="Times New Roman"/>
          <w:sz w:val="24"/>
          <w:szCs w:val="24"/>
        </w:rPr>
      </w:pPr>
    </w:p>
    <w:p w14:paraId="2177A99D" w14:textId="7FE20BB5" w:rsidR="00FF7482" w:rsidRDefault="00FF7482"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An excellent case for reviewing the complex variability between employee standards is the California Supreme Court’s opinion in </w:t>
      </w:r>
      <w:r w:rsidRPr="00665EBC">
        <w:rPr>
          <w:rFonts w:ascii="Times New Roman" w:hAnsi="Times New Roman" w:cs="Times New Roman"/>
          <w:i/>
          <w:iCs/>
          <w:sz w:val="24"/>
          <w:szCs w:val="24"/>
        </w:rPr>
        <w:t>Dynamex Operations West v. Superior Court of Los Angeles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34"/>
      </w:r>
      <w:r>
        <w:rPr>
          <w:rFonts w:ascii="Times New Roman" w:hAnsi="Times New Roman" w:cs="Times New Roman"/>
          <w:sz w:val="24"/>
          <w:szCs w:val="24"/>
        </w:rPr>
        <w:t xml:space="preserve"> The </w:t>
      </w:r>
      <w:r w:rsidRPr="00852155">
        <w:rPr>
          <w:rFonts w:ascii="Times New Roman" w:hAnsi="Times New Roman" w:cs="Times New Roman"/>
          <w:i/>
          <w:sz w:val="24"/>
          <w:szCs w:val="24"/>
        </w:rPr>
        <w:t>Dynamex</w:t>
      </w:r>
      <w:r>
        <w:rPr>
          <w:rFonts w:ascii="Times New Roman" w:hAnsi="Times New Roman" w:cs="Times New Roman"/>
          <w:sz w:val="24"/>
          <w:szCs w:val="24"/>
        </w:rPr>
        <w:t xml:space="preserve"> opinion compelled use of the ABC employee test for certain industries governed by “wage orders” as defined under California law. During its analysis, the Court rejected a restatement-type standard for wage-order industries on policy grounds. The case is notable for showcasing the co-existence of multiple employee-independent contractor standards in a single state. </w:t>
      </w:r>
      <w:r w:rsidRPr="00130DD2">
        <w:rPr>
          <w:rFonts w:ascii="Times New Roman" w:hAnsi="Times New Roman" w:cs="Times New Roman"/>
          <w:i/>
          <w:sz w:val="24"/>
          <w:szCs w:val="24"/>
        </w:rPr>
        <w:t>Dynamex</w:t>
      </w:r>
      <w:r>
        <w:rPr>
          <w:rFonts w:ascii="Times New Roman" w:hAnsi="Times New Roman" w:cs="Times New Roman"/>
          <w:sz w:val="24"/>
          <w:szCs w:val="24"/>
        </w:rPr>
        <w:t xml:space="preserve"> did not, for example, apply to workers’ compensation cases.</w:t>
      </w:r>
      <w:r w:rsidRPr="00852155">
        <w:rPr>
          <w:rFonts w:ascii="Times New Roman" w:hAnsi="Times New Roman" w:cs="Times New Roman"/>
          <w:sz w:val="24"/>
          <w:szCs w:val="24"/>
        </w:rPr>
        <w:t xml:space="preserve"> </w:t>
      </w:r>
    </w:p>
    <w:p w14:paraId="1DE82600" w14:textId="4F62C71F" w:rsidR="007D3671" w:rsidRDefault="007D3671" w:rsidP="00A1543A">
      <w:pPr>
        <w:spacing w:after="0"/>
        <w:jc w:val="both"/>
        <w:rPr>
          <w:rFonts w:ascii="Times New Roman" w:hAnsi="Times New Roman" w:cs="Times New Roman"/>
          <w:sz w:val="24"/>
          <w:szCs w:val="24"/>
        </w:rPr>
      </w:pPr>
    </w:p>
    <w:p w14:paraId="1B7DC3F6" w14:textId="7766368D" w:rsidR="007D3671" w:rsidRDefault="007D3671"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The California saga has continued in 2020 and 2021. In fall 2020, California voters approved a referendum carving out </w:t>
      </w:r>
      <w:r w:rsidR="00C62828">
        <w:rPr>
          <w:rFonts w:ascii="Times New Roman" w:hAnsi="Times New Roman" w:cs="Times New Roman"/>
          <w:sz w:val="24"/>
          <w:szCs w:val="24"/>
        </w:rPr>
        <w:t>“</w:t>
      </w:r>
      <w:r>
        <w:rPr>
          <w:rFonts w:ascii="Times New Roman" w:hAnsi="Times New Roman" w:cs="Times New Roman"/>
          <w:sz w:val="24"/>
          <w:szCs w:val="24"/>
        </w:rPr>
        <w:t>app-based</w:t>
      </w:r>
      <w:r w:rsidR="00C62828">
        <w:rPr>
          <w:rFonts w:ascii="Times New Roman" w:hAnsi="Times New Roman" w:cs="Times New Roman"/>
          <w:sz w:val="24"/>
          <w:szCs w:val="24"/>
        </w:rPr>
        <w:t>”</w:t>
      </w:r>
      <w:r>
        <w:rPr>
          <w:rFonts w:ascii="Times New Roman" w:hAnsi="Times New Roman" w:cs="Times New Roman"/>
          <w:sz w:val="24"/>
          <w:szCs w:val="24"/>
        </w:rPr>
        <w:t xml:space="preserve"> drivers from vast swaths of employment law</w:t>
      </w:r>
      <w:r w:rsidR="005A7BAE">
        <w:rPr>
          <w:rFonts w:ascii="Times New Roman" w:hAnsi="Times New Roman" w:cs="Times New Roman"/>
          <w:sz w:val="24"/>
          <w:szCs w:val="24"/>
        </w:rPr>
        <w:t xml:space="preserve">. </w:t>
      </w:r>
      <w:r w:rsidR="005A7BAE" w:rsidRPr="005A7BAE">
        <w:rPr>
          <w:rFonts w:ascii="Times New Roman" w:hAnsi="Times New Roman" w:cs="Times New Roman"/>
          <w:sz w:val="24"/>
          <w:szCs w:val="24"/>
        </w:rPr>
        <w:t>The referendum had no direct impact on workers’ compensation law, which continues to define employees in accordance with a traditional common law-type factor test. App-based drivers may be more easily defined as independent contractors for purposes of workers’ compensation, however.</w:t>
      </w:r>
      <w:r w:rsidR="005A7BAE">
        <w:rPr>
          <w:rFonts w:ascii="Times New Roman" w:hAnsi="Times New Roman" w:cs="Times New Roman"/>
          <w:sz w:val="24"/>
          <w:szCs w:val="24"/>
        </w:rPr>
        <w:t xml:space="preserve"> </w:t>
      </w:r>
      <w:r w:rsidR="00C62828">
        <w:rPr>
          <w:rFonts w:ascii="Times New Roman" w:hAnsi="Times New Roman" w:cs="Times New Roman"/>
          <w:sz w:val="24"/>
          <w:szCs w:val="24"/>
        </w:rPr>
        <w:t>The referendum was the most expensive ballot initiative in American history with Gig economy companies reported to have spent $200 million.</w:t>
      </w:r>
      <w:r w:rsidR="00C62828">
        <w:rPr>
          <w:rStyle w:val="FootnoteReference"/>
          <w:rFonts w:ascii="Times New Roman" w:hAnsi="Times New Roman" w:cs="Times New Roman"/>
          <w:sz w:val="24"/>
          <w:szCs w:val="24"/>
        </w:rPr>
        <w:footnoteReference w:id="135"/>
      </w:r>
      <w:r w:rsidR="00C62828">
        <w:rPr>
          <w:rFonts w:ascii="Times New Roman" w:hAnsi="Times New Roman" w:cs="Times New Roman"/>
          <w:sz w:val="24"/>
          <w:szCs w:val="24"/>
        </w:rPr>
        <w:t xml:space="preserve"> Similar proposed measures in New York have not prevailed as of June 2021 and the political winds seem to be blowing against them.</w:t>
      </w:r>
    </w:p>
    <w:p w14:paraId="0DF94CFF" w14:textId="0323A2E4" w:rsidR="00FF7482" w:rsidRDefault="00FF7482"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AA61616" w14:textId="75874E30" w:rsidR="00FF7482" w:rsidRPr="00050E85" w:rsidRDefault="00FF7482" w:rsidP="00ED25A2">
      <w:pPr>
        <w:pStyle w:val="Heading2"/>
        <w:rPr>
          <w:rFonts w:ascii="Times New Roman" w:hAnsi="Times New Roman" w:cs="Times New Roman"/>
          <w:b/>
          <w:color w:val="auto"/>
        </w:rPr>
      </w:pPr>
      <w:bookmarkStart w:id="179" w:name="_Toc75269355"/>
      <w:r w:rsidRPr="00050E85">
        <w:rPr>
          <w:rFonts w:ascii="Times New Roman" w:hAnsi="Times New Roman" w:cs="Times New Roman"/>
          <w:b/>
          <w:color w:val="auto"/>
        </w:rPr>
        <w:t>Who is an Employer</w:t>
      </w:r>
      <w:r>
        <w:rPr>
          <w:rFonts w:ascii="Times New Roman" w:hAnsi="Times New Roman" w:cs="Times New Roman"/>
          <w:b/>
          <w:color w:val="auto"/>
        </w:rPr>
        <w:t xml:space="preserve"> in Wyoming</w:t>
      </w:r>
      <w:r w:rsidRPr="00050E85">
        <w:rPr>
          <w:rFonts w:ascii="Times New Roman" w:hAnsi="Times New Roman" w:cs="Times New Roman"/>
          <w:b/>
          <w:color w:val="auto"/>
        </w:rPr>
        <w:t>?</w:t>
      </w:r>
      <w:bookmarkEnd w:id="179"/>
    </w:p>
    <w:p w14:paraId="4A8B7ED6" w14:textId="77777777" w:rsidR="00FF7482" w:rsidRPr="00050E85" w:rsidRDefault="00FF7482" w:rsidP="00A1543A">
      <w:pPr>
        <w:spacing w:after="0"/>
      </w:pPr>
    </w:p>
    <w:p w14:paraId="274174D8" w14:textId="31CC932E"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The other logical “person covered” by a workers’ compensation statute is an “employer.” As is the case with employee definitions, employer definitions vary widely across the country. Often definitions can be circular. For example, a statute might declare that an “employer” is an entity providing “employment” to “an employee.” This complicates rather than simplifies the discussion. For efficiency of exposition, the </w:t>
      </w:r>
      <w:r w:rsidRPr="009B4A59">
        <w:rPr>
          <w:rFonts w:ascii="Times New Roman" w:hAnsi="Times New Roman" w:cs="Times New Roman"/>
          <w:i/>
          <w:iCs/>
          <w:sz w:val="24"/>
          <w:szCs w:val="24"/>
        </w:rPr>
        <w:t>employer</w:t>
      </w:r>
      <w:r>
        <w:rPr>
          <w:rFonts w:ascii="Times New Roman" w:hAnsi="Times New Roman" w:cs="Times New Roman"/>
          <w:sz w:val="24"/>
          <w:szCs w:val="24"/>
        </w:rPr>
        <w:t xml:space="preserve"> discussion will be limited to Wyoming workers’ compensation law. </w:t>
      </w:r>
    </w:p>
    <w:p w14:paraId="10370A21" w14:textId="77777777" w:rsidR="00A1543A" w:rsidRDefault="00A1543A" w:rsidP="00A1543A">
      <w:pPr>
        <w:spacing w:after="0"/>
        <w:jc w:val="both"/>
        <w:rPr>
          <w:rFonts w:ascii="Times New Roman" w:hAnsi="Times New Roman" w:cs="Times New Roman"/>
          <w:sz w:val="24"/>
          <w:szCs w:val="24"/>
        </w:rPr>
      </w:pPr>
    </w:p>
    <w:p w14:paraId="5352C911" w14:textId="6D4EFB01" w:rsidR="00FF7482" w:rsidRDefault="00FF7482" w:rsidP="00A1543A">
      <w:pPr>
        <w:spacing w:after="0"/>
        <w:jc w:val="both"/>
        <w:rPr>
          <w:rFonts w:ascii="Times New Roman" w:hAnsi="Times New Roman" w:cs="Times New Roman"/>
          <w:sz w:val="24"/>
          <w:szCs w:val="24"/>
        </w:rPr>
      </w:pPr>
      <w:r>
        <w:rPr>
          <w:rFonts w:ascii="Times New Roman" w:hAnsi="Times New Roman" w:cs="Times New Roman"/>
          <w:sz w:val="24"/>
          <w:szCs w:val="24"/>
        </w:rPr>
        <w:t xml:space="preserve">Under </w:t>
      </w:r>
      <w:bookmarkStart w:id="180" w:name="_Hlk13126193"/>
      <w:r w:rsidRPr="004B3D99">
        <w:rPr>
          <w:rFonts w:ascii="Times New Roman" w:hAnsi="Times New Roman" w:cs="Times New Roman"/>
          <w:sz w:val="24"/>
          <w:szCs w:val="24"/>
        </w:rPr>
        <w:t xml:space="preserve">W.S. § </w:t>
      </w:r>
      <w:hyperlink r:id="rId39" w:history="1">
        <w:r w:rsidRPr="004B3D99">
          <w:rPr>
            <w:rStyle w:val="Hyperlink"/>
            <w:rFonts w:ascii="Times New Roman" w:hAnsi="Times New Roman" w:cs="Times New Roman"/>
            <w:sz w:val="24"/>
            <w:szCs w:val="24"/>
          </w:rPr>
          <w:t>27-14-102</w:t>
        </w:r>
      </w:hyperlink>
      <w:r>
        <w:rPr>
          <w:rFonts w:ascii="Times New Roman" w:hAnsi="Times New Roman" w:cs="Times New Roman"/>
          <w:sz w:val="24"/>
          <w:szCs w:val="24"/>
        </w:rPr>
        <w:t>(a)(vii</w:t>
      </w:r>
      <w:r w:rsidRPr="003E02D8">
        <w:rPr>
          <w:rFonts w:ascii="Times New Roman" w:hAnsi="Times New Roman" w:cs="Times New Roman"/>
          <w:sz w:val="24"/>
          <w:szCs w:val="24"/>
        </w:rPr>
        <w:t>)</w:t>
      </w:r>
      <w:bookmarkEnd w:id="180"/>
      <w:r w:rsidRPr="003E02D8">
        <w:rPr>
          <w:rFonts w:ascii="Times New Roman" w:hAnsi="Times New Roman" w:cs="Times New Roman"/>
          <w:sz w:val="24"/>
          <w:szCs w:val="24"/>
        </w:rPr>
        <w:t xml:space="preserve">, </w:t>
      </w:r>
      <w:bookmarkStart w:id="181" w:name="_Hlk517014903"/>
      <w:r w:rsidRPr="003E02D8">
        <w:rPr>
          <w:rFonts w:ascii="Times New Roman" w:hAnsi="Times New Roman" w:cs="Times New Roman"/>
          <w:b/>
          <w:bCs/>
          <w:sz w:val="24"/>
          <w:szCs w:val="24"/>
        </w:rPr>
        <w:t>“</w:t>
      </w:r>
      <w:r w:rsidRPr="00714BDC">
        <w:rPr>
          <w:rFonts w:ascii="Times New Roman" w:hAnsi="Times New Roman" w:cs="Times New Roman"/>
          <w:b/>
          <w:bCs/>
          <w:sz w:val="24"/>
          <w:szCs w:val="24"/>
          <w:u w:val="single"/>
        </w:rPr>
        <w:t>employer” means any person or entity employing an employee engaged in any extrahazardous occupation</w:t>
      </w:r>
      <w:r w:rsidRPr="00D22387">
        <w:rPr>
          <w:rFonts w:ascii="Times New Roman" w:hAnsi="Times New Roman" w:cs="Times New Roman"/>
          <w:sz w:val="24"/>
          <w:szCs w:val="24"/>
        </w:rPr>
        <w:t xml:space="preserve"> </w:t>
      </w:r>
      <w:bookmarkEnd w:id="181"/>
      <w:r w:rsidRPr="00D22387">
        <w:rPr>
          <w:rFonts w:ascii="Times New Roman" w:hAnsi="Times New Roman" w:cs="Times New Roman"/>
          <w:sz w:val="24"/>
          <w:szCs w:val="24"/>
        </w:rPr>
        <w:t xml:space="preserve">or </w:t>
      </w:r>
      <w:r w:rsidRPr="009B4A59">
        <w:rPr>
          <w:rFonts w:ascii="Times New Roman" w:hAnsi="Times New Roman" w:cs="Times New Roman"/>
          <w:i/>
          <w:iCs/>
          <w:sz w:val="24"/>
          <w:szCs w:val="24"/>
        </w:rPr>
        <w:t>electing</w:t>
      </w:r>
      <w:r w:rsidRPr="00D22387">
        <w:rPr>
          <w:rFonts w:ascii="Times New Roman" w:hAnsi="Times New Roman" w:cs="Times New Roman"/>
          <w:sz w:val="24"/>
          <w:szCs w:val="24"/>
        </w:rPr>
        <w:t xml:space="preserve"> coverage under </w:t>
      </w:r>
      <w:r w:rsidRPr="004B3D99">
        <w:rPr>
          <w:rFonts w:ascii="Times New Roman" w:hAnsi="Times New Roman" w:cs="Times New Roman"/>
          <w:sz w:val="24"/>
          <w:szCs w:val="24"/>
        </w:rPr>
        <w:t xml:space="preserve">W.S. § </w:t>
      </w:r>
      <w:hyperlink r:id="rId40" w:history="1">
        <w:r w:rsidRPr="004B3D99">
          <w:rPr>
            <w:rStyle w:val="Hyperlink"/>
            <w:rFonts w:ascii="Times New Roman" w:hAnsi="Times New Roman" w:cs="Times New Roman"/>
            <w:sz w:val="24"/>
            <w:szCs w:val="24"/>
          </w:rPr>
          <w:t>27-14-108</w:t>
        </w:r>
      </w:hyperlink>
      <w:r w:rsidRPr="00D22387">
        <w:rPr>
          <w:rFonts w:ascii="Times New Roman" w:hAnsi="Times New Roman" w:cs="Times New Roman"/>
          <w:sz w:val="24"/>
          <w:szCs w:val="24"/>
        </w:rPr>
        <w:t xml:space="preserve">(j) or (k) and at least one of whose employees is </w:t>
      </w:r>
      <w:r w:rsidRPr="00D22387">
        <w:rPr>
          <w:rFonts w:ascii="Times New Roman" w:hAnsi="Times New Roman" w:cs="Times New Roman"/>
          <w:sz w:val="24"/>
          <w:szCs w:val="24"/>
        </w:rPr>
        <w:lastRenderedPageBreak/>
        <w:t xml:space="preserve">described in </w:t>
      </w:r>
      <w:r w:rsidRPr="004B3D99">
        <w:rPr>
          <w:rFonts w:ascii="Times New Roman" w:hAnsi="Times New Roman" w:cs="Times New Roman"/>
          <w:sz w:val="24"/>
          <w:szCs w:val="24"/>
        </w:rPr>
        <w:t xml:space="preserve">W.S. § </w:t>
      </w:r>
      <w:hyperlink r:id="rId41" w:history="1">
        <w:r w:rsidRPr="004B3D99">
          <w:rPr>
            <w:rStyle w:val="Hyperlink"/>
            <w:rFonts w:ascii="Times New Roman" w:hAnsi="Times New Roman" w:cs="Times New Roman"/>
            <w:sz w:val="24"/>
            <w:szCs w:val="24"/>
          </w:rPr>
          <w:t>27-14-301</w:t>
        </w:r>
      </w:hyperlink>
      <w:r>
        <w:rPr>
          <w:rFonts w:ascii="Times New Roman" w:hAnsi="Times New Roman" w:cs="Times New Roman"/>
          <w:sz w:val="24"/>
          <w:szCs w:val="24"/>
        </w:rPr>
        <w:t xml:space="preserve"> (the extraterritoriality provision is discussed further in Section 2.4 of th</w:t>
      </w:r>
      <w:r w:rsidR="003440DB">
        <w:rPr>
          <w:rFonts w:ascii="Times New Roman" w:hAnsi="Times New Roman" w:cs="Times New Roman"/>
          <w:sz w:val="24"/>
          <w:szCs w:val="24"/>
        </w:rPr>
        <w:t xml:space="preserve">is </w:t>
      </w:r>
      <w:r>
        <w:rPr>
          <w:rFonts w:ascii="Times New Roman" w:hAnsi="Times New Roman" w:cs="Times New Roman"/>
          <w:sz w:val="24"/>
          <w:szCs w:val="24"/>
        </w:rPr>
        <w:t xml:space="preserve">Treatise). For now, the general definition of employer may most easily be explained as follows. </w:t>
      </w:r>
      <w:r w:rsidRPr="00984933">
        <w:rPr>
          <w:rFonts w:ascii="Times New Roman" w:hAnsi="Times New Roman" w:cs="Times New Roman"/>
          <w:b/>
          <w:sz w:val="24"/>
          <w:szCs w:val="24"/>
        </w:rPr>
        <w:t xml:space="preserve">An employer means any person or entity employing an employee in (a) explicitly covered </w:t>
      </w:r>
      <w:r>
        <w:rPr>
          <w:rFonts w:ascii="Times New Roman" w:hAnsi="Times New Roman" w:cs="Times New Roman"/>
          <w:b/>
          <w:sz w:val="24"/>
          <w:szCs w:val="24"/>
        </w:rPr>
        <w:t xml:space="preserve">extrahazardous </w:t>
      </w:r>
      <w:r w:rsidRPr="00984933">
        <w:rPr>
          <w:rFonts w:ascii="Times New Roman" w:hAnsi="Times New Roman" w:cs="Times New Roman"/>
          <w:b/>
          <w:sz w:val="24"/>
          <w:szCs w:val="24"/>
        </w:rPr>
        <w:t>employment</w:t>
      </w:r>
      <w:r w:rsidRPr="00112C9C">
        <w:rPr>
          <w:rFonts w:ascii="Times New Roman" w:hAnsi="Times New Roman" w:cs="Times New Roman"/>
          <w:bCs/>
          <w:sz w:val="24"/>
          <w:szCs w:val="24"/>
          <w:vertAlign w:val="superscript"/>
        </w:rPr>
        <w:footnoteReference w:id="136"/>
      </w:r>
      <w:r w:rsidRPr="00984933">
        <w:rPr>
          <w:rFonts w:ascii="Times New Roman" w:hAnsi="Times New Roman" w:cs="Times New Roman"/>
          <w:b/>
          <w:sz w:val="24"/>
          <w:szCs w:val="24"/>
        </w:rPr>
        <w:t xml:space="preserve"> or (b) </w:t>
      </w:r>
      <w:r>
        <w:rPr>
          <w:rFonts w:ascii="Times New Roman" w:hAnsi="Times New Roman" w:cs="Times New Roman"/>
          <w:b/>
          <w:sz w:val="24"/>
          <w:szCs w:val="24"/>
        </w:rPr>
        <w:t xml:space="preserve">employment </w:t>
      </w:r>
      <w:r w:rsidRPr="00984933">
        <w:rPr>
          <w:rFonts w:ascii="Times New Roman" w:hAnsi="Times New Roman" w:cs="Times New Roman"/>
          <w:b/>
          <w:sz w:val="24"/>
          <w:szCs w:val="24"/>
          <w:u w:val="single"/>
        </w:rPr>
        <w:t>not</w:t>
      </w:r>
      <w:r>
        <w:rPr>
          <w:rFonts w:ascii="Times New Roman" w:hAnsi="Times New Roman" w:cs="Times New Roman"/>
          <w:b/>
          <w:sz w:val="24"/>
          <w:szCs w:val="24"/>
        </w:rPr>
        <w:t xml:space="preserve"> covered, but concerning which the person or entity has opted or elected to be covered</w:t>
      </w:r>
      <w:r w:rsidRPr="00112C9C">
        <w:rPr>
          <w:rFonts w:ascii="Times New Roman" w:hAnsi="Times New Roman" w:cs="Times New Roman"/>
          <w:bCs/>
          <w:sz w:val="24"/>
          <w:szCs w:val="24"/>
          <w:vertAlign w:val="superscript"/>
        </w:rPr>
        <w:footnoteReference w:id="137"/>
      </w:r>
      <w:r w:rsidRPr="00984933">
        <w:rPr>
          <w:rFonts w:ascii="Times New Roman" w:hAnsi="Times New Roman" w:cs="Times New Roman"/>
          <w:b/>
          <w:sz w:val="24"/>
          <w:szCs w:val="24"/>
        </w:rPr>
        <w:t xml:space="preserve"> </w:t>
      </w:r>
      <w:r>
        <w:rPr>
          <w:rFonts w:ascii="Times New Roman" w:hAnsi="Times New Roman" w:cs="Times New Roman"/>
          <w:sz w:val="24"/>
          <w:szCs w:val="24"/>
        </w:rPr>
        <w:t xml:space="preserve">(for the purpose, for example, of securing tort immunity). </w:t>
      </w:r>
    </w:p>
    <w:p w14:paraId="214B7144" w14:textId="77777777" w:rsidR="00FF7482" w:rsidRDefault="00FF7482" w:rsidP="00FE123E">
      <w:pPr>
        <w:spacing w:after="0" w:line="240" w:lineRule="auto"/>
        <w:jc w:val="both"/>
        <w:rPr>
          <w:rFonts w:ascii="Times New Roman" w:hAnsi="Times New Roman" w:cs="Times New Roman"/>
          <w:sz w:val="24"/>
          <w:szCs w:val="24"/>
        </w:rPr>
      </w:pPr>
    </w:p>
    <w:p w14:paraId="10AA2C87" w14:textId="2337DDF2" w:rsidR="00FF7482" w:rsidRPr="00050E85" w:rsidRDefault="00FF7482" w:rsidP="00ED25A2">
      <w:pPr>
        <w:pStyle w:val="Heading2"/>
        <w:rPr>
          <w:rFonts w:ascii="Times New Roman" w:hAnsi="Times New Roman" w:cs="Times New Roman"/>
          <w:b/>
          <w:color w:val="auto"/>
        </w:rPr>
      </w:pPr>
      <w:bookmarkStart w:id="185" w:name="_Toc75269356"/>
      <w:r>
        <w:rPr>
          <w:rFonts w:ascii="Times New Roman" w:hAnsi="Times New Roman" w:cs="Times New Roman"/>
          <w:b/>
          <w:color w:val="auto"/>
        </w:rPr>
        <w:t>Wyoming-</w:t>
      </w:r>
      <w:r w:rsidRPr="00050E85">
        <w:rPr>
          <w:rFonts w:ascii="Times New Roman" w:hAnsi="Times New Roman" w:cs="Times New Roman"/>
          <w:b/>
          <w:color w:val="auto"/>
        </w:rPr>
        <w:t xml:space="preserve">Specific </w:t>
      </w:r>
      <w:r>
        <w:rPr>
          <w:rFonts w:ascii="Times New Roman" w:hAnsi="Times New Roman" w:cs="Times New Roman"/>
          <w:b/>
          <w:color w:val="auto"/>
        </w:rPr>
        <w:t xml:space="preserve">Employer </w:t>
      </w:r>
      <w:r w:rsidRPr="00050E85">
        <w:rPr>
          <w:rFonts w:ascii="Times New Roman" w:hAnsi="Times New Roman" w:cs="Times New Roman"/>
          <w:b/>
          <w:color w:val="auto"/>
        </w:rPr>
        <w:t>Inclusions</w:t>
      </w:r>
      <w:bookmarkEnd w:id="185"/>
    </w:p>
    <w:p w14:paraId="2C53A437" w14:textId="77777777" w:rsidR="00FF7482" w:rsidRPr="00050E85" w:rsidRDefault="00FF7482" w:rsidP="00FB7728">
      <w:pPr>
        <w:spacing w:after="0"/>
      </w:pPr>
    </w:p>
    <w:p w14:paraId="1650B323" w14:textId="72B0A63C"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In addition to the </w:t>
      </w:r>
      <w:r w:rsidRPr="00984933">
        <w:rPr>
          <w:rFonts w:ascii="Times New Roman" w:hAnsi="Times New Roman" w:cs="Times New Roman"/>
          <w:i/>
          <w:sz w:val="24"/>
          <w:szCs w:val="24"/>
        </w:rPr>
        <w:t xml:space="preserve">general </w:t>
      </w:r>
      <w:r>
        <w:rPr>
          <w:rFonts w:ascii="Times New Roman" w:hAnsi="Times New Roman" w:cs="Times New Roman"/>
          <w:sz w:val="24"/>
          <w:szCs w:val="24"/>
        </w:rPr>
        <w:t xml:space="preserve">definition of “employer” set out in the preceding section, the Wyoming statute, also in </w:t>
      </w:r>
      <w:r w:rsidRPr="004B3D99">
        <w:rPr>
          <w:rFonts w:ascii="Times New Roman" w:hAnsi="Times New Roman" w:cs="Times New Roman"/>
          <w:sz w:val="24"/>
          <w:szCs w:val="24"/>
        </w:rPr>
        <w:t xml:space="preserve">W.S. § </w:t>
      </w:r>
      <w:hyperlink r:id="rId42" w:history="1">
        <w:r w:rsidRPr="004B3D99">
          <w:rPr>
            <w:rStyle w:val="Hyperlink"/>
            <w:rFonts w:ascii="Times New Roman" w:hAnsi="Times New Roman" w:cs="Times New Roman"/>
            <w:sz w:val="24"/>
            <w:szCs w:val="24"/>
          </w:rPr>
          <w:t>27-14-102</w:t>
        </w:r>
      </w:hyperlink>
      <w:r>
        <w:rPr>
          <w:rFonts w:ascii="Times New Roman" w:hAnsi="Times New Roman" w:cs="Times New Roman"/>
          <w:sz w:val="24"/>
          <w:szCs w:val="24"/>
        </w:rPr>
        <w:t>(a)(vii</w:t>
      </w:r>
      <w:r w:rsidRPr="003E02D8">
        <w:rPr>
          <w:rFonts w:ascii="Times New Roman" w:hAnsi="Times New Roman" w:cs="Times New Roman"/>
          <w:sz w:val="24"/>
          <w:szCs w:val="24"/>
        </w:rPr>
        <w:t>)</w:t>
      </w:r>
      <w:r>
        <w:rPr>
          <w:rFonts w:ascii="Times New Roman" w:hAnsi="Times New Roman" w:cs="Times New Roman"/>
          <w:sz w:val="24"/>
          <w:szCs w:val="24"/>
        </w:rPr>
        <w:t xml:space="preserve">, specifically </w:t>
      </w:r>
      <w:r w:rsidRPr="00714BDC">
        <w:rPr>
          <w:rFonts w:ascii="Times New Roman" w:hAnsi="Times New Roman" w:cs="Times New Roman"/>
          <w:b/>
          <w:bCs/>
          <w:sz w:val="24"/>
          <w:szCs w:val="24"/>
          <w:u w:val="single"/>
        </w:rPr>
        <w:t>mandates that certain entities be designated statutory employers</w:t>
      </w:r>
      <w:r>
        <w:rPr>
          <w:rFonts w:ascii="Times New Roman" w:hAnsi="Times New Roman" w:cs="Times New Roman"/>
          <w:sz w:val="24"/>
          <w:szCs w:val="24"/>
        </w:rPr>
        <w:t>. The statutory language sets out the particulars:</w:t>
      </w:r>
    </w:p>
    <w:p w14:paraId="2FF4A199" w14:textId="26B7946B" w:rsidR="00FF7482" w:rsidRDefault="00FF7482" w:rsidP="00ED25A2">
      <w:pPr>
        <w:spacing w:after="0"/>
        <w:ind w:right="720"/>
        <w:jc w:val="both"/>
        <w:rPr>
          <w:rFonts w:ascii="Times New Roman" w:hAnsi="Times New Roman" w:cs="Times New Roman"/>
          <w:sz w:val="24"/>
          <w:szCs w:val="24"/>
        </w:rPr>
      </w:pPr>
    </w:p>
    <w:p w14:paraId="391F6E67" w14:textId="643B03D9" w:rsidR="00ED25A2" w:rsidRPr="00747195" w:rsidRDefault="00ED25A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w:t>
      </w:r>
      <w:r>
        <w:rPr>
          <w:rFonts w:ascii="Times New Roman" w:hAnsi="Times New Roman" w:cs="Times New Roman"/>
          <w:sz w:val="24"/>
          <w:szCs w:val="24"/>
        </w:rPr>
        <w:t>A</w:t>
      </w:r>
      <w:r w:rsidRPr="00747195">
        <w:rPr>
          <w:rFonts w:ascii="Times New Roman" w:hAnsi="Times New Roman" w:cs="Times New Roman"/>
          <w:sz w:val="24"/>
          <w:szCs w:val="24"/>
        </w:rPr>
        <w:t xml:space="preserve">) </w:t>
      </w:r>
      <w:r>
        <w:rPr>
          <w:rFonts w:ascii="Times New Roman" w:hAnsi="Times New Roman" w:cs="Times New Roman"/>
          <w:sz w:val="24"/>
          <w:szCs w:val="24"/>
        </w:rPr>
        <w:t>Repealed</w:t>
      </w:r>
    </w:p>
    <w:p w14:paraId="56E8477D" w14:textId="77777777"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(B) The </w:t>
      </w:r>
      <w:r w:rsidRPr="00984933">
        <w:rPr>
          <w:rFonts w:ascii="Times New Roman" w:hAnsi="Times New Roman" w:cs="Times New Roman"/>
          <w:b/>
          <w:sz w:val="24"/>
          <w:szCs w:val="24"/>
        </w:rPr>
        <w:t>governmental entity for which recipients of public assistance perform work</w:t>
      </w:r>
      <w:r w:rsidRPr="00747195">
        <w:rPr>
          <w:rFonts w:ascii="Times New Roman" w:hAnsi="Times New Roman" w:cs="Times New Roman"/>
          <w:sz w:val="24"/>
          <w:szCs w:val="24"/>
        </w:rPr>
        <w:t xml:space="preserve"> if that work does not otherwise establish a covered employer and employee relationship;</w:t>
      </w:r>
    </w:p>
    <w:p w14:paraId="280B5845" w14:textId="5B38C85E"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(C) The </w:t>
      </w:r>
      <w:r w:rsidRPr="00984933">
        <w:rPr>
          <w:rFonts w:ascii="Times New Roman" w:hAnsi="Times New Roman" w:cs="Times New Roman"/>
          <w:b/>
          <w:sz w:val="24"/>
          <w:szCs w:val="24"/>
        </w:rPr>
        <w:t>governmental entity for which volunteers perform the specified volunteer activities</w:t>
      </w:r>
      <w:r w:rsidRPr="00747195">
        <w:rPr>
          <w:rFonts w:ascii="Times New Roman" w:hAnsi="Times New Roman" w:cs="Times New Roman"/>
          <w:sz w:val="24"/>
          <w:szCs w:val="24"/>
        </w:rPr>
        <w:t xml:space="preserve"> under </w:t>
      </w:r>
      <w:r w:rsidRPr="004B3D99">
        <w:rPr>
          <w:rFonts w:ascii="Times New Roman" w:hAnsi="Times New Roman" w:cs="Times New Roman"/>
          <w:sz w:val="24"/>
          <w:szCs w:val="24"/>
        </w:rPr>
        <w:t xml:space="preserve">W.S. § </w:t>
      </w:r>
      <w:hyperlink r:id="rId43" w:history="1">
        <w:r w:rsidRPr="004B3D99">
          <w:rPr>
            <w:rStyle w:val="Hyperlink"/>
            <w:rFonts w:ascii="Times New Roman" w:hAnsi="Times New Roman" w:cs="Times New Roman"/>
            <w:sz w:val="24"/>
            <w:szCs w:val="24"/>
          </w:rPr>
          <w:t>27-14-108</w:t>
        </w:r>
      </w:hyperlink>
      <w:r w:rsidRPr="00747195">
        <w:rPr>
          <w:rFonts w:ascii="Times New Roman" w:hAnsi="Times New Roman" w:cs="Times New Roman"/>
          <w:sz w:val="24"/>
          <w:szCs w:val="24"/>
        </w:rPr>
        <w:t>(e);</w:t>
      </w:r>
    </w:p>
    <w:p w14:paraId="564626BB" w14:textId="0AADD84D"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(D) The </w:t>
      </w:r>
      <w:r w:rsidRPr="00984933">
        <w:rPr>
          <w:rFonts w:ascii="Times New Roman" w:hAnsi="Times New Roman" w:cs="Times New Roman"/>
          <w:b/>
          <w:sz w:val="24"/>
          <w:szCs w:val="24"/>
        </w:rPr>
        <w:t>governmental entity for which prisoners and probationers work or perform community service</w:t>
      </w:r>
      <w:r w:rsidRPr="00747195">
        <w:rPr>
          <w:rFonts w:ascii="Times New Roman" w:hAnsi="Times New Roman" w:cs="Times New Roman"/>
          <w:sz w:val="24"/>
          <w:szCs w:val="24"/>
        </w:rPr>
        <w:t xml:space="preserve"> under </w:t>
      </w:r>
      <w:r w:rsidRPr="004B3D99">
        <w:rPr>
          <w:rFonts w:ascii="Times New Roman" w:hAnsi="Times New Roman" w:cs="Times New Roman"/>
          <w:sz w:val="24"/>
          <w:szCs w:val="24"/>
        </w:rPr>
        <w:t xml:space="preserve">W.S. § </w:t>
      </w:r>
      <w:hyperlink r:id="rId44" w:history="1">
        <w:r w:rsidRPr="004B3D99">
          <w:rPr>
            <w:rStyle w:val="Hyperlink"/>
            <w:rFonts w:ascii="Times New Roman" w:hAnsi="Times New Roman" w:cs="Times New Roman"/>
            <w:sz w:val="24"/>
            <w:szCs w:val="24"/>
          </w:rPr>
          <w:t>27-14-108</w:t>
        </w:r>
      </w:hyperlink>
      <w:r w:rsidRPr="00747195">
        <w:rPr>
          <w:rFonts w:ascii="Times New Roman" w:hAnsi="Times New Roman" w:cs="Times New Roman"/>
          <w:sz w:val="24"/>
          <w:szCs w:val="24"/>
        </w:rPr>
        <w:t>(d)(ix) or (xv);</w:t>
      </w:r>
    </w:p>
    <w:p w14:paraId="5C48C1B4" w14:textId="77777777"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(E) An </w:t>
      </w:r>
      <w:r w:rsidRPr="00984933">
        <w:rPr>
          <w:rFonts w:ascii="Times New Roman" w:hAnsi="Times New Roman" w:cs="Times New Roman"/>
          <w:b/>
          <w:sz w:val="24"/>
          <w:szCs w:val="24"/>
        </w:rPr>
        <w:t>owner-operator of a mine at which any mine rescue operation or training occurs</w:t>
      </w:r>
      <w:r w:rsidRPr="00747195">
        <w:rPr>
          <w:rFonts w:ascii="Times New Roman" w:hAnsi="Times New Roman" w:cs="Times New Roman"/>
          <w:sz w:val="24"/>
          <w:szCs w:val="24"/>
        </w:rPr>
        <w:t>;</w:t>
      </w:r>
    </w:p>
    <w:p w14:paraId="6E3BF433" w14:textId="77777777"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(F) A </w:t>
      </w:r>
      <w:r w:rsidRPr="00984933">
        <w:rPr>
          <w:rFonts w:ascii="Times New Roman" w:hAnsi="Times New Roman" w:cs="Times New Roman"/>
          <w:b/>
          <w:sz w:val="24"/>
          <w:szCs w:val="24"/>
        </w:rPr>
        <w:t>temporary service contractor for a temporary worker</w:t>
      </w:r>
      <w:r w:rsidRPr="00747195">
        <w:rPr>
          <w:rFonts w:ascii="Times New Roman" w:hAnsi="Times New Roman" w:cs="Times New Roman"/>
          <w:sz w:val="24"/>
          <w:szCs w:val="24"/>
        </w:rPr>
        <w:t>;</w:t>
      </w:r>
    </w:p>
    <w:p w14:paraId="0D143241" w14:textId="77777777"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(G) Any </w:t>
      </w:r>
      <w:r w:rsidRPr="008871FC">
        <w:rPr>
          <w:rFonts w:ascii="Times New Roman" w:hAnsi="Times New Roman" w:cs="Times New Roman"/>
          <w:b/>
          <w:sz w:val="24"/>
          <w:szCs w:val="24"/>
        </w:rPr>
        <w:t>person, contractor, firm, association or corporation</w:t>
      </w:r>
      <w:r w:rsidRPr="00747195">
        <w:rPr>
          <w:rFonts w:ascii="Times New Roman" w:hAnsi="Times New Roman" w:cs="Times New Roman"/>
          <w:sz w:val="24"/>
          <w:szCs w:val="24"/>
        </w:rPr>
        <w:t xml:space="preserve"> </w:t>
      </w:r>
      <w:r w:rsidRPr="008871FC">
        <w:rPr>
          <w:rFonts w:ascii="Times New Roman" w:hAnsi="Times New Roman" w:cs="Times New Roman"/>
          <w:b/>
          <w:sz w:val="24"/>
          <w:szCs w:val="24"/>
        </w:rPr>
        <w:t>otherwise qualifying</w:t>
      </w:r>
      <w:r w:rsidRPr="00747195">
        <w:rPr>
          <w:rFonts w:ascii="Times New Roman" w:hAnsi="Times New Roman" w:cs="Times New Roman"/>
          <w:sz w:val="24"/>
          <w:szCs w:val="24"/>
        </w:rPr>
        <w:t xml:space="preserve"> under this paragraph </w:t>
      </w:r>
      <w:r w:rsidRPr="008871FC">
        <w:rPr>
          <w:rFonts w:ascii="Times New Roman" w:hAnsi="Times New Roman" w:cs="Times New Roman"/>
          <w:b/>
          <w:sz w:val="24"/>
          <w:szCs w:val="24"/>
        </w:rPr>
        <w:t xml:space="preserve">as an employer </w:t>
      </w:r>
      <w:r w:rsidRPr="00747195">
        <w:rPr>
          <w:rFonts w:ascii="Times New Roman" w:hAnsi="Times New Roman" w:cs="Times New Roman"/>
          <w:sz w:val="24"/>
          <w:szCs w:val="24"/>
        </w:rPr>
        <w:t xml:space="preserve">and </w:t>
      </w:r>
      <w:r w:rsidRPr="008871FC">
        <w:rPr>
          <w:rFonts w:ascii="Times New Roman" w:hAnsi="Times New Roman" w:cs="Times New Roman"/>
          <w:b/>
          <w:sz w:val="24"/>
          <w:szCs w:val="24"/>
        </w:rPr>
        <w:t>who utilizes the services of a worker furnished by another contractor, joint employer, firm, association, person or corporation</w:t>
      </w:r>
      <w:r w:rsidRPr="00747195">
        <w:rPr>
          <w:rFonts w:ascii="Times New Roman" w:hAnsi="Times New Roman" w:cs="Times New Roman"/>
          <w:sz w:val="24"/>
          <w:szCs w:val="24"/>
        </w:rPr>
        <w:t xml:space="preserve"> other than a temporary service contractor, joint employer, independent contractor or owner and operator excluded as an employee under subparagraph (a)(vii)(O) of this section;</w:t>
      </w:r>
    </w:p>
    <w:p w14:paraId="5AD8A67A" w14:textId="6E55B463" w:rsidR="00FF7482" w:rsidRPr="00747195" w:rsidRDefault="00FF7482" w:rsidP="000E29EB">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(H) Any </w:t>
      </w:r>
      <w:r w:rsidRPr="008871FC">
        <w:rPr>
          <w:rFonts w:ascii="Times New Roman" w:hAnsi="Times New Roman" w:cs="Times New Roman"/>
          <w:b/>
          <w:sz w:val="24"/>
          <w:szCs w:val="24"/>
        </w:rPr>
        <w:t>employer otherwise qualifying</w:t>
      </w:r>
      <w:r w:rsidRPr="00747195">
        <w:rPr>
          <w:rFonts w:ascii="Times New Roman" w:hAnsi="Times New Roman" w:cs="Times New Roman"/>
          <w:sz w:val="24"/>
          <w:szCs w:val="24"/>
        </w:rPr>
        <w:t xml:space="preserve"> under this paragraph as an employer </w:t>
      </w:r>
      <w:r w:rsidRPr="008871FC">
        <w:rPr>
          <w:rFonts w:ascii="Times New Roman" w:hAnsi="Times New Roman" w:cs="Times New Roman"/>
          <w:b/>
          <w:sz w:val="24"/>
          <w:szCs w:val="24"/>
        </w:rPr>
        <w:t>and participating in a school-to-work program</w:t>
      </w:r>
      <w:r w:rsidRPr="00747195">
        <w:rPr>
          <w:rFonts w:ascii="Times New Roman" w:hAnsi="Times New Roman" w:cs="Times New Roman"/>
          <w:sz w:val="24"/>
          <w:szCs w:val="24"/>
        </w:rPr>
        <w:t xml:space="preserve"> approved by the department of workforce services, any local school </w:t>
      </w:r>
      <w:r w:rsidRPr="00747195">
        <w:rPr>
          <w:rFonts w:ascii="Times New Roman" w:hAnsi="Times New Roman" w:cs="Times New Roman"/>
          <w:sz w:val="24"/>
          <w:szCs w:val="24"/>
        </w:rPr>
        <w:lastRenderedPageBreak/>
        <w:t xml:space="preserve">district board of trustees, community college district board of trustees or the department of education, and the employer previously elected coverage in writing pursuant to </w:t>
      </w:r>
      <w:r w:rsidRPr="004B3D99">
        <w:rPr>
          <w:rFonts w:ascii="Times New Roman" w:hAnsi="Times New Roman" w:cs="Times New Roman"/>
          <w:sz w:val="24"/>
          <w:szCs w:val="24"/>
        </w:rPr>
        <w:t xml:space="preserve">W.S. § </w:t>
      </w:r>
      <w:hyperlink r:id="rId45" w:history="1">
        <w:r w:rsidRPr="004B3D99">
          <w:rPr>
            <w:rStyle w:val="Hyperlink"/>
            <w:rFonts w:ascii="Times New Roman" w:hAnsi="Times New Roman" w:cs="Times New Roman"/>
            <w:sz w:val="24"/>
            <w:szCs w:val="24"/>
          </w:rPr>
          <w:t>27-14-108</w:t>
        </w:r>
      </w:hyperlink>
      <w:r w:rsidRPr="00747195">
        <w:rPr>
          <w:rFonts w:ascii="Times New Roman" w:hAnsi="Times New Roman" w:cs="Times New Roman"/>
          <w:sz w:val="24"/>
          <w:szCs w:val="24"/>
        </w:rPr>
        <w:t>(m);</w:t>
      </w:r>
    </w:p>
    <w:p w14:paraId="44777F5F" w14:textId="2AE3A2C8" w:rsidR="00FF7482" w:rsidRPr="00747195" w:rsidRDefault="00FF7482" w:rsidP="00ED25A2">
      <w:pPr>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(J) </w:t>
      </w:r>
      <w:r w:rsidRPr="008871FC">
        <w:rPr>
          <w:rFonts w:ascii="Times New Roman" w:hAnsi="Times New Roman" w:cs="Times New Roman"/>
          <w:b/>
          <w:sz w:val="24"/>
          <w:szCs w:val="24"/>
        </w:rPr>
        <w:t xml:space="preserve">Any corporation, limited liability company, partnership or sole proprietorship </w:t>
      </w:r>
      <w:r w:rsidRPr="008871FC">
        <w:rPr>
          <w:rFonts w:ascii="Times New Roman" w:hAnsi="Times New Roman" w:cs="Times New Roman"/>
          <w:b/>
          <w:sz w:val="24"/>
          <w:szCs w:val="24"/>
          <w:u w:val="single"/>
        </w:rPr>
        <w:t>electing</w:t>
      </w:r>
      <w:r w:rsidRPr="008871FC">
        <w:rPr>
          <w:rFonts w:ascii="Times New Roman" w:hAnsi="Times New Roman" w:cs="Times New Roman"/>
          <w:b/>
          <w:sz w:val="24"/>
          <w:szCs w:val="24"/>
        </w:rPr>
        <w:t xml:space="preserve"> coverage</w:t>
      </w:r>
      <w:r w:rsidRPr="00747195">
        <w:rPr>
          <w:rFonts w:ascii="Times New Roman" w:hAnsi="Times New Roman" w:cs="Times New Roman"/>
          <w:sz w:val="24"/>
          <w:szCs w:val="24"/>
        </w:rPr>
        <w:t xml:space="preserve"> pursuant to </w:t>
      </w:r>
      <w:r w:rsidRPr="004B3D99">
        <w:rPr>
          <w:rFonts w:ascii="Times New Roman" w:hAnsi="Times New Roman" w:cs="Times New Roman"/>
          <w:sz w:val="24"/>
          <w:szCs w:val="24"/>
        </w:rPr>
        <w:t xml:space="preserve">W.S. § </w:t>
      </w:r>
      <w:hyperlink r:id="rId46" w:history="1">
        <w:r w:rsidRPr="004B3D99">
          <w:rPr>
            <w:rStyle w:val="Hyperlink"/>
            <w:rFonts w:ascii="Times New Roman" w:hAnsi="Times New Roman" w:cs="Times New Roman"/>
            <w:sz w:val="24"/>
            <w:szCs w:val="24"/>
          </w:rPr>
          <w:t>27-14-108</w:t>
        </w:r>
      </w:hyperlink>
      <w:r w:rsidRPr="00747195">
        <w:rPr>
          <w:rFonts w:ascii="Times New Roman" w:hAnsi="Times New Roman" w:cs="Times New Roman"/>
          <w:sz w:val="24"/>
          <w:szCs w:val="24"/>
        </w:rPr>
        <w:t xml:space="preserve">(k), </w:t>
      </w:r>
      <w:r w:rsidRPr="008871FC">
        <w:rPr>
          <w:rFonts w:ascii="Times New Roman" w:hAnsi="Times New Roman" w:cs="Times New Roman"/>
          <w:b/>
          <w:sz w:val="24"/>
          <w:szCs w:val="24"/>
        </w:rPr>
        <w:t>whether or not the corporation, limited liability company, partnership or sole proprietorship has other employees covered by this act</w:t>
      </w:r>
      <w:r w:rsidRPr="008871FC">
        <w:rPr>
          <w:rFonts w:ascii="Times New Roman" w:hAnsi="Times New Roman" w:cs="Times New Roman"/>
          <w:sz w:val="24"/>
          <w:szCs w:val="24"/>
        </w:rPr>
        <w:t>;</w:t>
      </w:r>
    </w:p>
    <w:p w14:paraId="11E33A28" w14:textId="79B7982D" w:rsidR="00FF7482" w:rsidRDefault="00FF7482" w:rsidP="00ED25A2">
      <w:pPr>
        <w:spacing w:after="0"/>
        <w:ind w:left="720" w:right="720"/>
        <w:jc w:val="both"/>
        <w:rPr>
          <w:rFonts w:ascii="Times New Roman" w:hAnsi="Times New Roman" w:cs="Times New Roman"/>
          <w:sz w:val="24"/>
          <w:szCs w:val="24"/>
        </w:rPr>
      </w:pPr>
      <w:r w:rsidRPr="00747195">
        <w:rPr>
          <w:rFonts w:ascii="Times New Roman" w:hAnsi="Times New Roman" w:cs="Times New Roman"/>
          <w:sz w:val="24"/>
          <w:szCs w:val="24"/>
        </w:rPr>
        <w:t xml:space="preserve">(K) A </w:t>
      </w:r>
      <w:r w:rsidRPr="008871FC">
        <w:rPr>
          <w:rFonts w:ascii="Times New Roman" w:hAnsi="Times New Roman" w:cs="Times New Roman"/>
          <w:b/>
          <w:sz w:val="24"/>
          <w:szCs w:val="24"/>
        </w:rPr>
        <w:t>collective group of county governments or county governmental entities</w:t>
      </w:r>
      <w:r w:rsidRPr="00747195">
        <w:rPr>
          <w:rFonts w:ascii="Times New Roman" w:hAnsi="Times New Roman" w:cs="Times New Roman"/>
          <w:sz w:val="24"/>
          <w:szCs w:val="24"/>
        </w:rPr>
        <w:t xml:space="preserve"> as specified under </w:t>
      </w:r>
      <w:r w:rsidRPr="004B3D99">
        <w:rPr>
          <w:rFonts w:ascii="Times New Roman" w:hAnsi="Times New Roman" w:cs="Times New Roman"/>
          <w:sz w:val="24"/>
          <w:szCs w:val="24"/>
        </w:rPr>
        <w:t xml:space="preserve">W.S. § </w:t>
      </w:r>
      <w:hyperlink r:id="rId47" w:history="1">
        <w:r w:rsidRPr="004B3D99">
          <w:rPr>
            <w:rStyle w:val="Hyperlink"/>
            <w:rFonts w:ascii="Times New Roman" w:hAnsi="Times New Roman" w:cs="Times New Roman"/>
            <w:sz w:val="24"/>
            <w:szCs w:val="24"/>
          </w:rPr>
          <w:t>27-14-109</w:t>
        </w:r>
      </w:hyperlink>
      <w:r w:rsidRPr="004B3D99">
        <w:rPr>
          <w:rFonts w:ascii="Times New Roman" w:hAnsi="Times New Roman" w:cs="Times New Roman"/>
          <w:sz w:val="24"/>
          <w:szCs w:val="24"/>
        </w:rPr>
        <w:t>.</w:t>
      </w:r>
      <w:r>
        <w:rPr>
          <w:rFonts w:ascii="Times New Roman" w:hAnsi="Times New Roman" w:cs="Times New Roman"/>
          <w:sz w:val="24"/>
          <w:szCs w:val="24"/>
        </w:rPr>
        <w:t xml:space="preserve"> </w:t>
      </w:r>
    </w:p>
    <w:p w14:paraId="63A36B30" w14:textId="77777777" w:rsidR="00FF7482" w:rsidRDefault="00FF7482" w:rsidP="00ED25A2">
      <w:pPr>
        <w:spacing w:after="0"/>
        <w:ind w:right="720"/>
        <w:jc w:val="both"/>
        <w:rPr>
          <w:rFonts w:ascii="Times New Roman" w:hAnsi="Times New Roman" w:cs="Times New Roman"/>
          <w:sz w:val="24"/>
          <w:szCs w:val="24"/>
        </w:rPr>
      </w:pPr>
    </w:p>
    <w:p w14:paraId="170DD7DF" w14:textId="7BD6DC94" w:rsidR="00FF7482" w:rsidRPr="00050E85" w:rsidRDefault="00FF7482" w:rsidP="00ED25A2">
      <w:pPr>
        <w:pStyle w:val="Heading2"/>
        <w:rPr>
          <w:rFonts w:ascii="Times New Roman" w:hAnsi="Times New Roman" w:cs="Times New Roman"/>
          <w:b/>
          <w:color w:val="auto"/>
        </w:rPr>
      </w:pPr>
      <w:bookmarkStart w:id="186" w:name="_Hlk20410323"/>
      <w:bookmarkStart w:id="187" w:name="_Toc75269357"/>
      <w:r w:rsidRPr="00050E85">
        <w:rPr>
          <w:rFonts w:ascii="Times New Roman" w:hAnsi="Times New Roman" w:cs="Times New Roman"/>
          <w:b/>
          <w:color w:val="auto"/>
        </w:rPr>
        <w:t>Employers</w:t>
      </w:r>
      <w:r>
        <w:rPr>
          <w:rFonts w:ascii="Times New Roman" w:hAnsi="Times New Roman" w:cs="Times New Roman"/>
          <w:b/>
          <w:color w:val="auto"/>
        </w:rPr>
        <w:t xml:space="preserve"> in Wyoming Sometimes Not Specifically Defined</w:t>
      </w:r>
      <w:bookmarkEnd w:id="186"/>
      <w:bookmarkEnd w:id="187"/>
      <w:r w:rsidRPr="00050E85">
        <w:rPr>
          <w:rFonts w:ascii="Times New Roman" w:hAnsi="Times New Roman" w:cs="Times New Roman"/>
          <w:b/>
          <w:color w:val="auto"/>
        </w:rPr>
        <w:tab/>
      </w:r>
    </w:p>
    <w:p w14:paraId="7B8C99A4" w14:textId="77777777" w:rsidR="00FF7482" w:rsidRPr="00050E85" w:rsidRDefault="00FF7482" w:rsidP="00FB7728">
      <w:pPr>
        <w:spacing w:after="0"/>
      </w:pPr>
    </w:p>
    <w:p w14:paraId="292923CB" w14:textId="64266545" w:rsidR="001C6E28"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Under this complicated employer structure, </w:t>
      </w:r>
      <w:r w:rsidRPr="004F5E2C">
        <w:rPr>
          <w:rFonts w:ascii="Times New Roman" w:hAnsi="Times New Roman" w:cs="Times New Roman"/>
          <w:b/>
          <w:bCs/>
          <w:sz w:val="24"/>
          <w:szCs w:val="24"/>
        </w:rPr>
        <w:t>“</w:t>
      </w:r>
      <w:r w:rsidRPr="003E02D8">
        <w:rPr>
          <w:rFonts w:ascii="Times New Roman" w:hAnsi="Times New Roman" w:cs="Times New Roman"/>
          <w:b/>
          <w:bCs/>
          <w:sz w:val="24"/>
          <w:szCs w:val="24"/>
        </w:rPr>
        <w:t>unless specifically defined by the legislature, the enumerated types of extrahazardous occupations or employees are to embrace jobs that reasonably and liberally fit a description</w:t>
      </w:r>
      <w:r w:rsidRPr="004F5E2C">
        <w:rPr>
          <w:rFonts w:ascii="Times New Roman" w:hAnsi="Times New Roman" w:cs="Times New Roman"/>
          <w:b/>
          <w:bCs/>
          <w:sz w:val="24"/>
          <w:szCs w:val="24"/>
        </w:rPr>
        <w:t>,”</w:t>
      </w:r>
      <w:r w:rsidRPr="00112C9C">
        <w:rPr>
          <w:rFonts w:ascii="Times New Roman" w:hAnsi="Times New Roman" w:cs="Times New Roman"/>
          <w:sz w:val="24"/>
          <w:szCs w:val="24"/>
          <w:vertAlign w:val="superscript"/>
        </w:rPr>
        <w:footnoteReference w:id="138"/>
      </w:r>
      <w:r>
        <w:rPr>
          <w:rFonts w:ascii="Times New Roman" w:hAnsi="Times New Roman" w:cs="Times New Roman"/>
          <w:sz w:val="24"/>
          <w:szCs w:val="24"/>
        </w:rPr>
        <w:t xml:space="preserve"> effectively rendering those employing employees in those “fitted” occupations “employers</w:t>
      </w:r>
      <w:r w:rsidRPr="007A3C72">
        <w:rPr>
          <w:rFonts w:ascii="Times New Roman" w:hAnsi="Times New Roman" w:cs="Times New Roman"/>
          <w:sz w:val="24"/>
          <w:szCs w:val="24"/>
        </w:rPr>
        <w:t>.</w:t>
      </w:r>
      <w:r>
        <w:rPr>
          <w:rFonts w:ascii="Times New Roman" w:hAnsi="Times New Roman" w:cs="Times New Roman"/>
          <w:sz w:val="24"/>
          <w:szCs w:val="24"/>
        </w:rPr>
        <w:t>”</w:t>
      </w:r>
    </w:p>
    <w:p w14:paraId="561A0F99" w14:textId="77777777" w:rsidR="00FF7482" w:rsidRDefault="00FF7482" w:rsidP="006A3226">
      <w:pPr>
        <w:spacing w:after="0" w:line="240" w:lineRule="auto"/>
        <w:jc w:val="both"/>
        <w:rPr>
          <w:rFonts w:ascii="Times New Roman" w:hAnsi="Times New Roman" w:cs="Times New Roman"/>
          <w:sz w:val="24"/>
          <w:szCs w:val="24"/>
        </w:rPr>
      </w:pPr>
    </w:p>
    <w:p w14:paraId="6B7AE50C" w14:textId="5292C38E" w:rsidR="00FF7482" w:rsidRPr="00050E85" w:rsidRDefault="00FF7482" w:rsidP="00ED25A2">
      <w:pPr>
        <w:pStyle w:val="Heading2"/>
        <w:rPr>
          <w:rFonts w:ascii="Times New Roman" w:hAnsi="Times New Roman" w:cs="Times New Roman"/>
          <w:b/>
          <w:color w:val="auto"/>
        </w:rPr>
      </w:pPr>
      <w:bookmarkStart w:id="189" w:name="_Toc75269358"/>
      <w:r w:rsidRPr="00050E85">
        <w:rPr>
          <w:rFonts w:ascii="Times New Roman" w:hAnsi="Times New Roman" w:cs="Times New Roman"/>
          <w:b/>
          <w:color w:val="auto"/>
        </w:rPr>
        <w:t xml:space="preserve">Contract of </w:t>
      </w:r>
      <w:r>
        <w:rPr>
          <w:rFonts w:ascii="Times New Roman" w:hAnsi="Times New Roman" w:cs="Times New Roman"/>
          <w:b/>
          <w:color w:val="auto"/>
        </w:rPr>
        <w:t>H</w:t>
      </w:r>
      <w:r w:rsidRPr="00050E85">
        <w:rPr>
          <w:rFonts w:ascii="Times New Roman" w:hAnsi="Times New Roman" w:cs="Times New Roman"/>
          <w:b/>
          <w:color w:val="auto"/>
        </w:rPr>
        <w:t>ire</w:t>
      </w:r>
      <w:r>
        <w:rPr>
          <w:rFonts w:ascii="Times New Roman" w:hAnsi="Times New Roman" w:cs="Times New Roman"/>
          <w:b/>
          <w:color w:val="auto"/>
        </w:rPr>
        <w:t xml:space="preserve"> in Wyoming</w:t>
      </w:r>
      <w:bookmarkEnd w:id="189"/>
    </w:p>
    <w:p w14:paraId="00193C8D" w14:textId="77777777" w:rsidR="00FF7482" w:rsidRPr="00050E85" w:rsidRDefault="00FF7482" w:rsidP="00FB7728">
      <w:pPr>
        <w:spacing w:after="0"/>
      </w:pPr>
    </w:p>
    <w:p w14:paraId="367E35A9" w14:textId="4A4F8874" w:rsidR="00FF7482" w:rsidRDefault="00FF7482" w:rsidP="00ED25A2">
      <w:pPr>
        <w:spacing w:after="0"/>
        <w:jc w:val="both"/>
        <w:rPr>
          <w:rFonts w:ascii="Times New Roman" w:hAnsi="Times New Roman" w:cs="Times New Roman"/>
          <w:sz w:val="24"/>
          <w:szCs w:val="24"/>
        </w:rPr>
      </w:pPr>
      <w:r w:rsidRPr="00D364E4">
        <w:rPr>
          <w:rFonts w:ascii="Times New Roman" w:hAnsi="Times New Roman" w:cs="Times New Roman"/>
          <w:sz w:val="24"/>
          <w:szCs w:val="24"/>
        </w:rPr>
        <w:t>Unlike the statutes of many jurisdictions</w:t>
      </w:r>
      <w:r>
        <w:rPr>
          <w:rFonts w:ascii="Times New Roman" w:hAnsi="Times New Roman" w:cs="Times New Roman"/>
          <w:sz w:val="24"/>
          <w:szCs w:val="24"/>
        </w:rPr>
        <w:t>,</w:t>
      </w:r>
      <w:r w:rsidRPr="00D364E4">
        <w:rPr>
          <w:rFonts w:ascii="Times New Roman" w:hAnsi="Times New Roman" w:cs="Times New Roman"/>
          <w:sz w:val="24"/>
          <w:szCs w:val="24"/>
        </w:rPr>
        <w:t xml:space="preserve"> </w:t>
      </w:r>
      <w:r w:rsidRPr="00D364E4">
        <w:rPr>
          <w:rFonts w:ascii="Times New Roman" w:hAnsi="Times New Roman" w:cs="Times New Roman"/>
          <w:b/>
          <w:sz w:val="24"/>
          <w:szCs w:val="24"/>
        </w:rPr>
        <w:t>Wyoming’s workers</w:t>
      </w:r>
      <w:r w:rsidR="004F5E2C">
        <w:rPr>
          <w:rFonts w:ascii="Times New Roman" w:hAnsi="Times New Roman" w:cs="Times New Roman"/>
          <w:b/>
          <w:sz w:val="24"/>
          <w:szCs w:val="24"/>
        </w:rPr>
        <w:t>’</w:t>
      </w:r>
      <w:r w:rsidRPr="00D364E4">
        <w:rPr>
          <w:rFonts w:ascii="Times New Roman" w:hAnsi="Times New Roman" w:cs="Times New Roman"/>
          <w:b/>
          <w:sz w:val="24"/>
          <w:szCs w:val="24"/>
        </w:rPr>
        <w:t xml:space="preserve"> compensation </w:t>
      </w:r>
      <w:r>
        <w:rPr>
          <w:rFonts w:ascii="Times New Roman" w:hAnsi="Times New Roman" w:cs="Times New Roman"/>
          <w:b/>
          <w:sz w:val="24"/>
          <w:szCs w:val="24"/>
        </w:rPr>
        <w:t>statute</w:t>
      </w:r>
      <w:r w:rsidRPr="00D364E4">
        <w:rPr>
          <w:rFonts w:ascii="Times New Roman" w:hAnsi="Times New Roman" w:cs="Times New Roman"/>
          <w:b/>
          <w:sz w:val="24"/>
          <w:szCs w:val="24"/>
        </w:rPr>
        <w:t xml:space="preserve"> does not contain an explicit, general “contract </w:t>
      </w:r>
      <w:r>
        <w:rPr>
          <w:rFonts w:ascii="Times New Roman" w:hAnsi="Times New Roman" w:cs="Times New Roman"/>
          <w:b/>
          <w:sz w:val="24"/>
          <w:szCs w:val="24"/>
        </w:rPr>
        <w:t>of</w:t>
      </w:r>
      <w:r w:rsidRPr="00D364E4">
        <w:rPr>
          <w:rFonts w:ascii="Times New Roman" w:hAnsi="Times New Roman" w:cs="Times New Roman"/>
          <w:b/>
          <w:sz w:val="24"/>
          <w:szCs w:val="24"/>
        </w:rPr>
        <w:t xml:space="preserve"> hire”</w:t>
      </w:r>
      <w:r>
        <w:rPr>
          <w:rFonts w:ascii="Times New Roman" w:hAnsi="Times New Roman" w:cs="Times New Roman"/>
          <w:b/>
          <w:sz w:val="24"/>
          <w:szCs w:val="24"/>
        </w:rPr>
        <w:t xml:space="preserve"> or “contract for hire”</w:t>
      </w:r>
      <w:r w:rsidRPr="00D364E4">
        <w:rPr>
          <w:rFonts w:ascii="Times New Roman" w:hAnsi="Times New Roman" w:cs="Times New Roman"/>
          <w:b/>
          <w:sz w:val="24"/>
          <w:szCs w:val="24"/>
        </w:rPr>
        <w:t xml:space="preserve"> requirement</w:t>
      </w:r>
      <w:r>
        <w:rPr>
          <w:rFonts w:ascii="Times New Roman" w:hAnsi="Times New Roman" w:cs="Times New Roman"/>
          <w:b/>
          <w:sz w:val="24"/>
          <w:szCs w:val="24"/>
        </w:rPr>
        <w:t xml:space="preserve"> as part of the employer definition</w:t>
      </w:r>
      <w:r w:rsidRPr="00D364E4">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D364E4">
        <w:rPr>
          <w:rFonts w:ascii="Times New Roman" w:hAnsi="Times New Roman" w:cs="Times New Roman"/>
          <w:sz w:val="24"/>
          <w:szCs w:val="24"/>
        </w:rPr>
        <w:t>statut</w:t>
      </w:r>
      <w:r>
        <w:rPr>
          <w:rFonts w:ascii="Times New Roman" w:hAnsi="Times New Roman" w:cs="Times New Roman"/>
          <w:sz w:val="24"/>
          <w:szCs w:val="24"/>
        </w:rPr>
        <w:t xml:space="preserve">ory provision on </w:t>
      </w:r>
      <w:r w:rsidRPr="007811A7">
        <w:rPr>
          <w:rFonts w:ascii="Times New Roman" w:hAnsi="Times New Roman" w:cs="Times New Roman"/>
          <w:i/>
          <w:iCs/>
          <w:sz w:val="24"/>
          <w:szCs w:val="24"/>
        </w:rPr>
        <w:t>extraterritoriality</w:t>
      </w:r>
      <w:r w:rsidRPr="00D364E4">
        <w:rPr>
          <w:rFonts w:ascii="Times New Roman" w:hAnsi="Times New Roman" w:cs="Times New Roman"/>
          <w:sz w:val="24"/>
          <w:szCs w:val="24"/>
        </w:rPr>
        <w:t xml:space="preserve"> does contain </w:t>
      </w:r>
      <w:r>
        <w:rPr>
          <w:rFonts w:ascii="Times New Roman" w:hAnsi="Times New Roman" w:cs="Times New Roman"/>
          <w:sz w:val="24"/>
          <w:szCs w:val="24"/>
        </w:rPr>
        <w:t>a contract of hire</w:t>
      </w:r>
      <w:r w:rsidRPr="00D364E4">
        <w:rPr>
          <w:rFonts w:ascii="Times New Roman" w:hAnsi="Times New Roman" w:cs="Times New Roman"/>
          <w:sz w:val="24"/>
          <w:szCs w:val="24"/>
        </w:rPr>
        <w:t xml:space="preserve"> requirement, </w:t>
      </w:r>
      <w:r w:rsidRPr="00763645">
        <w:rPr>
          <w:rFonts w:ascii="Times New Roman" w:hAnsi="Times New Roman" w:cs="Times New Roman"/>
          <w:i/>
          <w:iCs/>
          <w:sz w:val="24"/>
          <w:szCs w:val="24"/>
        </w:rPr>
        <w:t>see above</w:t>
      </w:r>
      <w:r>
        <w:rPr>
          <w:rFonts w:ascii="Times New Roman" w:hAnsi="Times New Roman" w:cs="Times New Roman"/>
          <w:sz w:val="24"/>
          <w:szCs w:val="24"/>
        </w:rPr>
        <w:t xml:space="preserve"> at Section 2.4 of this Treatise, </w:t>
      </w:r>
      <w:r w:rsidRPr="00D364E4">
        <w:rPr>
          <w:rFonts w:ascii="Times New Roman" w:hAnsi="Times New Roman" w:cs="Times New Roman"/>
          <w:sz w:val="24"/>
          <w:szCs w:val="24"/>
        </w:rPr>
        <w:t xml:space="preserve">but it is found nowhere else in the </w:t>
      </w:r>
      <w:r>
        <w:rPr>
          <w:rFonts w:ascii="Times New Roman" w:hAnsi="Times New Roman" w:cs="Times New Roman"/>
          <w:sz w:val="24"/>
          <w:szCs w:val="24"/>
        </w:rPr>
        <w:t>statute</w:t>
      </w:r>
      <w:r w:rsidRPr="00D364E4">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39"/>
      </w:r>
      <w:r>
        <w:rPr>
          <w:rFonts w:ascii="Times New Roman" w:hAnsi="Times New Roman" w:cs="Times New Roman"/>
          <w:sz w:val="24"/>
          <w:szCs w:val="24"/>
        </w:rPr>
        <w:t xml:space="preserve"> This is consistent with the employee definition of </w:t>
      </w:r>
      <w:r w:rsidRPr="00CC46B2">
        <w:rPr>
          <w:rFonts w:ascii="Times New Roman" w:hAnsi="Times New Roman" w:cs="Times New Roman"/>
          <w:sz w:val="24"/>
          <w:szCs w:val="24"/>
        </w:rPr>
        <w:t xml:space="preserve">W.S. § </w:t>
      </w:r>
      <w:hyperlink r:id="rId48" w:history="1">
        <w:r w:rsidRPr="00CC46B2">
          <w:rPr>
            <w:rStyle w:val="Hyperlink"/>
            <w:rFonts w:ascii="Times New Roman" w:hAnsi="Times New Roman" w:cs="Times New Roman"/>
            <w:sz w:val="24"/>
            <w:szCs w:val="24"/>
          </w:rPr>
          <w:t>27-14-102</w:t>
        </w:r>
      </w:hyperlink>
      <w:r w:rsidRPr="00D74D46">
        <w:rPr>
          <w:rFonts w:ascii="Times New Roman" w:hAnsi="Times New Roman" w:cs="Times New Roman"/>
          <w:sz w:val="24"/>
          <w:szCs w:val="24"/>
        </w:rPr>
        <w:t>(a)(vii)</w:t>
      </w:r>
      <w:r>
        <w:rPr>
          <w:rFonts w:ascii="Times New Roman" w:hAnsi="Times New Roman" w:cs="Times New Roman"/>
          <w:sz w:val="24"/>
          <w:szCs w:val="24"/>
        </w:rPr>
        <w:t xml:space="preserve">, </w:t>
      </w:r>
      <w:r w:rsidRPr="00763645">
        <w:rPr>
          <w:rFonts w:ascii="Times New Roman" w:hAnsi="Times New Roman" w:cs="Times New Roman"/>
          <w:i/>
          <w:iCs/>
          <w:sz w:val="24"/>
          <w:szCs w:val="24"/>
        </w:rPr>
        <w:t>see</w:t>
      </w:r>
      <w:r>
        <w:rPr>
          <w:rFonts w:ascii="Times New Roman" w:hAnsi="Times New Roman" w:cs="Times New Roman"/>
          <w:sz w:val="24"/>
          <w:szCs w:val="24"/>
        </w:rPr>
        <w:t xml:space="preserve"> this Treatise above at </w:t>
      </w:r>
      <w:r w:rsidR="0068767A">
        <w:rPr>
          <w:rFonts w:ascii="Times New Roman" w:hAnsi="Times New Roman" w:cs="Times New Roman"/>
          <w:sz w:val="24"/>
          <w:szCs w:val="24"/>
        </w:rPr>
        <w:t>S</w:t>
      </w:r>
      <w:r>
        <w:rPr>
          <w:rFonts w:ascii="Times New Roman" w:hAnsi="Times New Roman" w:cs="Times New Roman"/>
          <w:sz w:val="24"/>
          <w:szCs w:val="24"/>
        </w:rPr>
        <w:t xml:space="preserve">ection 2.2, which similarly does not </w:t>
      </w:r>
      <w:r w:rsidRPr="007811A7">
        <w:rPr>
          <w:rFonts w:ascii="Times New Roman" w:hAnsi="Times New Roman" w:cs="Times New Roman"/>
          <w:i/>
          <w:iCs/>
          <w:sz w:val="24"/>
          <w:szCs w:val="24"/>
        </w:rPr>
        <w:t>require</w:t>
      </w:r>
      <w:r>
        <w:rPr>
          <w:rFonts w:ascii="Times New Roman" w:hAnsi="Times New Roman" w:cs="Times New Roman"/>
          <w:sz w:val="24"/>
          <w:szCs w:val="24"/>
        </w:rPr>
        <w:t xml:space="preserve"> a “contract of hire” to establish employee status (“appointments” and “apprenticeships” also suffice). </w:t>
      </w:r>
    </w:p>
    <w:p w14:paraId="5D06B77C" w14:textId="77777777" w:rsidR="00FF7482" w:rsidRPr="00D74D46" w:rsidRDefault="00FF7482" w:rsidP="006A3226">
      <w:pPr>
        <w:spacing w:after="0"/>
        <w:jc w:val="both"/>
        <w:rPr>
          <w:rFonts w:ascii="Times New Roman" w:hAnsi="Times New Roman" w:cs="Times New Roman"/>
          <w:sz w:val="24"/>
          <w:szCs w:val="24"/>
        </w:rPr>
      </w:pPr>
    </w:p>
    <w:p w14:paraId="76B92A41" w14:textId="754DBD1E" w:rsidR="00FF7482" w:rsidRPr="00050E85" w:rsidRDefault="00FF7482" w:rsidP="00ED25A2">
      <w:pPr>
        <w:pStyle w:val="Heading2"/>
        <w:rPr>
          <w:rFonts w:ascii="Times New Roman" w:hAnsi="Times New Roman" w:cs="Times New Roman"/>
          <w:b/>
          <w:color w:val="auto"/>
        </w:rPr>
      </w:pPr>
      <w:bookmarkStart w:id="192" w:name="_Toc75269359"/>
      <w:r w:rsidRPr="00050E85">
        <w:rPr>
          <w:rFonts w:ascii="Times New Roman" w:hAnsi="Times New Roman" w:cs="Times New Roman"/>
          <w:b/>
          <w:color w:val="auto"/>
        </w:rPr>
        <w:t>Joint Employer</w:t>
      </w:r>
      <w:r>
        <w:rPr>
          <w:rFonts w:ascii="Times New Roman" w:hAnsi="Times New Roman" w:cs="Times New Roman"/>
          <w:b/>
          <w:color w:val="auto"/>
        </w:rPr>
        <w:t xml:space="preserve"> in Wyoming</w:t>
      </w:r>
      <w:bookmarkEnd w:id="192"/>
    </w:p>
    <w:p w14:paraId="7200877D" w14:textId="77777777" w:rsidR="00FF7482" w:rsidRPr="00050E85" w:rsidRDefault="00FF7482" w:rsidP="00FB7728">
      <w:pPr>
        <w:spacing w:after="0"/>
      </w:pPr>
    </w:p>
    <w:p w14:paraId="6A6830AA" w14:textId="74DC0F89" w:rsidR="00FF7482" w:rsidRDefault="00FF7482" w:rsidP="00ED25A2">
      <w:pPr>
        <w:spacing w:after="0"/>
        <w:jc w:val="both"/>
        <w:rPr>
          <w:rFonts w:ascii="Times New Roman" w:hAnsi="Times New Roman" w:cs="Times New Roman"/>
          <w:i/>
          <w:sz w:val="24"/>
          <w:szCs w:val="24"/>
        </w:rPr>
      </w:pPr>
      <w:r w:rsidRPr="00E046BC">
        <w:rPr>
          <w:rFonts w:ascii="Times New Roman" w:hAnsi="Times New Roman" w:cs="Times New Roman"/>
          <w:b/>
          <w:sz w:val="24"/>
          <w:szCs w:val="24"/>
        </w:rPr>
        <w:t>A “joint employer” means any person, firm, corporation or other entity which employs joint employees, is associated by ownership, commonly managed or controlled and contributes to the workers</w:t>
      </w:r>
      <w:r w:rsidR="00A71DE6">
        <w:rPr>
          <w:rFonts w:ascii="Times New Roman" w:hAnsi="Times New Roman" w:cs="Times New Roman"/>
          <w:b/>
          <w:sz w:val="24"/>
          <w:szCs w:val="24"/>
        </w:rPr>
        <w:t>’</w:t>
      </w:r>
      <w:r w:rsidRPr="00E046BC">
        <w:rPr>
          <w:rFonts w:ascii="Times New Roman" w:hAnsi="Times New Roman" w:cs="Times New Roman"/>
          <w:b/>
          <w:sz w:val="24"/>
          <w:szCs w:val="24"/>
        </w:rPr>
        <w:t xml:space="preserve"> compensation account as required by the Wyoming </w:t>
      </w:r>
      <w:r>
        <w:rPr>
          <w:rFonts w:ascii="Times New Roman" w:hAnsi="Times New Roman" w:cs="Times New Roman"/>
          <w:b/>
          <w:sz w:val="24"/>
          <w:szCs w:val="24"/>
        </w:rPr>
        <w:t>W</w:t>
      </w:r>
      <w:r w:rsidRPr="00E046BC">
        <w:rPr>
          <w:rFonts w:ascii="Times New Roman" w:hAnsi="Times New Roman" w:cs="Times New Roman"/>
          <w:b/>
          <w:sz w:val="24"/>
          <w:szCs w:val="24"/>
        </w:rPr>
        <w:t xml:space="preserve">orkers’ </w:t>
      </w:r>
      <w:r>
        <w:rPr>
          <w:rFonts w:ascii="Times New Roman" w:hAnsi="Times New Roman" w:cs="Times New Roman"/>
          <w:b/>
          <w:sz w:val="24"/>
          <w:szCs w:val="24"/>
        </w:rPr>
        <w:t>C</w:t>
      </w:r>
      <w:r w:rsidRPr="00E046BC">
        <w:rPr>
          <w:rFonts w:ascii="Times New Roman" w:hAnsi="Times New Roman" w:cs="Times New Roman"/>
          <w:b/>
          <w:sz w:val="24"/>
          <w:szCs w:val="24"/>
        </w:rPr>
        <w:t xml:space="preserve">ompensation </w:t>
      </w:r>
      <w:r>
        <w:rPr>
          <w:rFonts w:ascii="Times New Roman" w:hAnsi="Times New Roman" w:cs="Times New Roman"/>
          <w:b/>
          <w:sz w:val="24"/>
          <w:szCs w:val="24"/>
        </w:rPr>
        <w:t>A</w:t>
      </w:r>
      <w:r w:rsidRPr="00E046BC">
        <w:rPr>
          <w:rFonts w:ascii="Times New Roman" w:hAnsi="Times New Roman" w:cs="Times New Roman"/>
          <w:b/>
          <w:sz w:val="24"/>
          <w:szCs w:val="24"/>
        </w:rPr>
        <w:t>ct</w:t>
      </w:r>
      <w:r w:rsidRPr="004F5E2C">
        <w:rPr>
          <w:rFonts w:ascii="Times New Roman" w:hAnsi="Times New Roman" w:cs="Times New Roman"/>
          <w:bCs/>
          <w:sz w:val="24"/>
          <w:szCs w:val="24"/>
        </w:rPr>
        <w:t>.</w:t>
      </w:r>
      <w:r w:rsidRPr="00112C9C">
        <w:rPr>
          <w:rFonts w:ascii="Times New Roman" w:hAnsi="Times New Roman" w:cs="Times New Roman"/>
          <w:bCs/>
          <w:sz w:val="24"/>
          <w:szCs w:val="24"/>
          <w:vertAlign w:val="superscript"/>
        </w:rPr>
        <w:footnoteReference w:id="140"/>
      </w:r>
      <w:r>
        <w:rPr>
          <w:rFonts w:ascii="Times New Roman" w:hAnsi="Times New Roman" w:cs="Times New Roman"/>
          <w:sz w:val="24"/>
          <w:szCs w:val="24"/>
        </w:rPr>
        <w:t xml:space="preserve"> Notwithstanding the foregoing principle in </w:t>
      </w:r>
      <w:r w:rsidR="00BC44E1">
        <w:rPr>
          <w:rFonts w:ascii="Times New Roman" w:hAnsi="Times New Roman" w:cs="Times New Roman"/>
          <w:sz w:val="24"/>
          <w:szCs w:val="24"/>
        </w:rPr>
        <w:t>S</w:t>
      </w:r>
      <w:r>
        <w:rPr>
          <w:rFonts w:ascii="Times New Roman" w:hAnsi="Times New Roman" w:cs="Times New Roman"/>
          <w:sz w:val="24"/>
          <w:szCs w:val="24"/>
        </w:rPr>
        <w:t xml:space="preserve">ection 2.15, </w:t>
      </w:r>
      <w:r w:rsidRPr="001F42A8">
        <w:rPr>
          <w:rFonts w:ascii="Times New Roman" w:hAnsi="Times New Roman" w:cs="Times New Roman"/>
          <w:b/>
          <w:sz w:val="24"/>
          <w:szCs w:val="24"/>
        </w:rPr>
        <w:t xml:space="preserve">Wyoming courts have adopted the “contract for hire” requirement in cases involving </w:t>
      </w:r>
      <w:r w:rsidRPr="003937A6">
        <w:rPr>
          <w:rFonts w:ascii="Times New Roman" w:hAnsi="Times New Roman" w:cs="Times New Roman"/>
          <w:b/>
          <w:sz w:val="24"/>
          <w:szCs w:val="24"/>
          <w:u w:val="single"/>
        </w:rPr>
        <w:t>joint</w:t>
      </w:r>
      <w:r w:rsidRPr="00E046BC">
        <w:rPr>
          <w:rFonts w:ascii="Times New Roman" w:hAnsi="Times New Roman" w:cs="Times New Roman"/>
          <w:b/>
          <w:sz w:val="24"/>
          <w:szCs w:val="24"/>
        </w:rPr>
        <w:t xml:space="preserve"> employment</w:t>
      </w:r>
      <w:r w:rsidRPr="001F42A8">
        <w:rPr>
          <w:rFonts w:ascii="Times New Roman" w:hAnsi="Times New Roman" w:cs="Times New Roman"/>
          <w:sz w:val="24"/>
          <w:szCs w:val="24"/>
        </w:rPr>
        <w:t>.</w:t>
      </w:r>
      <w:r>
        <w:rPr>
          <w:rFonts w:ascii="Times New Roman" w:hAnsi="Times New Roman" w:cs="Times New Roman"/>
          <w:sz w:val="24"/>
          <w:szCs w:val="24"/>
        </w:rPr>
        <w:t xml:space="preserve"> </w:t>
      </w:r>
      <w:r w:rsidRPr="00F30E11">
        <w:rPr>
          <w:rFonts w:ascii="Times New Roman" w:hAnsi="Times New Roman" w:cs="Times New Roman"/>
          <w:b/>
          <w:sz w:val="24"/>
          <w:szCs w:val="24"/>
          <w:u w:val="single"/>
        </w:rPr>
        <w:t xml:space="preserve">Joint employment occurs </w:t>
      </w:r>
      <w:r w:rsidRPr="00F30E11">
        <w:rPr>
          <w:rFonts w:ascii="Times New Roman" w:hAnsi="Times New Roman" w:cs="Times New Roman"/>
          <w:b/>
          <w:sz w:val="24"/>
          <w:szCs w:val="24"/>
          <w:u w:val="single"/>
        </w:rPr>
        <w:lastRenderedPageBreak/>
        <w:t xml:space="preserve">when a single employee, </w:t>
      </w:r>
      <w:r w:rsidRPr="00F30E11">
        <w:rPr>
          <w:rFonts w:ascii="Times New Roman" w:hAnsi="Times New Roman" w:cs="Times New Roman"/>
          <w:b/>
          <w:i/>
          <w:sz w:val="24"/>
          <w:szCs w:val="24"/>
          <w:u w:val="single"/>
        </w:rPr>
        <w:t>under contract with two employers</w:t>
      </w:r>
      <w:r w:rsidRPr="00F30E11">
        <w:rPr>
          <w:rFonts w:ascii="Times New Roman" w:hAnsi="Times New Roman" w:cs="Times New Roman"/>
          <w:b/>
          <w:sz w:val="24"/>
          <w:szCs w:val="24"/>
          <w:u w:val="single"/>
        </w:rPr>
        <w:t>, and under the  control of both, simultaneously performs services for both employers, and when the service for each employer is the same as, or is closely related to, that for the other</w:t>
      </w:r>
      <w:r w:rsidRPr="004F5E2C">
        <w:rPr>
          <w:rFonts w:ascii="Times New Roman" w:hAnsi="Times New Roman" w:cs="Times New Roman"/>
          <w:bCs/>
          <w:sz w:val="24"/>
          <w:szCs w:val="24"/>
        </w:rPr>
        <w:t>.</w:t>
      </w:r>
      <w:r w:rsidRPr="00112C9C">
        <w:rPr>
          <w:rFonts w:ascii="Times New Roman" w:hAnsi="Times New Roman" w:cs="Times New Roman"/>
          <w:sz w:val="24"/>
          <w:szCs w:val="24"/>
          <w:vertAlign w:val="superscript"/>
        </w:rPr>
        <w:footnoteReference w:id="141"/>
      </w:r>
      <w:r>
        <w:rPr>
          <w:rFonts w:ascii="Times New Roman" w:hAnsi="Times New Roman" w:cs="Times New Roman"/>
          <w:b/>
          <w:sz w:val="24"/>
          <w:szCs w:val="24"/>
        </w:rPr>
        <w:t xml:space="preserve"> </w:t>
      </w:r>
      <w:r>
        <w:rPr>
          <w:rFonts w:ascii="Times New Roman" w:hAnsi="Times New Roman" w:cs="Times New Roman"/>
          <w:sz w:val="24"/>
          <w:szCs w:val="24"/>
        </w:rPr>
        <w:t xml:space="preserve">A leading case in Wyoming for this proposition is </w:t>
      </w:r>
      <w:r w:rsidRPr="001F42A8">
        <w:rPr>
          <w:rFonts w:ascii="Times New Roman" w:hAnsi="Times New Roman" w:cs="Times New Roman"/>
          <w:i/>
          <w:sz w:val="24"/>
          <w:szCs w:val="24"/>
        </w:rPr>
        <w:t>Stratman v. Admiral Beverage Corp.</w:t>
      </w:r>
      <w:r w:rsidRPr="00112C9C">
        <w:rPr>
          <w:rFonts w:ascii="Times New Roman" w:hAnsi="Times New Roman" w:cs="Times New Roman"/>
          <w:sz w:val="24"/>
          <w:szCs w:val="24"/>
          <w:vertAlign w:val="superscript"/>
        </w:rPr>
        <w:footnoteReference w:id="142"/>
      </w:r>
      <w:r>
        <w:rPr>
          <w:rFonts w:ascii="Times New Roman" w:hAnsi="Times New Roman" w:cs="Times New Roman"/>
          <w:i/>
          <w:sz w:val="24"/>
          <w:szCs w:val="24"/>
        </w:rPr>
        <w:t xml:space="preserve"> </w:t>
      </w:r>
    </w:p>
    <w:p w14:paraId="12A90AF3" w14:textId="77777777" w:rsidR="00ED25A2" w:rsidRDefault="00ED25A2" w:rsidP="00ED25A2">
      <w:pPr>
        <w:spacing w:after="0"/>
        <w:jc w:val="both"/>
        <w:rPr>
          <w:rFonts w:ascii="Times New Roman" w:hAnsi="Times New Roman" w:cs="Times New Roman"/>
          <w:sz w:val="24"/>
          <w:szCs w:val="24"/>
        </w:rPr>
      </w:pPr>
    </w:p>
    <w:p w14:paraId="48D55C11" w14:textId="768620E6"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In </w:t>
      </w:r>
      <w:r w:rsidRPr="00597EDF">
        <w:rPr>
          <w:rFonts w:ascii="Times New Roman" w:hAnsi="Times New Roman" w:cs="Times New Roman"/>
          <w:i/>
          <w:sz w:val="24"/>
          <w:szCs w:val="24"/>
        </w:rPr>
        <w:t>Admiral Beverage</w:t>
      </w:r>
      <w:r>
        <w:rPr>
          <w:rFonts w:ascii="Times New Roman" w:hAnsi="Times New Roman" w:cs="Times New Roman"/>
          <w:sz w:val="24"/>
          <w:szCs w:val="24"/>
        </w:rPr>
        <w:t>, an</w:t>
      </w:r>
      <w:r w:rsidRPr="00597EDF">
        <w:rPr>
          <w:rFonts w:ascii="Times New Roman" w:hAnsi="Times New Roman" w:cs="Times New Roman"/>
          <w:sz w:val="24"/>
          <w:szCs w:val="24"/>
        </w:rPr>
        <w:t xml:space="preserve"> </w:t>
      </w:r>
      <w:r>
        <w:rPr>
          <w:rFonts w:ascii="Times New Roman" w:hAnsi="Times New Roman" w:cs="Times New Roman"/>
          <w:sz w:val="24"/>
          <w:szCs w:val="24"/>
        </w:rPr>
        <w:t xml:space="preserve">employee </w:t>
      </w:r>
      <w:r w:rsidRPr="00597EDF">
        <w:rPr>
          <w:rFonts w:ascii="Times New Roman" w:hAnsi="Times New Roman" w:cs="Times New Roman"/>
          <w:sz w:val="24"/>
          <w:szCs w:val="24"/>
        </w:rPr>
        <w:t xml:space="preserve">was killed by being pulled into a canning machine while employed at a Pepsi–Cola plant in Worland, Wyoming. A wrongful death action was brought by her surviving husband. </w:t>
      </w:r>
      <w:r>
        <w:rPr>
          <w:rFonts w:ascii="Times New Roman" w:hAnsi="Times New Roman" w:cs="Times New Roman"/>
          <w:sz w:val="24"/>
          <w:szCs w:val="24"/>
        </w:rPr>
        <w:t>The district court granted summary judgment to</w:t>
      </w:r>
      <w:r w:rsidRPr="00597EDF">
        <w:rPr>
          <w:rFonts w:ascii="Times New Roman" w:hAnsi="Times New Roman" w:cs="Times New Roman"/>
          <w:sz w:val="24"/>
          <w:szCs w:val="24"/>
        </w:rPr>
        <w:t xml:space="preserve"> Admiral Beverage, the owner of the canning machine, </w:t>
      </w:r>
      <w:r w:rsidRPr="00F30E11">
        <w:rPr>
          <w:rFonts w:ascii="Times New Roman" w:hAnsi="Times New Roman" w:cs="Times New Roman"/>
          <w:i/>
          <w:iCs/>
          <w:sz w:val="24"/>
          <w:szCs w:val="24"/>
        </w:rPr>
        <w:t xml:space="preserve">and </w:t>
      </w:r>
      <w:r w:rsidRPr="00597EDF">
        <w:rPr>
          <w:rFonts w:ascii="Times New Roman" w:hAnsi="Times New Roman" w:cs="Times New Roman"/>
          <w:sz w:val="24"/>
          <w:szCs w:val="24"/>
        </w:rPr>
        <w:t xml:space="preserve">Fremont Beverages, the owner of the franchise, plant facility, and bottling operations. </w:t>
      </w:r>
      <w:r>
        <w:rPr>
          <w:rFonts w:ascii="Times New Roman" w:hAnsi="Times New Roman" w:cs="Times New Roman"/>
          <w:sz w:val="24"/>
          <w:szCs w:val="24"/>
        </w:rPr>
        <w:t>T</w:t>
      </w:r>
      <w:r w:rsidRPr="00597EDF">
        <w:rPr>
          <w:rFonts w:ascii="Times New Roman" w:hAnsi="Times New Roman" w:cs="Times New Roman"/>
          <w:sz w:val="24"/>
          <w:szCs w:val="24"/>
        </w:rPr>
        <w:t>he district court certified the summary judgment as a final order</w:t>
      </w:r>
      <w:r>
        <w:rPr>
          <w:rFonts w:ascii="Times New Roman" w:hAnsi="Times New Roman" w:cs="Times New Roman"/>
          <w:sz w:val="24"/>
          <w:szCs w:val="24"/>
        </w:rPr>
        <w:t xml:space="preserve"> for purposes of </w:t>
      </w:r>
      <w:r w:rsidRPr="00597EDF">
        <w:rPr>
          <w:rFonts w:ascii="Times New Roman" w:hAnsi="Times New Roman" w:cs="Times New Roman"/>
          <w:sz w:val="24"/>
          <w:szCs w:val="24"/>
        </w:rPr>
        <w:t xml:space="preserve"> appeal</w:t>
      </w:r>
      <w:r>
        <w:rPr>
          <w:rFonts w:ascii="Times New Roman" w:hAnsi="Times New Roman" w:cs="Times New Roman"/>
          <w:sz w:val="24"/>
          <w:szCs w:val="24"/>
        </w:rPr>
        <w:t xml:space="preserve"> to decide the question whether </w:t>
      </w:r>
      <w:r w:rsidRPr="00597EDF">
        <w:rPr>
          <w:rFonts w:ascii="Times New Roman" w:hAnsi="Times New Roman" w:cs="Times New Roman"/>
          <w:sz w:val="24"/>
          <w:szCs w:val="24"/>
        </w:rPr>
        <w:t xml:space="preserve">Admiral, as a closely affiliated corporation with Fremont, was a joint employer of </w:t>
      </w:r>
      <w:r>
        <w:rPr>
          <w:rFonts w:ascii="Times New Roman" w:hAnsi="Times New Roman" w:cs="Times New Roman"/>
          <w:sz w:val="24"/>
          <w:szCs w:val="24"/>
        </w:rPr>
        <w:t>the deceased employee, and therefore</w:t>
      </w:r>
      <w:r w:rsidRPr="00597EDF">
        <w:rPr>
          <w:rFonts w:ascii="Times New Roman" w:hAnsi="Times New Roman" w:cs="Times New Roman"/>
          <w:sz w:val="24"/>
          <w:szCs w:val="24"/>
        </w:rPr>
        <w:t xml:space="preserve"> immune from </w:t>
      </w:r>
      <w:r>
        <w:rPr>
          <w:rFonts w:ascii="Times New Roman" w:hAnsi="Times New Roman" w:cs="Times New Roman"/>
          <w:sz w:val="24"/>
          <w:szCs w:val="24"/>
        </w:rPr>
        <w:t xml:space="preserve">the </w:t>
      </w:r>
      <w:r w:rsidRPr="00597EDF">
        <w:rPr>
          <w:rFonts w:ascii="Times New Roman" w:hAnsi="Times New Roman" w:cs="Times New Roman"/>
          <w:sz w:val="24"/>
          <w:szCs w:val="24"/>
        </w:rPr>
        <w:t xml:space="preserve">wrongful death suit </w:t>
      </w:r>
      <w:r>
        <w:rPr>
          <w:rFonts w:ascii="Times New Roman" w:hAnsi="Times New Roman" w:cs="Times New Roman"/>
          <w:sz w:val="24"/>
          <w:szCs w:val="24"/>
        </w:rPr>
        <w:t>by operation of the exclusive remedy bar</w:t>
      </w:r>
      <w:r w:rsidRPr="00597EDF">
        <w:rPr>
          <w:rFonts w:ascii="Times New Roman" w:hAnsi="Times New Roman" w:cs="Times New Roman"/>
          <w:sz w:val="24"/>
          <w:szCs w:val="24"/>
        </w:rPr>
        <w:t>.</w:t>
      </w:r>
      <w:r>
        <w:rPr>
          <w:rFonts w:ascii="Times New Roman" w:hAnsi="Times New Roman" w:cs="Times New Roman"/>
          <w:sz w:val="24"/>
          <w:szCs w:val="24"/>
        </w:rPr>
        <w:t xml:space="preserve"> (See this Treatise at Section 1.6</w:t>
      </w:r>
      <w:r w:rsidR="00721248">
        <w:rPr>
          <w:rFonts w:ascii="Times New Roman" w:hAnsi="Times New Roman" w:cs="Times New Roman"/>
          <w:sz w:val="24"/>
          <w:szCs w:val="24"/>
        </w:rPr>
        <w:t>.</w:t>
      </w:r>
      <w:r>
        <w:rPr>
          <w:rFonts w:ascii="Times New Roman" w:hAnsi="Times New Roman" w:cs="Times New Roman"/>
          <w:sz w:val="24"/>
          <w:szCs w:val="24"/>
        </w:rPr>
        <w:t xml:space="preserve">) </w:t>
      </w:r>
    </w:p>
    <w:p w14:paraId="4CF1A925" w14:textId="77777777" w:rsidR="00FF7482" w:rsidRDefault="00FF7482" w:rsidP="00ED25A2">
      <w:pPr>
        <w:spacing w:after="0"/>
        <w:jc w:val="both"/>
        <w:rPr>
          <w:rFonts w:ascii="Times New Roman" w:hAnsi="Times New Roman" w:cs="Times New Roman"/>
          <w:sz w:val="24"/>
          <w:szCs w:val="24"/>
        </w:rPr>
      </w:pPr>
    </w:p>
    <w:p w14:paraId="4CBB3197" w14:textId="07A5DBF6"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Quoting the </w:t>
      </w:r>
      <w:r w:rsidRPr="000E6FF5">
        <w:rPr>
          <w:rFonts w:ascii="Times New Roman" w:hAnsi="Times New Roman" w:cs="Times New Roman"/>
          <w:i/>
          <w:sz w:val="24"/>
          <w:szCs w:val="24"/>
        </w:rPr>
        <w:t>Larson</w:t>
      </w:r>
      <w:r>
        <w:rPr>
          <w:rFonts w:ascii="Times New Roman" w:hAnsi="Times New Roman" w:cs="Times New Roman"/>
          <w:sz w:val="24"/>
          <w:szCs w:val="24"/>
        </w:rPr>
        <w:t>’s treatise, the Wyoming Supreme Court adopted the joint employer definition set forth in this section.</w:t>
      </w:r>
      <w:r w:rsidRPr="00112C9C">
        <w:rPr>
          <w:rFonts w:ascii="Times New Roman" w:hAnsi="Times New Roman" w:cs="Times New Roman"/>
          <w:sz w:val="24"/>
          <w:szCs w:val="24"/>
          <w:vertAlign w:val="superscript"/>
        </w:rPr>
        <w:footnoteReference w:id="143"/>
      </w:r>
      <w:r>
        <w:rPr>
          <w:rFonts w:ascii="Times New Roman" w:hAnsi="Times New Roman" w:cs="Times New Roman"/>
          <w:sz w:val="24"/>
          <w:szCs w:val="24"/>
        </w:rPr>
        <w:t xml:space="preserve"> The Court noted that t</w:t>
      </w:r>
      <w:r w:rsidRPr="006D1C39">
        <w:rPr>
          <w:rFonts w:ascii="Times New Roman" w:hAnsi="Times New Roman" w:cs="Times New Roman"/>
          <w:sz w:val="24"/>
          <w:szCs w:val="24"/>
        </w:rPr>
        <w:t>he question of whether the elements of joint employment are present often arises</w:t>
      </w:r>
      <w:r>
        <w:rPr>
          <w:rFonts w:ascii="Times New Roman" w:hAnsi="Times New Roman" w:cs="Times New Roman"/>
          <w:sz w:val="24"/>
          <w:szCs w:val="24"/>
        </w:rPr>
        <w:t xml:space="preserve"> </w:t>
      </w:r>
      <w:r w:rsidRPr="006D1C39">
        <w:rPr>
          <w:rFonts w:ascii="Times New Roman" w:hAnsi="Times New Roman" w:cs="Times New Roman"/>
          <w:sz w:val="24"/>
          <w:szCs w:val="24"/>
        </w:rPr>
        <w:t>with affiliated corporations</w:t>
      </w:r>
      <w:r>
        <w:rPr>
          <w:rFonts w:ascii="Times New Roman" w:hAnsi="Times New Roman" w:cs="Times New Roman"/>
          <w:sz w:val="24"/>
          <w:szCs w:val="24"/>
        </w:rPr>
        <w:t xml:space="preserve">, where the </w:t>
      </w:r>
      <w:r w:rsidRPr="006D1C39">
        <w:rPr>
          <w:rFonts w:ascii="Times New Roman" w:hAnsi="Times New Roman" w:cs="Times New Roman"/>
          <w:sz w:val="24"/>
          <w:szCs w:val="24"/>
        </w:rPr>
        <w:t xml:space="preserve">question </w:t>
      </w:r>
      <w:r>
        <w:rPr>
          <w:rFonts w:ascii="Times New Roman" w:hAnsi="Times New Roman" w:cs="Times New Roman"/>
          <w:sz w:val="24"/>
          <w:szCs w:val="24"/>
        </w:rPr>
        <w:t>becomes</w:t>
      </w:r>
      <w:r w:rsidRPr="006D1C39">
        <w:rPr>
          <w:rFonts w:ascii="Times New Roman" w:hAnsi="Times New Roman" w:cs="Times New Roman"/>
          <w:sz w:val="24"/>
          <w:szCs w:val="24"/>
        </w:rPr>
        <w:t xml:space="preserve"> whether corporate separateness should be disregarded for </w:t>
      </w:r>
      <w:r>
        <w:rPr>
          <w:rFonts w:ascii="Times New Roman" w:hAnsi="Times New Roman" w:cs="Times New Roman"/>
          <w:sz w:val="24"/>
          <w:szCs w:val="24"/>
        </w:rPr>
        <w:t>exclusive remedy</w:t>
      </w:r>
      <w:r w:rsidRPr="006D1C39">
        <w:rPr>
          <w:rFonts w:ascii="Times New Roman" w:hAnsi="Times New Roman" w:cs="Times New Roman"/>
          <w:sz w:val="24"/>
          <w:szCs w:val="24"/>
        </w:rPr>
        <w:t xml:space="preserve"> purposes.</w:t>
      </w:r>
      <w:r w:rsidRPr="00112C9C">
        <w:rPr>
          <w:rFonts w:ascii="Times New Roman" w:hAnsi="Times New Roman" w:cs="Times New Roman"/>
          <w:sz w:val="24"/>
          <w:szCs w:val="24"/>
          <w:vertAlign w:val="superscript"/>
        </w:rPr>
        <w:footnoteReference w:id="144"/>
      </w:r>
      <w:r>
        <w:rPr>
          <w:rFonts w:ascii="Times New Roman" w:hAnsi="Times New Roman" w:cs="Times New Roman"/>
          <w:sz w:val="24"/>
          <w:szCs w:val="24"/>
        </w:rPr>
        <w:t xml:space="preserve"> After surveying cases, the Court cited with approval a prior court’s adoption of what the prior court characterized as the majority rule, “[i]</w:t>
      </w:r>
      <w:r w:rsidRPr="00F9424C">
        <w:rPr>
          <w:rFonts w:ascii="Times New Roman" w:hAnsi="Times New Roman" w:cs="Times New Roman"/>
          <w:sz w:val="24"/>
          <w:szCs w:val="24"/>
        </w:rPr>
        <w:t>n the absence of a ‘contract of hire’ between the ‘employee’ and the parent corporation, the bar of workmen's compensation may obtain only in those instances where the facts compel disregard of the subsidiary's separate existence.”</w:t>
      </w:r>
      <w:r w:rsidRPr="00112C9C">
        <w:rPr>
          <w:rFonts w:ascii="Times New Roman" w:hAnsi="Times New Roman" w:cs="Times New Roman"/>
          <w:sz w:val="24"/>
          <w:szCs w:val="24"/>
          <w:vertAlign w:val="superscript"/>
        </w:rPr>
        <w:footnoteReference w:id="145"/>
      </w:r>
      <w:r w:rsidRPr="00F9424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DD7B2E4" w14:textId="77777777" w:rsidR="00ED25A2" w:rsidRDefault="00ED25A2" w:rsidP="00ED25A2">
      <w:pPr>
        <w:spacing w:after="0"/>
        <w:jc w:val="both"/>
        <w:rPr>
          <w:rFonts w:ascii="Times New Roman" w:hAnsi="Times New Roman" w:cs="Times New Roman"/>
          <w:sz w:val="24"/>
          <w:szCs w:val="24"/>
        </w:rPr>
      </w:pPr>
    </w:p>
    <w:p w14:paraId="7C81A502" w14:textId="6B42A944"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Returning to the case under consideration, the Court concluded, “[o]</w:t>
      </w:r>
      <w:r w:rsidRPr="00337653">
        <w:rPr>
          <w:rFonts w:ascii="Times New Roman" w:hAnsi="Times New Roman" w:cs="Times New Roman"/>
          <w:sz w:val="24"/>
          <w:szCs w:val="24"/>
        </w:rPr>
        <w:t>n the question of the existence of a contract of hire, express or implied, the evidence is conflicting.</w:t>
      </w:r>
      <w:r>
        <w:rPr>
          <w:rFonts w:ascii="Times New Roman" w:hAnsi="Times New Roman" w:cs="Times New Roman"/>
          <w:sz w:val="24"/>
          <w:szCs w:val="24"/>
        </w:rPr>
        <w:t>” The Court also found that there were unresolved factual issues concerning which entity had hired the employee, and which entity had the right to control working conditions at the plant.</w:t>
      </w:r>
      <w:r w:rsidRPr="00112C9C">
        <w:rPr>
          <w:rFonts w:ascii="Times New Roman" w:hAnsi="Times New Roman" w:cs="Times New Roman"/>
          <w:sz w:val="24"/>
          <w:szCs w:val="24"/>
          <w:vertAlign w:val="superscript"/>
        </w:rPr>
        <w:footnoteReference w:id="146"/>
      </w:r>
      <w:r>
        <w:rPr>
          <w:rFonts w:ascii="Times New Roman" w:hAnsi="Times New Roman" w:cs="Times New Roman"/>
          <w:sz w:val="24"/>
          <w:szCs w:val="24"/>
        </w:rPr>
        <w:t xml:space="preserve"> Accordingly, the Court remanded the case to the district court.</w:t>
      </w:r>
      <w:r w:rsidRPr="00112C9C">
        <w:rPr>
          <w:rFonts w:ascii="Times New Roman" w:hAnsi="Times New Roman" w:cs="Times New Roman"/>
          <w:sz w:val="24"/>
          <w:szCs w:val="24"/>
          <w:vertAlign w:val="superscript"/>
        </w:rPr>
        <w:footnoteReference w:id="147"/>
      </w:r>
      <w:r>
        <w:rPr>
          <w:rFonts w:ascii="Times New Roman" w:hAnsi="Times New Roman" w:cs="Times New Roman"/>
          <w:sz w:val="24"/>
          <w:szCs w:val="24"/>
        </w:rPr>
        <w:t xml:space="preserve"> </w:t>
      </w:r>
    </w:p>
    <w:p w14:paraId="00C5A5BA" w14:textId="77777777" w:rsidR="00ED25A2" w:rsidRDefault="00ED25A2" w:rsidP="00ED25A2">
      <w:pPr>
        <w:spacing w:after="0"/>
        <w:jc w:val="both"/>
        <w:rPr>
          <w:rFonts w:ascii="Times New Roman" w:hAnsi="Times New Roman" w:cs="Times New Roman"/>
          <w:sz w:val="24"/>
          <w:szCs w:val="24"/>
        </w:rPr>
      </w:pPr>
    </w:p>
    <w:p w14:paraId="0E90552D" w14:textId="521BEB75"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teaching of </w:t>
      </w:r>
      <w:r w:rsidRPr="000E6FF5">
        <w:rPr>
          <w:rFonts w:ascii="Times New Roman" w:hAnsi="Times New Roman" w:cs="Times New Roman"/>
          <w:i/>
          <w:sz w:val="24"/>
          <w:szCs w:val="24"/>
        </w:rPr>
        <w:t>Admiral Bever</w:t>
      </w:r>
      <w:r w:rsidR="00180734">
        <w:rPr>
          <w:rFonts w:ascii="Times New Roman" w:hAnsi="Times New Roman" w:cs="Times New Roman"/>
          <w:i/>
          <w:sz w:val="24"/>
          <w:szCs w:val="24"/>
        </w:rPr>
        <w:t>a</w:t>
      </w:r>
      <w:r w:rsidRPr="000E6FF5">
        <w:rPr>
          <w:rFonts w:ascii="Times New Roman" w:hAnsi="Times New Roman" w:cs="Times New Roman"/>
          <w:i/>
          <w:sz w:val="24"/>
          <w:szCs w:val="24"/>
        </w:rPr>
        <w:t>ge</w:t>
      </w:r>
      <w:r>
        <w:rPr>
          <w:rFonts w:ascii="Times New Roman" w:hAnsi="Times New Roman" w:cs="Times New Roman"/>
          <w:sz w:val="24"/>
          <w:szCs w:val="24"/>
        </w:rPr>
        <w:t>, and of cases that have followed it, is “</w:t>
      </w:r>
      <w:r w:rsidRPr="00A710FA">
        <w:rPr>
          <w:rFonts w:ascii="Times New Roman" w:hAnsi="Times New Roman" w:cs="Times New Roman"/>
          <w:sz w:val="24"/>
          <w:szCs w:val="24"/>
        </w:rPr>
        <w:t xml:space="preserve">that </w:t>
      </w:r>
      <w:r w:rsidRPr="002105D8">
        <w:rPr>
          <w:rFonts w:ascii="Times New Roman" w:hAnsi="Times New Roman" w:cs="Times New Roman"/>
          <w:b/>
          <w:sz w:val="24"/>
          <w:szCs w:val="24"/>
        </w:rPr>
        <w:t>an employee should not be required to give up his common-law right of action against his employer in favor of worker's compensation without an agreement on his part to the employment relationship</w:t>
      </w:r>
      <w:r w:rsidRPr="00A710FA">
        <w:rPr>
          <w:rFonts w:ascii="Times New Roman" w:hAnsi="Times New Roman" w:cs="Times New Roman"/>
          <w:sz w:val="24"/>
          <w:szCs w:val="24"/>
        </w:rPr>
        <w:t>.</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48"/>
      </w:r>
      <w:r>
        <w:rPr>
          <w:rFonts w:ascii="Times New Roman" w:hAnsi="Times New Roman" w:cs="Times New Roman"/>
          <w:sz w:val="24"/>
          <w:szCs w:val="24"/>
        </w:rPr>
        <w:t xml:space="preserve"> Thus, in the context of “sharing” of exclusive remedy, or immunity, there must be more than a formal relationship between two entities, for example between a parent corporation and its subsidiary. </w:t>
      </w:r>
      <w:r w:rsidRPr="00F30E11">
        <w:rPr>
          <w:rFonts w:ascii="Times New Roman" w:hAnsi="Times New Roman" w:cs="Times New Roman"/>
          <w:b/>
          <w:bCs/>
          <w:sz w:val="24"/>
          <w:szCs w:val="24"/>
          <w:u w:val="single"/>
        </w:rPr>
        <w:t>An employee must have entered into a contract of hire with each nominal entity claiming employer status, and each entity must have the right to control the working conditions of the involved employee</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49"/>
      </w:r>
      <w:r w:rsidRPr="001F42A8">
        <w:rPr>
          <w:rFonts w:ascii="Times New Roman" w:hAnsi="Times New Roman" w:cs="Times New Roman"/>
          <w:sz w:val="24"/>
          <w:szCs w:val="24"/>
        </w:rPr>
        <w:t xml:space="preserve">   </w:t>
      </w:r>
    </w:p>
    <w:p w14:paraId="3FA66294" w14:textId="522047CF" w:rsidR="00FF7482" w:rsidRDefault="00FF7482" w:rsidP="00ED25A2">
      <w:pPr>
        <w:spacing w:after="0"/>
        <w:jc w:val="both"/>
        <w:rPr>
          <w:rFonts w:ascii="Times New Roman" w:hAnsi="Times New Roman" w:cs="Times New Roman"/>
          <w:sz w:val="24"/>
          <w:szCs w:val="24"/>
        </w:rPr>
      </w:pPr>
      <w:r w:rsidRPr="001F42A8">
        <w:rPr>
          <w:rFonts w:ascii="Times New Roman" w:hAnsi="Times New Roman" w:cs="Times New Roman"/>
          <w:sz w:val="24"/>
          <w:szCs w:val="24"/>
        </w:rPr>
        <w:t xml:space="preserve"> </w:t>
      </w:r>
    </w:p>
    <w:p w14:paraId="18A1AE5C" w14:textId="7AC6FCFB" w:rsidR="00FF7482" w:rsidRPr="00050E85" w:rsidRDefault="00FF7482" w:rsidP="00ED25A2">
      <w:pPr>
        <w:pStyle w:val="Heading2"/>
        <w:rPr>
          <w:rFonts w:ascii="Times New Roman" w:hAnsi="Times New Roman" w:cs="Times New Roman"/>
          <w:b/>
          <w:color w:val="auto"/>
        </w:rPr>
      </w:pPr>
      <w:bookmarkStart w:id="203" w:name="_Toc75269360"/>
      <w:bookmarkStart w:id="204" w:name="_Hlk26187268"/>
      <w:r w:rsidRPr="00050E85">
        <w:rPr>
          <w:rFonts w:ascii="Times New Roman" w:hAnsi="Times New Roman" w:cs="Times New Roman"/>
          <w:b/>
          <w:color w:val="auto"/>
        </w:rPr>
        <w:t xml:space="preserve">Extrahazardous </w:t>
      </w:r>
      <w:r>
        <w:rPr>
          <w:rFonts w:ascii="Times New Roman" w:hAnsi="Times New Roman" w:cs="Times New Roman"/>
          <w:b/>
          <w:color w:val="auto"/>
        </w:rPr>
        <w:t>E</w:t>
      </w:r>
      <w:r w:rsidRPr="00050E85">
        <w:rPr>
          <w:rFonts w:ascii="Times New Roman" w:hAnsi="Times New Roman" w:cs="Times New Roman"/>
          <w:b/>
          <w:color w:val="auto"/>
        </w:rPr>
        <w:t>mployment</w:t>
      </w:r>
      <w:r>
        <w:rPr>
          <w:rFonts w:ascii="Times New Roman" w:hAnsi="Times New Roman" w:cs="Times New Roman"/>
          <w:b/>
          <w:color w:val="auto"/>
        </w:rPr>
        <w:t xml:space="preserve"> Generally</w:t>
      </w:r>
      <w:bookmarkEnd w:id="203"/>
    </w:p>
    <w:p w14:paraId="4624192A" w14:textId="77777777" w:rsidR="00FF7482" w:rsidRPr="00050E85" w:rsidRDefault="00FF7482" w:rsidP="00FB7728">
      <w:pPr>
        <w:spacing w:after="0"/>
      </w:pPr>
    </w:p>
    <w:p w14:paraId="4C543974" w14:textId="0CFB5772"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As the </w:t>
      </w:r>
      <w:r w:rsidRPr="00B93977">
        <w:rPr>
          <w:rFonts w:ascii="Times New Roman" w:hAnsi="Times New Roman" w:cs="Times New Roman"/>
          <w:i/>
          <w:sz w:val="24"/>
          <w:szCs w:val="24"/>
        </w:rPr>
        <w:t>Larson</w:t>
      </w:r>
      <w:r>
        <w:rPr>
          <w:rFonts w:ascii="Times New Roman" w:hAnsi="Times New Roman" w:cs="Times New Roman"/>
          <w:sz w:val="24"/>
          <w:szCs w:val="24"/>
        </w:rPr>
        <w:t>’s treatise notes, “t</w:t>
      </w:r>
      <w:r w:rsidRPr="00B93977">
        <w:rPr>
          <w:rFonts w:ascii="Times New Roman" w:hAnsi="Times New Roman" w:cs="Times New Roman"/>
          <w:sz w:val="24"/>
          <w:szCs w:val="24"/>
        </w:rPr>
        <w:t xml:space="preserve">he distinction between hazardous and </w:t>
      </w:r>
      <w:bookmarkStart w:id="205" w:name="_Hlk26189824"/>
      <w:r w:rsidRPr="00B93977">
        <w:rPr>
          <w:rFonts w:ascii="Times New Roman" w:hAnsi="Times New Roman" w:cs="Times New Roman"/>
          <w:sz w:val="24"/>
          <w:szCs w:val="24"/>
        </w:rPr>
        <w:t>nonhazardous employment, a fairly familiar feature of early</w:t>
      </w:r>
      <w:r w:rsidR="0001513A">
        <w:rPr>
          <w:rFonts w:ascii="Times New Roman" w:hAnsi="Times New Roman" w:cs="Times New Roman"/>
          <w:sz w:val="24"/>
          <w:szCs w:val="24"/>
        </w:rPr>
        <w:t xml:space="preserve"> workers’ compensation </w:t>
      </w:r>
      <w:r w:rsidRPr="00B93977">
        <w:rPr>
          <w:rFonts w:ascii="Times New Roman" w:hAnsi="Times New Roman" w:cs="Times New Roman"/>
          <w:sz w:val="24"/>
          <w:szCs w:val="24"/>
        </w:rPr>
        <w:t xml:space="preserve"> acts, is now of relevance in only one state—Wyoming.</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50"/>
      </w:r>
      <w:r>
        <w:rPr>
          <w:rFonts w:ascii="Times New Roman" w:hAnsi="Times New Roman" w:cs="Times New Roman"/>
          <w:sz w:val="24"/>
          <w:szCs w:val="24"/>
        </w:rPr>
        <w:t xml:space="preserve"> Hence, this unique feature of Wyoming law must be analyzed and explained carefully.</w:t>
      </w:r>
    </w:p>
    <w:p w14:paraId="4AAD185C" w14:textId="77777777" w:rsidR="00FF7482" w:rsidRDefault="00FF7482" w:rsidP="00FE123E">
      <w:pPr>
        <w:spacing w:after="0" w:line="240" w:lineRule="auto"/>
        <w:jc w:val="both"/>
        <w:rPr>
          <w:rFonts w:ascii="Times New Roman" w:hAnsi="Times New Roman" w:cs="Times New Roman"/>
          <w:sz w:val="24"/>
          <w:szCs w:val="24"/>
        </w:rPr>
      </w:pPr>
    </w:p>
    <w:p w14:paraId="0DAAB945" w14:textId="0A466DB0" w:rsidR="00FF7482" w:rsidRPr="00050E85" w:rsidRDefault="00FF7482" w:rsidP="00ED25A2">
      <w:pPr>
        <w:pStyle w:val="Heading2"/>
        <w:rPr>
          <w:rFonts w:ascii="Times New Roman" w:hAnsi="Times New Roman" w:cs="Times New Roman"/>
          <w:b/>
          <w:color w:val="auto"/>
        </w:rPr>
      </w:pPr>
      <w:bookmarkStart w:id="208" w:name="_Toc75269361"/>
      <w:r w:rsidRPr="00050E85">
        <w:rPr>
          <w:rFonts w:ascii="Times New Roman" w:hAnsi="Times New Roman" w:cs="Times New Roman"/>
          <w:b/>
          <w:color w:val="auto"/>
        </w:rPr>
        <w:t>National History of Extrahazardous Statutes</w:t>
      </w:r>
      <w:bookmarkEnd w:id="208"/>
      <w:r w:rsidRPr="00050E85">
        <w:rPr>
          <w:rFonts w:ascii="Times New Roman" w:hAnsi="Times New Roman" w:cs="Times New Roman"/>
          <w:b/>
          <w:color w:val="auto"/>
        </w:rPr>
        <w:t xml:space="preserve"> </w:t>
      </w:r>
    </w:p>
    <w:p w14:paraId="65D8045B" w14:textId="77777777" w:rsidR="00FF7482" w:rsidRPr="00050E85" w:rsidRDefault="00FF7482" w:rsidP="00FB7728">
      <w:pPr>
        <w:spacing w:after="0"/>
      </w:pPr>
    </w:p>
    <w:p w14:paraId="0F6C741C" w14:textId="3F3E1545"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The Workers’ compensation </w:t>
      </w:r>
      <w:r w:rsidRPr="00B93977">
        <w:rPr>
          <w:rFonts w:ascii="Times New Roman" w:hAnsi="Times New Roman" w:cs="Times New Roman"/>
          <w:i/>
          <w:sz w:val="24"/>
          <w:szCs w:val="24"/>
        </w:rPr>
        <w:t>quid pro quo</w:t>
      </w:r>
      <w:r>
        <w:rPr>
          <w:rFonts w:ascii="Times New Roman" w:hAnsi="Times New Roman" w:cs="Times New Roman"/>
          <w:sz w:val="24"/>
          <w:szCs w:val="24"/>
        </w:rPr>
        <w:t xml:space="preserve"> was not upheld by the U.S. Supreme Court until 1917</w:t>
      </w:r>
      <w:bookmarkEnd w:id="205"/>
      <w:r>
        <w:rPr>
          <w:rFonts w:ascii="Times New Roman" w:hAnsi="Times New Roman" w:cs="Times New Roman"/>
          <w:sz w:val="24"/>
          <w:szCs w:val="24"/>
        </w:rPr>
        <w:t xml:space="preserve">, </w:t>
      </w:r>
      <w:r w:rsidRPr="00763645">
        <w:rPr>
          <w:rFonts w:ascii="Times New Roman" w:hAnsi="Times New Roman" w:cs="Times New Roman"/>
          <w:i/>
          <w:iCs/>
          <w:sz w:val="24"/>
          <w:szCs w:val="24"/>
        </w:rPr>
        <w:t>see above</w:t>
      </w:r>
      <w:r>
        <w:rPr>
          <w:rFonts w:ascii="Times New Roman" w:hAnsi="Times New Roman" w:cs="Times New Roman"/>
          <w:sz w:val="24"/>
          <w:szCs w:val="24"/>
        </w:rPr>
        <w:t xml:space="preserve"> at Section 1.3. Thus, states implementing their statutes before 1917 began cautiously by creating mainly elective systems that were compulsory only with respect to “extrahazardous” employers or occupations. This model, it was thought, would more likely lay within the purview of a state’s police powers under then-existing 14</w:t>
      </w:r>
      <w:r w:rsidRPr="00DF212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C4D40">
        <w:rPr>
          <w:rFonts w:ascii="Times New Roman" w:hAnsi="Times New Roman" w:cs="Times New Roman"/>
          <w:sz w:val="24"/>
          <w:szCs w:val="24"/>
        </w:rPr>
        <w:t>A</w:t>
      </w:r>
      <w:r>
        <w:rPr>
          <w:rFonts w:ascii="Times New Roman" w:hAnsi="Times New Roman" w:cs="Times New Roman"/>
          <w:sz w:val="24"/>
          <w:szCs w:val="24"/>
        </w:rPr>
        <w:t xml:space="preserve">mendment due process </w:t>
      </w:r>
      <w:r w:rsidR="0001513A">
        <w:rPr>
          <w:rFonts w:ascii="Times New Roman" w:hAnsi="Times New Roman" w:cs="Times New Roman"/>
          <w:sz w:val="24"/>
          <w:szCs w:val="24"/>
        </w:rPr>
        <w:t>jurisprudence</w:t>
      </w:r>
      <w:r>
        <w:rPr>
          <w:rFonts w:ascii="Times New Roman" w:hAnsi="Times New Roman" w:cs="Times New Roman"/>
          <w:sz w:val="24"/>
          <w:szCs w:val="24"/>
        </w:rPr>
        <w:t>. Indeed, it was just such a model that was upheld by the U.S. Supreme Court in 1917.</w:t>
      </w:r>
      <w:r w:rsidRPr="00112C9C">
        <w:rPr>
          <w:rFonts w:ascii="Times New Roman" w:hAnsi="Times New Roman" w:cs="Times New Roman"/>
          <w:sz w:val="24"/>
          <w:szCs w:val="24"/>
          <w:vertAlign w:val="superscript"/>
        </w:rPr>
        <w:footnoteReference w:id="151"/>
      </w:r>
      <w:r>
        <w:rPr>
          <w:rFonts w:ascii="Times New Roman" w:hAnsi="Times New Roman" w:cs="Times New Roman"/>
          <w:sz w:val="24"/>
          <w:szCs w:val="24"/>
        </w:rPr>
        <w:t xml:space="preserve"> </w:t>
      </w:r>
    </w:p>
    <w:p w14:paraId="02E31992" w14:textId="77777777" w:rsidR="00FF7482" w:rsidRDefault="00FF7482" w:rsidP="00FE123E">
      <w:pPr>
        <w:spacing w:after="0" w:line="240" w:lineRule="auto"/>
        <w:jc w:val="both"/>
        <w:rPr>
          <w:rFonts w:ascii="Times New Roman" w:hAnsi="Times New Roman" w:cs="Times New Roman"/>
          <w:sz w:val="24"/>
          <w:szCs w:val="24"/>
        </w:rPr>
      </w:pPr>
    </w:p>
    <w:p w14:paraId="6992483B" w14:textId="12124575" w:rsidR="00FF7482" w:rsidRPr="00050E85" w:rsidRDefault="00FF7482" w:rsidP="00ED25A2">
      <w:pPr>
        <w:pStyle w:val="Heading2"/>
        <w:rPr>
          <w:rFonts w:ascii="Times New Roman" w:hAnsi="Times New Roman" w:cs="Times New Roman"/>
          <w:b/>
          <w:color w:val="auto"/>
        </w:rPr>
      </w:pPr>
      <w:bookmarkStart w:id="210" w:name="_Toc75269362"/>
      <w:r w:rsidRPr="00050E85">
        <w:rPr>
          <w:rFonts w:ascii="Times New Roman" w:hAnsi="Times New Roman" w:cs="Times New Roman"/>
          <w:b/>
          <w:color w:val="auto"/>
        </w:rPr>
        <w:t>Wyoming’s Retention of Extrahazardous Concept</w:t>
      </w:r>
      <w:bookmarkEnd w:id="210"/>
      <w:r w:rsidRPr="00050E85">
        <w:rPr>
          <w:rFonts w:ascii="Times New Roman" w:hAnsi="Times New Roman" w:cs="Times New Roman"/>
          <w:b/>
          <w:color w:val="auto"/>
        </w:rPr>
        <w:t xml:space="preserve"> </w:t>
      </w:r>
    </w:p>
    <w:p w14:paraId="4FD0F8B5" w14:textId="77777777" w:rsidR="00FF7482" w:rsidRPr="00050E85" w:rsidRDefault="00FF7482" w:rsidP="00FB7728">
      <w:pPr>
        <w:spacing w:after="0"/>
      </w:pPr>
    </w:p>
    <w:p w14:paraId="71F96788" w14:textId="38C3686F"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As</w:t>
      </w:r>
      <w:r w:rsidR="003440DB">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DF212E">
        <w:rPr>
          <w:rFonts w:ascii="Times New Roman" w:hAnsi="Times New Roman" w:cs="Times New Roman"/>
          <w:i/>
          <w:sz w:val="24"/>
          <w:szCs w:val="24"/>
        </w:rPr>
        <w:t>Larson</w:t>
      </w:r>
      <w:r>
        <w:rPr>
          <w:rFonts w:ascii="Times New Roman" w:hAnsi="Times New Roman" w:cs="Times New Roman"/>
          <w:sz w:val="24"/>
          <w:szCs w:val="24"/>
        </w:rPr>
        <w:t>’s treatise also explains, “[v]</w:t>
      </w:r>
      <w:r w:rsidRPr="00DF212E">
        <w:rPr>
          <w:rFonts w:ascii="Times New Roman" w:hAnsi="Times New Roman" w:cs="Times New Roman"/>
          <w:sz w:val="24"/>
          <w:szCs w:val="24"/>
        </w:rPr>
        <w:t xml:space="preserve">estigial traces of the </w:t>
      </w:r>
      <w:bookmarkEnd w:id="204"/>
      <w:r>
        <w:rPr>
          <w:rFonts w:ascii="Times New Roman" w:hAnsi="Times New Roman" w:cs="Times New Roman"/>
          <w:sz w:val="24"/>
          <w:szCs w:val="24"/>
        </w:rPr>
        <w:t>‘</w:t>
      </w:r>
      <w:r w:rsidRPr="00DF212E">
        <w:rPr>
          <w:rFonts w:ascii="Times New Roman" w:hAnsi="Times New Roman" w:cs="Times New Roman"/>
          <w:sz w:val="24"/>
          <w:szCs w:val="24"/>
        </w:rPr>
        <w:t>hazardousness</w:t>
      </w:r>
      <w:r>
        <w:rPr>
          <w:rFonts w:ascii="Times New Roman" w:hAnsi="Times New Roman" w:cs="Times New Roman"/>
          <w:sz w:val="24"/>
          <w:szCs w:val="24"/>
        </w:rPr>
        <w:t>’</w:t>
      </w:r>
      <w:r w:rsidRPr="00DF212E">
        <w:rPr>
          <w:rFonts w:ascii="Times New Roman" w:hAnsi="Times New Roman" w:cs="Times New Roman"/>
          <w:sz w:val="24"/>
          <w:szCs w:val="24"/>
        </w:rPr>
        <w:t xml:space="preserve"> requirement are still to be found in a few states,</w:t>
      </w:r>
      <w:r w:rsidRPr="00112C9C">
        <w:rPr>
          <w:rFonts w:ascii="Times New Roman" w:hAnsi="Times New Roman" w:cs="Times New Roman"/>
          <w:sz w:val="24"/>
          <w:szCs w:val="24"/>
          <w:vertAlign w:val="superscript"/>
        </w:rPr>
        <w:footnoteReference w:id="152"/>
      </w:r>
      <w:r w:rsidRPr="00DF212E">
        <w:rPr>
          <w:rFonts w:ascii="Times New Roman" w:hAnsi="Times New Roman" w:cs="Times New Roman"/>
          <w:sz w:val="24"/>
          <w:szCs w:val="24"/>
        </w:rPr>
        <w:t xml:space="preserve"> but they appear to have no substantial operative importance.</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53"/>
      </w:r>
      <w:r>
        <w:rPr>
          <w:rFonts w:ascii="Times New Roman" w:hAnsi="Times New Roman" w:cs="Times New Roman"/>
          <w:sz w:val="24"/>
          <w:szCs w:val="24"/>
        </w:rPr>
        <w:t xml:space="preserve"> This is not so in Wyoming. As noted above, an “employer” </w:t>
      </w:r>
      <w:r w:rsidRPr="00D22387">
        <w:rPr>
          <w:rFonts w:ascii="Times New Roman" w:hAnsi="Times New Roman" w:cs="Times New Roman"/>
          <w:sz w:val="24"/>
          <w:szCs w:val="24"/>
        </w:rPr>
        <w:t xml:space="preserve">means any person or entity employing an employee engaged in any </w:t>
      </w:r>
      <w:r w:rsidRPr="00F30E11">
        <w:rPr>
          <w:rFonts w:ascii="Times New Roman" w:hAnsi="Times New Roman" w:cs="Times New Roman"/>
          <w:b/>
          <w:bCs/>
          <w:i/>
          <w:iCs/>
          <w:sz w:val="24"/>
          <w:szCs w:val="24"/>
        </w:rPr>
        <w:t>extrahazardous</w:t>
      </w:r>
      <w:r w:rsidRPr="00D22387">
        <w:rPr>
          <w:rFonts w:ascii="Times New Roman" w:hAnsi="Times New Roman" w:cs="Times New Roman"/>
          <w:sz w:val="24"/>
          <w:szCs w:val="24"/>
        </w:rPr>
        <w:t xml:space="preserve"> occupation</w:t>
      </w:r>
      <w:r>
        <w:rPr>
          <w:rFonts w:ascii="Times New Roman" w:hAnsi="Times New Roman" w:cs="Times New Roman"/>
          <w:sz w:val="24"/>
          <w:szCs w:val="24"/>
        </w:rPr>
        <w:t xml:space="preserve"> . . .  and an employee means a</w:t>
      </w:r>
      <w:r w:rsidRPr="004E107B">
        <w:rPr>
          <w:rFonts w:ascii="Times New Roman" w:hAnsi="Times New Roman" w:cs="Times New Roman"/>
          <w:sz w:val="24"/>
          <w:szCs w:val="24"/>
        </w:rPr>
        <w:t xml:space="preserve">ny person engaged in any </w:t>
      </w:r>
      <w:r w:rsidRPr="00F30E11">
        <w:rPr>
          <w:rFonts w:ascii="Times New Roman" w:hAnsi="Times New Roman" w:cs="Times New Roman"/>
          <w:b/>
          <w:bCs/>
          <w:i/>
          <w:iCs/>
          <w:sz w:val="24"/>
          <w:szCs w:val="24"/>
        </w:rPr>
        <w:t>extrahazardous</w:t>
      </w:r>
      <w:r w:rsidRPr="004E107B">
        <w:rPr>
          <w:rFonts w:ascii="Times New Roman" w:hAnsi="Times New Roman" w:cs="Times New Roman"/>
          <w:sz w:val="24"/>
          <w:szCs w:val="24"/>
        </w:rPr>
        <w:t xml:space="preserve"> employment</w:t>
      </w:r>
      <w:r>
        <w:rPr>
          <w:rFonts w:ascii="Times New Roman" w:hAnsi="Times New Roman" w:cs="Times New Roman"/>
          <w:sz w:val="24"/>
          <w:szCs w:val="24"/>
        </w:rPr>
        <w:t xml:space="preserve"> . . .” Obviously, the concept of extrahazardous employment is explicitly central to the Wyoming workers’ compensation structure.</w:t>
      </w:r>
    </w:p>
    <w:p w14:paraId="263A2E84" w14:textId="77777777" w:rsidR="00FF7482" w:rsidRDefault="00FF7482" w:rsidP="006A3226">
      <w:pPr>
        <w:spacing w:after="0"/>
        <w:jc w:val="both"/>
        <w:rPr>
          <w:rFonts w:ascii="Times New Roman" w:hAnsi="Times New Roman" w:cs="Times New Roman"/>
          <w:sz w:val="24"/>
          <w:szCs w:val="24"/>
        </w:rPr>
      </w:pPr>
    </w:p>
    <w:p w14:paraId="66892D4A" w14:textId="3EF9B535" w:rsidR="00FF7482" w:rsidRPr="00050E85" w:rsidRDefault="00FF7482" w:rsidP="00ED25A2">
      <w:pPr>
        <w:pStyle w:val="Heading2"/>
        <w:rPr>
          <w:rFonts w:ascii="Times New Roman" w:hAnsi="Times New Roman" w:cs="Times New Roman"/>
          <w:b/>
          <w:color w:val="auto"/>
        </w:rPr>
      </w:pPr>
      <w:bookmarkStart w:id="214" w:name="_Toc75269363"/>
      <w:r>
        <w:rPr>
          <w:rFonts w:ascii="Times New Roman" w:hAnsi="Times New Roman" w:cs="Times New Roman"/>
          <w:b/>
          <w:color w:val="auto"/>
        </w:rPr>
        <w:t xml:space="preserve">Wyoming </w:t>
      </w:r>
      <w:r w:rsidRPr="00050E85">
        <w:rPr>
          <w:rFonts w:ascii="Times New Roman" w:hAnsi="Times New Roman" w:cs="Times New Roman"/>
          <w:b/>
          <w:color w:val="auto"/>
        </w:rPr>
        <w:t>Extrahazardous Employment Structure</w:t>
      </w:r>
      <w:bookmarkEnd w:id="214"/>
      <w:r w:rsidRPr="00050E85">
        <w:rPr>
          <w:rFonts w:ascii="Times New Roman" w:hAnsi="Times New Roman" w:cs="Times New Roman"/>
          <w:b/>
          <w:color w:val="auto"/>
        </w:rPr>
        <w:tab/>
      </w:r>
    </w:p>
    <w:p w14:paraId="64FFE0E7" w14:textId="77777777" w:rsidR="00FF7482" w:rsidRPr="00050E85" w:rsidRDefault="00FF7482" w:rsidP="00FB7728">
      <w:pPr>
        <w:spacing w:after="0"/>
      </w:pPr>
    </w:p>
    <w:p w14:paraId="206D462D" w14:textId="2D6BC9C3"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The first important point to make about Wyoming extrahazardous employment is that the “</w:t>
      </w:r>
      <w:r w:rsidRPr="0028201D">
        <w:rPr>
          <w:rFonts w:ascii="Times New Roman" w:hAnsi="Times New Roman" w:cs="Times New Roman"/>
          <w:sz w:val="24"/>
          <w:szCs w:val="24"/>
        </w:rPr>
        <w:t>Extrahazardous industries, employments, occupations</w:t>
      </w:r>
      <w:r>
        <w:rPr>
          <w:rFonts w:ascii="Times New Roman" w:hAnsi="Times New Roman" w:cs="Times New Roman"/>
          <w:sz w:val="24"/>
          <w:szCs w:val="24"/>
        </w:rPr>
        <w:t xml:space="preserve"> . . .” section of the Wyoming statute</w:t>
      </w:r>
      <w:r w:rsidRPr="00112C9C">
        <w:rPr>
          <w:rFonts w:ascii="Times New Roman" w:hAnsi="Times New Roman" w:cs="Times New Roman"/>
          <w:sz w:val="24"/>
          <w:szCs w:val="24"/>
          <w:vertAlign w:val="superscript"/>
        </w:rPr>
        <w:footnoteReference w:id="154"/>
      </w:r>
      <w:r>
        <w:rPr>
          <w:rFonts w:ascii="Times New Roman" w:hAnsi="Times New Roman" w:cs="Times New Roman"/>
          <w:sz w:val="24"/>
          <w:szCs w:val="24"/>
        </w:rPr>
        <w:t xml:space="preserve"> is confusing to read. The second important point to make is that many, many occupations have been designated as “extrahazardous,” though they would not be deemed as such by an outside observer. Extrahazardous employments in the private sector are incorporated directly from “</w:t>
      </w:r>
      <w:r w:rsidRPr="00A57F97">
        <w:rPr>
          <w:rFonts w:ascii="Times New Roman" w:hAnsi="Times New Roman" w:cs="Times New Roman"/>
          <w:sz w:val="24"/>
          <w:szCs w:val="24"/>
        </w:rPr>
        <w:t>the most recent edition</w:t>
      </w:r>
      <w:r>
        <w:rPr>
          <w:rFonts w:ascii="Times New Roman" w:hAnsi="Times New Roman" w:cs="Times New Roman"/>
          <w:sz w:val="24"/>
          <w:szCs w:val="24"/>
        </w:rPr>
        <w:t>”</w:t>
      </w:r>
      <w:r w:rsidRPr="00A57F97">
        <w:rPr>
          <w:rFonts w:ascii="Times New Roman" w:hAnsi="Times New Roman" w:cs="Times New Roman"/>
          <w:sz w:val="24"/>
          <w:szCs w:val="24"/>
        </w:rPr>
        <w:t xml:space="preserve"> of the North American Industry Classification System (NAICS) manual</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55"/>
      </w:r>
      <w:r>
        <w:rPr>
          <w:rFonts w:ascii="Times New Roman" w:hAnsi="Times New Roman" w:cs="Times New Roman"/>
          <w:sz w:val="24"/>
          <w:szCs w:val="24"/>
        </w:rPr>
        <w:t xml:space="preserve"> </w:t>
      </w:r>
    </w:p>
    <w:p w14:paraId="7D149E54" w14:textId="77777777" w:rsidR="00ED25A2" w:rsidRDefault="00ED25A2" w:rsidP="00ED25A2">
      <w:pPr>
        <w:spacing w:after="0"/>
        <w:jc w:val="both"/>
        <w:rPr>
          <w:rStyle w:val="Hyperlink"/>
          <w:rFonts w:ascii="Times New Roman" w:hAnsi="Times New Roman" w:cs="Times New Roman"/>
          <w:color w:val="auto"/>
          <w:sz w:val="24"/>
          <w:szCs w:val="24"/>
          <w:u w:val="none"/>
        </w:rPr>
      </w:pPr>
    </w:p>
    <w:p w14:paraId="30F5900E" w14:textId="1C903E3F" w:rsidR="00FF7482" w:rsidRDefault="00FF7482" w:rsidP="00ED25A2">
      <w:pPr>
        <w:spacing w:after="0"/>
        <w:jc w:val="both"/>
        <w:rPr>
          <w:rStyle w:val="Hyperlink"/>
          <w:rFonts w:ascii="Times New Roman" w:hAnsi="Times New Roman" w:cs="Times New Roman"/>
          <w:sz w:val="24"/>
          <w:szCs w:val="24"/>
          <w:vertAlign w:val="superscript"/>
        </w:rPr>
      </w:pPr>
      <w:r w:rsidRPr="00CC46B2">
        <w:rPr>
          <w:rStyle w:val="Hyperlink"/>
          <w:rFonts w:ascii="Times New Roman" w:hAnsi="Times New Roman" w:cs="Times New Roman"/>
          <w:color w:val="auto"/>
          <w:sz w:val="24"/>
          <w:szCs w:val="24"/>
          <w:u w:val="none"/>
        </w:rPr>
        <w:t>W.S.</w:t>
      </w:r>
      <w:bookmarkStart w:id="218" w:name="_Hlk517017879"/>
      <w:r w:rsidR="003C073B">
        <w:rPr>
          <w:rStyle w:val="Hyperlink"/>
          <w:rFonts w:ascii="Times New Roman" w:hAnsi="Times New Roman" w:cs="Times New Roman"/>
          <w:color w:val="auto"/>
          <w:sz w:val="24"/>
          <w:szCs w:val="24"/>
          <w:u w:val="none"/>
        </w:rPr>
        <w:t xml:space="preserve"> </w:t>
      </w:r>
      <w:r w:rsidRPr="00CC46B2">
        <w:rPr>
          <w:rStyle w:val="Hyperlink"/>
          <w:rFonts w:ascii="Times New Roman" w:hAnsi="Times New Roman" w:cs="Times New Roman"/>
          <w:color w:val="auto"/>
          <w:sz w:val="24"/>
          <w:szCs w:val="24"/>
          <w:u w:val="none"/>
        </w:rPr>
        <w:t xml:space="preserve">§ </w:t>
      </w:r>
      <w:hyperlink r:id="rId49" w:history="1">
        <w:r w:rsidRPr="00CC46B2">
          <w:rPr>
            <w:rStyle w:val="Hyperlink"/>
            <w:rFonts w:ascii="Times New Roman" w:hAnsi="Times New Roman" w:cs="Times New Roman"/>
            <w:sz w:val="24"/>
            <w:szCs w:val="24"/>
          </w:rPr>
          <w:t>27-14-108</w:t>
        </w:r>
      </w:hyperlink>
      <w:r>
        <w:rPr>
          <w:rFonts w:ascii="Times New Roman" w:hAnsi="Times New Roman" w:cs="Times New Roman"/>
          <w:sz w:val="24"/>
          <w:szCs w:val="24"/>
        </w:rPr>
        <w:t xml:space="preserve">(a)(ii) </w:t>
      </w:r>
      <w:bookmarkEnd w:id="218"/>
      <w:r>
        <w:rPr>
          <w:rFonts w:ascii="Times New Roman" w:hAnsi="Times New Roman" w:cs="Times New Roman"/>
          <w:sz w:val="24"/>
          <w:szCs w:val="24"/>
        </w:rPr>
        <w:t>deems all workers in certain industries, regardless of their occupations, to be engaged in extrahazardous employment.</w:t>
      </w:r>
      <w:hyperlink w:anchor="f142" w:history="1">
        <w:r w:rsidRPr="00614C70">
          <w:rPr>
            <w:rStyle w:val="Hyperlink"/>
            <w:rFonts w:ascii="Times New Roman" w:hAnsi="Times New Roman" w:cs="Times New Roman"/>
            <w:sz w:val="24"/>
            <w:szCs w:val="24"/>
            <w:vertAlign w:val="superscript"/>
          </w:rPr>
          <w:footnoteReference w:id="156"/>
        </w:r>
      </w:hyperlink>
      <w:r>
        <w:rPr>
          <w:rFonts w:ascii="Times New Roman" w:hAnsi="Times New Roman" w:cs="Times New Roman"/>
          <w:sz w:val="24"/>
          <w:szCs w:val="24"/>
        </w:rPr>
        <w:t xml:space="preserve"> </w:t>
      </w:r>
      <w:bookmarkStart w:id="220" w:name="_Hlk517019863"/>
      <w:r w:rsidRPr="00CC46B2">
        <w:rPr>
          <w:rStyle w:val="Hyperlink"/>
          <w:rFonts w:ascii="Times New Roman" w:hAnsi="Times New Roman" w:cs="Times New Roman"/>
          <w:color w:val="auto"/>
          <w:sz w:val="24"/>
          <w:szCs w:val="24"/>
          <w:u w:val="none"/>
        </w:rPr>
        <w:t xml:space="preserve">W.S. § </w:t>
      </w:r>
      <w:hyperlink r:id="rId50" w:history="1">
        <w:r w:rsidRPr="00CC46B2">
          <w:rPr>
            <w:rStyle w:val="Hyperlink"/>
            <w:rFonts w:ascii="Times New Roman" w:hAnsi="Times New Roman" w:cs="Times New Roman"/>
            <w:sz w:val="24"/>
            <w:szCs w:val="24"/>
          </w:rPr>
          <w:t>27-14-108</w:t>
        </w:r>
      </w:hyperlink>
      <w:r w:rsidRPr="0097327E">
        <w:rPr>
          <w:rStyle w:val="Hyperlink"/>
          <w:rFonts w:ascii="Times New Roman" w:hAnsi="Times New Roman" w:cs="Times New Roman"/>
          <w:color w:val="auto"/>
          <w:sz w:val="24"/>
          <w:szCs w:val="24"/>
          <w:u w:val="none"/>
        </w:rPr>
        <w:t>(d)</w:t>
      </w:r>
      <w:bookmarkEnd w:id="220"/>
      <w:r w:rsidRPr="0097327E">
        <w:rPr>
          <w:rFonts w:ascii="Times New Roman" w:hAnsi="Times New Roman" w:cs="Times New Roman"/>
          <w:sz w:val="24"/>
          <w:szCs w:val="24"/>
        </w:rPr>
        <w:t xml:space="preserve">, </w:t>
      </w:r>
      <w:r>
        <w:rPr>
          <w:rFonts w:ascii="Times New Roman" w:hAnsi="Times New Roman" w:cs="Times New Roman"/>
          <w:sz w:val="24"/>
          <w:szCs w:val="24"/>
        </w:rPr>
        <w:t xml:space="preserve">in turn, applies the Act </w:t>
      </w:r>
      <w:r w:rsidRPr="00023620">
        <w:rPr>
          <w:rFonts w:ascii="Times New Roman" w:hAnsi="Times New Roman" w:cs="Times New Roman"/>
          <w:sz w:val="24"/>
          <w:szCs w:val="24"/>
        </w:rPr>
        <w:t xml:space="preserve">to governmental entities engaged in </w:t>
      </w:r>
      <w:r>
        <w:rPr>
          <w:rFonts w:ascii="Times New Roman" w:hAnsi="Times New Roman" w:cs="Times New Roman"/>
          <w:sz w:val="24"/>
          <w:szCs w:val="24"/>
        </w:rPr>
        <w:t xml:space="preserve">the </w:t>
      </w:r>
      <w:r w:rsidRPr="00023620">
        <w:rPr>
          <w:rFonts w:ascii="Times New Roman" w:hAnsi="Times New Roman" w:cs="Times New Roman"/>
          <w:sz w:val="24"/>
          <w:szCs w:val="24"/>
        </w:rPr>
        <w:t>classification</w:t>
      </w:r>
      <w:r>
        <w:rPr>
          <w:rFonts w:ascii="Times New Roman" w:hAnsi="Times New Roman" w:cs="Times New Roman"/>
          <w:sz w:val="24"/>
          <w:szCs w:val="24"/>
        </w:rPr>
        <w:t>s</w:t>
      </w:r>
      <w:r w:rsidRPr="00023620">
        <w:rPr>
          <w:rFonts w:ascii="Times New Roman" w:hAnsi="Times New Roman" w:cs="Times New Roman"/>
          <w:sz w:val="24"/>
          <w:szCs w:val="24"/>
        </w:rPr>
        <w:t xml:space="preserve"> </w:t>
      </w:r>
      <w:r>
        <w:rPr>
          <w:rFonts w:ascii="Times New Roman" w:hAnsi="Times New Roman" w:cs="Times New Roman"/>
          <w:sz w:val="24"/>
          <w:szCs w:val="24"/>
        </w:rPr>
        <w:t xml:space="preserve">set out in </w:t>
      </w:r>
      <w:r w:rsidRPr="00CC46B2">
        <w:rPr>
          <w:rFonts w:ascii="Times New Roman" w:hAnsi="Times New Roman" w:cs="Times New Roman"/>
          <w:sz w:val="24"/>
          <w:szCs w:val="24"/>
        </w:rPr>
        <w:t xml:space="preserve">W.S. § </w:t>
      </w:r>
      <w:hyperlink r:id="rId51" w:history="1">
        <w:r w:rsidRPr="00CC46B2">
          <w:rPr>
            <w:rStyle w:val="Hyperlink"/>
            <w:rFonts w:ascii="Times New Roman" w:hAnsi="Times New Roman" w:cs="Times New Roman"/>
            <w:sz w:val="24"/>
            <w:szCs w:val="24"/>
          </w:rPr>
          <w:t>27-14-108</w:t>
        </w:r>
      </w:hyperlink>
      <w:r w:rsidRPr="00023620">
        <w:rPr>
          <w:rFonts w:ascii="Times New Roman" w:hAnsi="Times New Roman" w:cs="Times New Roman"/>
          <w:sz w:val="24"/>
          <w:szCs w:val="24"/>
        </w:rPr>
        <w:t>(a)(ii)</w:t>
      </w:r>
      <w:r>
        <w:rPr>
          <w:rFonts w:ascii="Times New Roman" w:hAnsi="Times New Roman" w:cs="Times New Roman"/>
          <w:sz w:val="24"/>
          <w:szCs w:val="24"/>
        </w:rPr>
        <w:t xml:space="preserve">, </w:t>
      </w:r>
      <w:r w:rsidRPr="00023620">
        <w:rPr>
          <w:rFonts w:ascii="Times New Roman" w:hAnsi="Times New Roman" w:cs="Times New Roman"/>
          <w:sz w:val="24"/>
          <w:szCs w:val="24"/>
        </w:rPr>
        <w:t>and</w:t>
      </w:r>
      <w:r>
        <w:rPr>
          <w:rFonts w:ascii="Times New Roman" w:hAnsi="Times New Roman" w:cs="Times New Roman"/>
          <w:sz w:val="24"/>
          <w:szCs w:val="24"/>
        </w:rPr>
        <w:t xml:space="preserve"> further applies the Act</w:t>
      </w:r>
      <w:r w:rsidRPr="00023620">
        <w:rPr>
          <w:rFonts w:ascii="Times New Roman" w:hAnsi="Times New Roman" w:cs="Times New Roman"/>
          <w:sz w:val="24"/>
          <w:szCs w:val="24"/>
        </w:rPr>
        <w:t xml:space="preserve"> to employees of governmental entities engaged in</w:t>
      </w:r>
      <w:r>
        <w:rPr>
          <w:rFonts w:ascii="Times New Roman" w:hAnsi="Times New Roman" w:cs="Times New Roman"/>
          <w:sz w:val="24"/>
          <w:szCs w:val="24"/>
        </w:rPr>
        <w:t xml:space="preserve"> certain activities </w:t>
      </w:r>
      <w:r w:rsidRPr="00886EC1">
        <w:rPr>
          <w:rFonts w:ascii="Times New Roman" w:hAnsi="Times New Roman" w:cs="Times New Roman"/>
          <w:i/>
          <w:sz w:val="24"/>
          <w:szCs w:val="24"/>
        </w:rPr>
        <w:t>or</w:t>
      </w:r>
      <w:r>
        <w:rPr>
          <w:rFonts w:ascii="Times New Roman" w:hAnsi="Times New Roman" w:cs="Times New Roman"/>
          <w:sz w:val="24"/>
          <w:szCs w:val="24"/>
        </w:rPr>
        <w:t xml:space="preserve"> specific occupations, even if not engaged in the 108(a)(ii) employments.</w:t>
      </w:r>
      <w:r w:rsidRPr="00112C9C">
        <w:rPr>
          <w:rFonts w:ascii="Times New Roman" w:hAnsi="Times New Roman" w:cs="Times New Roman"/>
          <w:sz w:val="24"/>
          <w:szCs w:val="24"/>
          <w:vertAlign w:val="superscript"/>
        </w:rPr>
        <w:footnoteReference w:id="157"/>
      </w:r>
      <w:r>
        <w:rPr>
          <w:rFonts w:ascii="Times New Roman" w:hAnsi="Times New Roman" w:cs="Times New Roman"/>
          <w:sz w:val="24"/>
          <w:szCs w:val="24"/>
        </w:rPr>
        <w:t xml:space="preserve"> Finally, </w:t>
      </w:r>
      <w:r w:rsidRPr="00CC46B2">
        <w:rPr>
          <w:rFonts w:ascii="Times New Roman" w:hAnsi="Times New Roman" w:cs="Times New Roman"/>
          <w:sz w:val="24"/>
          <w:szCs w:val="24"/>
        </w:rPr>
        <w:t xml:space="preserve">W.S. </w:t>
      </w:r>
      <w:bookmarkStart w:id="222" w:name="_Hlk517020755"/>
      <w:r w:rsidRPr="00CC46B2">
        <w:rPr>
          <w:rFonts w:ascii="Times New Roman" w:hAnsi="Times New Roman" w:cs="Times New Roman"/>
          <w:sz w:val="24"/>
          <w:szCs w:val="24"/>
        </w:rPr>
        <w:t xml:space="preserve">§ </w:t>
      </w:r>
      <w:hyperlink r:id="rId52" w:history="1">
        <w:r w:rsidRPr="00CC46B2">
          <w:rPr>
            <w:rStyle w:val="Hyperlink"/>
            <w:rFonts w:ascii="Times New Roman" w:hAnsi="Times New Roman" w:cs="Times New Roman"/>
            <w:sz w:val="24"/>
            <w:szCs w:val="24"/>
          </w:rPr>
          <w:t>27-14-108</w:t>
        </w:r>
      </w:hyperlink>
      <w:r w:rsidRPr="00CC46B2">
        <w:rPr>
          <w:rFonts w:ascii="Times New Roman" w:hAnsi="Times New Roman" w:cs="Times New Roman"/>
          <w:sz w:val="24"/>
          <w:szCs w:val="24"/>
        </w:rPr>
        <w:t>(e)</w:t>
      </w:r>
      <w:bookmarkEnd w:id="222"/>
      <w:r>
        <w:rPr>
          <w:rFonts w:ascii="Times New Roman" w:hAnsi="Times New Roman" w:cs="Times New Roman"/>
          <w:sz w:val="24"/>
          <w:szCs w:val="24"/>
        </w:rPr>
        <w:t xml:space="preserve"> applies the Act to several categories of volunteers.</w:t>
      </w:r>
      <w:r w:rsidRPr="00112C9C">
        <w:rPr>
          <w:rFonts w:ascii="Times New Roman" w:hAnsi="Times New Roman" w:cs="Times New Roman"/>
          <w:sz w:val="24"/>
          <w:szCs w:val="24"/>
          <w:vertAlign w:val="superscript"/>
        </w:rPr>
        <w:footnoteReference w:id="158"/>
      </w:r>
    </w:p>
    <w:p w14:paraId="0D7D0864" w14:textId="77777777" w:rsidR="00ED25A2" w:rsidRDefault="00ED25A2" w:rsidP="00ED25A2">
      <w:pPr>
        <w:spacing w:after="0"/>
        <w:jc w:val="both"/>
        <w:rPr>
          <w:rFonts w:ascii="Times New Roman" w:hAnsi="Times New Roman" w:cs="Times New Roman"/>
          <w:sz w:val="24"/>
          <w:szCs w:val="24"/>
        </w:rPr>
      </w:pPr>
    </w:p>
    <w:p w14:paraId="7D0E3DF9" w14:textId="4E9500C9"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extrahazardous employments section also contains miscellaneous provisions. </w:t>
      </w:r>
      <w:r w:rsidRPr="00CC46B2">
        <w:rPr>
          <w:rFonts w:ascii="Times New Roman" w:hAnsi="Times New Roman" w:cs="Times New Roman"/>
          <w:sz w:val="24"/>
          <w:szCs w:val="24"/>
        </w:rPr>
        <w:t xml:space="preserve">W.S. </w:t>
      </w:r>
      <w:bookmarkStart w:id="224" w:name="_Hlk517021179"/>
      <w:r w:rsidRPr="00CC46B2">
        <w:rPr>
          <w:rFonts w:ascii="Times New Roman" w:hAnsi="Times New Roman" w:cs="Times New Roman"/>
          <w:sz w:val="24"/>
          <w:szCs w:val="24"/>
        </w:rPr>
        <w:t xml:space="preserve">§ </w:t>
      </w:r>
      <w:hyperlink r:id="rId53" w:history="1">
        <w:r w:rsidRPr="00CC46B2">
          <w:rPr>
            <w:rStyle w:val="Hyperlink"/>
            <w:rFonts w:ascii="Times New Roman" w:hAnsi="Times New Roman" w:cs="Times New Roman"/>
            <w:sz w:val="24"/>
            <w:szCs w:val="24"/>
          </w:rPr>
          <w:t>27-14-108</w:t>
        </w:r>
      </w:hyperlink>
      <w:r>
        <w:rPr>
          <w:rFonts w:ascii="Times New Roman" w:hAnsi="Times New Roman" w:cs="Times New Roman"/>
          <w:sz w:val="24"/>
          <w:szCs w:val="24"/>
        </w:rPr>
        <w:t>(o)</w:t>
      </w:r>
      <w:bookmarkEnd w:id="224"/>
      <w:r>
        <w:rPr>
          <w:rFonts w:ascii="Times New Roman" w:hAnsi="Times New Roman" w:cs="Times New Roman"/>
          <w:sz w:val="24"/>
          <w:szCs w:val="24"/>
        </w:rPr>
        <w:t xml:space="preserve"> permits Wyoming administrative officials to </w:t>
      </w:r>
      <w:r w:rsidRPr="00F17320">
        <w:rPr>
          <w:rFonts w:ascii="Times New Roman" w:hAnsi="Times New Roman" w:cs="Times New Roman"/>
          <w:sz w:val="24"/>
          <w:szCs w:val="24"/>
        </w:rPr>
        <w:t>exclude arts, entertainment and recreation</w:t>
      </w:r>
      <w:r>
        <w:t xml:space="preserve"> </w:t>
      </w:r>
      <w:r w:rsidRPr="00F17320">
        <w:rPr>
          <w:rFonts w:ascii="Times New Roman" w:hAnsi="Times New Roman" w:cs="Times New Roman"/>
          <w:sz w:val="24"/>
          <w:szCs w:val="24"/>
        </w:rPr>
        <w:t>employment from coverage</w:t>
      </w:r>
      <w:r>
        <w:rPr>
          <w:rFonts w:ascii="Times New Roman" w:hAnsi="Times New Roman" w:cs="Times New Roman"/>
          <w:sz w:val="24"/>
          <w:szCs w:val="24"/>
        </w:rPr>
        <w:t xml:space="preserve"> </w:t>
      </w:r>
      <w:r w:rsidRPr="00F17320">
        <w:rPr>
          <w:rFonts w:ascii="Times New Roman" w:hAnsi="Times New Roman" w:cs="Times New Roman"/>
          <w:sz w:val="24"/>
          <w:szCs w:val="24"/>
        </w:rPr>
        <w:t>if it determines the primary source of revenue of the employer's business is derived from</w:t>
      </w:r>
      <w:r>
        <w:rPr>
          <w:rFonts w:ascii="Times New Roman" w:hAnsi="Times New Roman" w:cs="Times New Roman"/>
          <w:sz w:val="24"/>
          <w:szCs w:val="24"/>
        </w:rPr>
        <w:t xml:space="preserve"> certain subsectors of the “</w:t>
      </w:r>
      <w:r w:rsidRPr="00F17320">
        <w:rPr>
          <w:rFonts w:ascii="Times New Roman" w:hAnsi="Times New Roman" w:cs="Times New Roman"/>
          <w:sz w:val="24"/>
          <w:szCs w:val="24"/>
        </w:rPr>
        <w:t>Agriculture, forestry, fishing and hunting</w:t>
      </w:r>
      <w:r>
        <w:rPr>
          <w:rFonts w:ascii="Times New Roman" w:hAnsi="Times New Roman" w:cs="Times New Roman"/>
          <w:sz w:val="24"/>
          <w:szCs w:val="24"/>
        </w:rPr>
        <w:t xml:space="preserve">” sector. </w:t>
      </w:r>
    </w:p>
    <w:p w14:paraId="6DE8AFC6" w14:textId="77777777" w:rsidR="00ED25A2" w:rsidRDefault="00ED25A2" w:rsidP="00ED25A2">
      <w:pPr>
        <w:spacing w:after="0"/>
        <w:jc w:val="both"/>
        <w:rPr>
          <w:rFonts w:ascii="Times New Roman" w:hAnsi="Times New Roman" w:cs="Times New Roman"/>
          <w:sz w:val="24"/>
          <w:szCs w:val="24"/>
        </w:rPr>
      </w:pPr>
      <w:bookmarkStart w:id="225" w:name="_Hlk517021547"/>
    </w:p>
    <w:p w14:paraId="07D3E3D1" w14:textId="12AC2D3A" w:rsidR="00FF7482" w:rsidRDefault="00FF7482" w:rsidP="00ED25A2">
      <w:pPr>
        <w:spacing w:after="0"/>
        <w:jc w:val="both"/>
        <w:rPr>
          <w:rFonts w:ascii="Times New Roman" w:hAnsi="Times New Roman" w:cs="Times New Roman"/>
          <w:sz w:val="24"/>
          <w:szCs w:val="24"/>
        </w:rPr>
      </w:pPr>
      <w:r w:rsidRPr="00CC46B2">
        <w:rPr>
          <w:rFonts w:ascii="Times New Roman" w:hAnsi="Times New Roman" w:cs="Times New Roman"/>
          <w:sz w:val="24"/>
          <w:szCs w:val="24"/>
        </w:rPr>
        <w:t xml:space="preserve">W.S. § </w:t>
      </w:r>
      <w:hyperlink r:id="rId54" w:history="1">
        <w:r w:rsidRPr="00CC46B2">
          <w:rPr>
            <w:rStyle w:val="Hyperlink"/>
            <w:rFonts w:ascii="Times New Roman" w:hAnsi="Times New Roman" w:cs="Times New Roman"/>
            <w:sz w:val="24"/>
            <w:szCs w:val="24"/>
          </w:rPr>
          <w:t>27-14-108</w:t>
        </w:r>
      </w:hyperlink>
      <w:r w:rsidRPr="00CC46B2">
        <w:rPr>
          <w:rFonts w:ascii="Times New Roman" w:hAnsi="Times New Roman" w:cs="Times New Roman"/>
          <w:sz w:val="24"/>
          <w:szCs w:val="24"/>
        </w:rPr>
        <w:t>(p)</w:t>
      </w:r>
      <w:r>
        <w:rPr>
          <w:rFonts w:ascii="Times New Roman" w:hAnsi="Times New Roman" w:cs="Times New Roman"/>
          <w:sz w:val="24"/>
          <w:szCs w:val="24"/>
        </w:rPr>
        <w:t xml:space="preserve"> </w:t>
      </w:r>
      <w:bookmarkEnd w:id="225"/>
      <w:r>
        <w:rPr>
          <w:rFonts w:ascii="Times New Roman" w:hAnsi="Times New Roman" w:cs="Times New Roman"/>
          <w:sz w:val="24"/>
          <w:szCs w:val="24"/>
        </w:rPr>
        <w:t xml:space="preserve">states that “[a]ny </w:t>
      </w:r>
      <w:r w:rsidRPr="0030371D">
        <w:rPr>
          <w:rFonts w:ascii="Times New Roman" w:hAnsi="Times New Roman" w:cs="Times New Roman"/>
          <w:sz w:val="24"/>
          <w:szCs w:val="24"/>
        </w:rPr>
        <w:t>university of the state of Wyoming or any community college, school district or private or parochial school or college may elect to obtain coverage under this act for any person who may at any time be receiving training under any work or job training program for the purpose of training or learning trades or occupations. The bona fide student so placed shall be deemed an employee of the respective university, community college, school district or private or parochial school or college sponsoring the training or rehabilitation program.</w:t>
      </w:r>
      <w:r>
        <w:rPr>
          <w:rFonts w:ascii="Times New Roman" w:hAnsi="Times New Roman" w:cs="Times New Roman"/>
          <w:sz w:val="24"/>
          <w:szCs w:val="24"/>
        </w:rPr>
        <w:t>”</w:t>
      </w:r>
    </w:p>
    <w:p w14:paraId="724FCBEE" w14:textId="77777777" w:rsidR="00ED25A2" w:rsidRDefault="00ED25A2" w:rsidP="00ED25A2">
      <w:pPr>
        <w:spacing w:after="0"/>
        <w:jc w:val="both"/>
        <w:rPr>
          <w:rFonts w:ascii="Times New Roman" w:hAnsi="Times New Roman" w:cs="Times New Roman"/>
          <w:sz w:val="24"/>
          <w:szCs w:val="24"/>
        </w:rPr>
      </w:pPr>
    </w:p>
    <w:p w14:paraId="7C66AAD5" w14:textId="0936733A" w:rsidR="00FF7482" w:rsidRDefault="00FF7482" w:rsidP="00ED25A2">
      <w:pPr>
        <w:spacing w:after="0"/>
        <w:jc w:val="both"/>
        <w:rPr>
          <w:rFonts w:ascii="Times New Roman" w:hAnsi="Times New Roman" w:cs="Times New Roman"/>
          <w:sz w:val="24"/>
          <w:szCs w:val="24"/>
        </w:rPr>
      </w:pPr>
      <w:r w:rsidRPr="00CC46B2">
        <w:rPr>
          <w:rFonts w:ascii="Times New Roman" w:hAnsi="Times New Roman" w:cs="Times New Roman"/>
          <w:sz w:val="24"/>
          <w:szCs w:val="24"/>
        </w:rPr>
        <w:t xml:space="preserve">W.S. § </w:t>
      </w:r>
      <w:hyperlink r:id="rId55" w:history="1">
        <w:r w:rsidRPr="00CC46B2">
          <w:rPr>
            <w:rStyle w:val="Hyperlink"/>
            <w:rFonts w:ascii="Times New Roman" w:hAnsi="Times New Roman" w:cs="Times New Roman"/>
            <w:sz w:val="24"/>
            <w:szCs w:val="24"/>
          </w:rPr>
          <w:t>27-14-108</w:t>
        </w:r>
      </w:hyperlink>
      <w:r w:rsidRPr="00CC46B2">
        <w:rPr>
          <w:rFonts w:ascii="Times New Roman" w:hAnsi="Times New Roman" w:cs="Times New Roman"/>
          <w:sz w:val="24"/>
          <w:szCs w:val="24"/>
        </w:rPr>
        <w:t>(q)</w:t>
      </w:r>
      <w:r>
        <w:rPr>
          <w:rFonts w:ascii="Times New Roman" w:hAnsi="Times New Roman" w:cs="Times New Roman"/>
          <w:sz w:val="24"/>
          <w:szCs w:val="24"/>
        </w:rPr>
        <w:t xml:space="preserve"> requires workers’ compensation coverage for professional athletes. </w:t>
      </w:r>
    </w:p>
    <w:p w14:paraId="00445A42" w14:textId="77777777" w:rsidR="00FF7482" w:rsidRDefault="00FF7482" w:rsidP="006A3226">
      <w:pPr>
        <w:spacing w:after="0"/>
        <w:jc w:val="both"/>
        <w:rPr>
          <w:rFonts w:ascii="Times New Roman" w:hAnsi="Times New Roman" w:cs="Times New Roman"/>
          <w:sz w:val="24"/>
          <w:szCs w:val="24"/>
        </w:rPr>
      </w:pPr>
    </w:p>
    <w:p w14:paraId="519187C6" w14:textId="11A7653C" w:rsidR="00FF7482" w:rsidRPr="00050E85" w:rsidRDefault="00FF7482" w:rsidP="00ED25A2">
      <w:pPr>
        <w:pStyle w:val="Heading2"/>
        <w:rPr>
          <w:rFonts w:ascii="Times New Roman" w:hAnsi="Times New Roman" w:cs="Times New Roman"/>
          <w:b/>
          <w:color w:val="auto"/>
        </w:rPr>
      </w:pPr>
      <w:bookmarkStart w:id="226" w:name="_Toc75269364"/>
      <w:r w:rsidRPr="00050E85">
        <w:rPr>
          <w:rFonts w:ascii="Times New Roman" w:hAnsi="Times New Roman" w:cs="Times New Roman"/>
          <w:b/>
          <w:color w:val="auto"/>
        </w:rPr>
        <w:t>Discussion of Extrahazardous Employment in Wyoming</w:t>
      </w:r>
      <w:bookmarkEnd w:id="226"/>
    </w:p>
    <w:p w14:paraId="5DDFED8F" w14:textId="77777777" w:rsidR="00FF7482" w:rsidRPr="00050E85" w:rsidRDefault="00FF7482" w:rsidP="00FB7728">
      <w:pPr>
        <w:spacing w:after="0"/>
      </w:pPr>
    </w:p>
    <w:p w14:paraId="47A23583" w14:textId="22767A41"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The statutory structure of Wyoming extrahazardous employment provisions is extraordinary. It seems likely that irregular accretions of employments to extrahazardous categorizations has been driven by mandates of the </w:t>
      </w:r>
      <w:r w:rsidRPr="002B6F5A">
        <w:rPr>
          <w:rFonts w:ascii="Times New Roman" w:hAnsi="Times New Roman" w:cs="Times New Roman"/>
          <w:sz w:val="24"/>
          <w:szCs w:val="24"/>
        </w:rPr>
        <w:t xml:space="preserve">Wyoming Constitution. </w:t>
      </w:r>
      <w:hyperlink r:id="rId56" w:history="1">
        <w:r w:rsidRPr="002B6F5A">
          <w:rPr>
            <w:rStyle w:val="Hyperlink"/>
            <w:rFonts w:ascii="Times New Roman" w:hAnsi="Times New Roman" w:cs="Times New Roman"/>
            <w:sz w:val="24"/>
            <w:szCs w:val="24"/>
          </w:rPr>
          <w:t xml:space="preserve">Article 10, Section 4(a) of the </w:t>
        </w:r>
        <w:r w:rsidR="009B3C89">
          <w:rPr>
            <w:rStyle w:val="Hyperlink"/>
            <w:rFonts w:ascii="Times New Roman" w:hAnsi="Times New Roman" w:cs="Times New Roman"/>
            <w:sz w:val="24"/>
            <w:szCs w:val="24"/>
          </w:rPr>
          <w:t>C</w:t>
        </w:r>
        <w:r w:rsidRPr="002B6F5A">
          <w:rPr>
            <w:rStyle w:val="Hyperlink"/>
            <w:rFonts w:ascii="Times New Roman" w:hAnsi="Times New Roman" w:cs="Times New Roman"/>
            <w:sz w:val="24"/>
            <w:szCs w:val="24"/>
          </w:rPr>
          <w:t>onstitution</w:t>
        </w:r>
      </w:hyperlink>
      <w:r>
        <w:rPr>
          <w:rFonts w:ascii="Times New Roman" w:hAnsi="Times New Roman" w:cs="Times New Roman"/>
          <w:sz w:val="24"/>
          <w:szCs w:val="24"/>
        </w:rPr>
        <w:t xml:space="preserve">, for example, states flatly: </w:t>
      </w:r>
      <w:r w:rsidRPr="00182ED5">
        <w:rPr>
          <w:rFonts w:ascii="Times New Roman" w:hAnsi="Times New Roman" w:cs="Times New Roman"/>
          <w:b/>
          <w:sz w:val="24"/>
          <w:szCs w:val="24"/>
        </w:rPr>
        <w:t>“No law shall be enacted limiting the amount of damages to be recovered for causing the injury or death of any person.”</w:t>
      </w:r>
      <w:r>
        <w:rPr>
          <w:rFonts w:ascii="Times New Roman" w:hAnsi="Times New Roman" w:cs="Times New Roman"/>
          <w:b/>
          <w:sz w:val="24"/>
          <w:szCs w:val="24"/>
        </w:rPr>
        <w:t xml:space="preserve"> </w:t>
      </w:r>
      <w:r>
        <w:rPr>
          <w:rFonts w:ascii="Times New Roman" w:hAnsi="Times New Roman" w:cs="Times New Roman"/>
          <w:sz w:val="24"/>
          <w:szCs w:val="24"/>
        </w:rPr>
        <w:t xml:space="preserve">Because workers’ compensation is a law that necessarily limits the amount of damages that can be recovered by one person against another for causing injury or death, it was recognized immediately that the Wyoming </w:t>
      </w:r>
      <w:r w:rsidR="009B3C89">
        <w:rPr>
          <w:rFonts w:ascii="Times New Roman" w:hAnsi="Times New Roman" w:cs="Times New Roman"/>
          <w:sz w:val="24"/>
          <w:szCs w:val="24"/>
        </w:rPr>
        <w:t>C</w:t>
      </w:r>
      <w:r>
        <w:rPr>
          <w:rFonts w:ascii="Times New Roman" w:hAnsi="Times New Roman" w:cs="Times New Roman"/>
          <w:sz w:val="24"/>
          <w:szCs w:val="24"/>
        </w:rPr>
        <w:t xml:space="preserve">onstitution would have to be amended to allow for implementation of workers’ compensation. The </w:t>
      </w:r>
      <w:r w:rsidR="009B3C89">
        <w:rPr>
          <w:rFonts w:ascii="Times New Roman" w:hAnsi="Times New Roman" w:cs="Times New Roman"/>
          <w:sz w:val="24"/>
          <w:szCs w:val="24"/>
        </w:rPr>
        <w:t>C</w:t>
      </w:r>
      <w:r>
        <w:rPr>
          <w:rFonts w:ascii="Times New Roman" w:hAnsi="Times New Roman" w:cs="Times New Roman"/>
          <w:sz w:val="24"/>
          <w:szCs w:val="24"/>
        </w:rPr>
        <w:t>onstitution was amended to add Article 10, Section 4(c) as follows:</w:t>
      </w:r>
    </w:p>
    <w:p w14:paraId="363CD692" w14:textId="77777777" w:rsidR="00ED25A2" w:rsidRDefault="00ED25A2" w:rsidP="00ED25A2">
      <w:pPr>
        <w:spacing w:after="0"/>
        <w:jc w:val="both"/>
        <w:rPr>
          <w:rFonts w:ascii="Times New Roman" w:hAnsi="Times New Roman" w:cs="Times New Roman"/>
          <w:sz w:val="24"/>
          <w:szCs w:val="24"/>
        </w:rPr>
      </w:pPr>
    </w:p>
    <w:p w14:paraId="6CCAEF7B" w14:textId="4B832A9C" w:rsidR="00FF7482" w:rsidRPr="00906C71" w:rsidRDefault="00FF7482" w:rsidP="000E29EB">
      <w:pPr>
        <w:spacing w:after="0"/>
        <w:ind w:left="720" w:right="720"/>
        <w:jc w:val="both"/>
        <w:rPr>
          <w:rFonts w:ascii="Times New Roman" w:hAnsi="Times New Roman" w:cs="Times New Roman"/>
          <w:sz w:val="24"/>
          <w:szCs w:val="24"/>
        </w:rPr>
      </w:pPr>
      <w:r w:rsidRPr="00906C71">
        <w:rPr>
          <w:rFonts w:ascii="Times New Roman" w:hAnsi="Times New Roman" w:cs="Times New Roman"/>
          <w:sz w:val="24"/>
          <w:szCs w:val="24"/>
        </w:rPr>
        <w:t>As to all extrahazardous employments the legislature shall</w:t>
      </w:r>
      <w:r>
        <w:rPr>
          <w:rFonts w:ascii="Times New Roman" w:hAnsi="Times New Roman" w:cs="Times New Roman"/>
          <w:sz w:val="24"/>
          <w:szCs w:val="24"/>
        </w:rPr>
        <w:t xml:space="preserve"> </w:t>
      </w:r>
      <w:r w:rsidRPr="00906C71">
        <w:rPr>
          <w:rFonts w:ascii="Times New Roman" w:hAnsi="Times New Roman" w:cs="Times New Roman"/>
          <w:sz w:val="24"/>
          <w:szCs w:val="24"/>
        </w:rPr>
        <w:t>provide by law for the accumulation and maintenance of a fund or funds</w:t>
      </w:r>
      <w:r>
        <w:rPr>
          <w:rFonts w:ascii="Times New Roman" w:hAnsi="Times New Roman" w:cs="Times New Roman"/>
          <w:sz w:val="24"/>
          <w:szCs w:val="24"/>
        </w:rPr>
        <w:t xml:space="preserve"> </w:t>
      </w:r>
      <w:r w:rsidRPr="00906C71">
        <w:rPr>
          <w:rFonts w:ascii="Times New Roman" w:hAnsi="Times New Roman" w:cs="Times New Roman"/>
          <w:sz w:val="24"/>
          <w:szCs w:val="24"/>
        </w:rPr>
        <w:t>out of which shall be paid compensation as may be fixed by law according</w:t>
      </w:r>
      <w:r>
        <w:rPr>
          <w:rFonts w:ascii="Times New Roman" w:hAnsi="Times New Roman" w:cs="Times New Roman"/>
          <w:sz w:val="24"/>
          <w:szCs w:val="24"/>
        </w:rPr>
        <w:t xml:space="preserve"> </w:t>
      </w:r>
      <w:r w:rsidRPr="00906C71">
        <w:rPr>
          <w:rFonts w:ascii="Times New Roman" w:hAnsi="Times New Roman" w:cs="Times New Roman"/>
          <w:sz w:val="24"/>
          <w:szCs w:val="24"/>
        </w:rPr>
        <w:t>to proper classifications to each person injured in such employment or to</w:t>
      </w:r>
      <w:r>
        <w:rPr>
          <w:rFonts w:ascii="Times New Roman" w:hAnsi="Times New Roman" w:cs="Times New Roman"/>
          <w:sz w:val="24"/>
          <w:szCs w:val="24"/>
        </w:rPr>
        <w:t xml:space="preserve"> </w:t>
      </w:r>
      <w:r w:rsidRPr="00906C71">
        <w:rPr>
          <w:rFonts w:ascii="Times New Roman" w:hAnsi="Times New Roman" w:cs="Times New Roman"/>
          <w:sz w:val="24"/>
          <w:szCs w:val="24"/>
        </w:rPr>
        <w:t>the dependent families of such as die as the result of such injuries, except</w:t>
      </w:r>
      <w:r>
        <w:rPr>
          <w:rFonts w:ascii="Times New Roman" w:hAnsi="Times New Roman" w:cs="Times New Roman"/>
          <w:sz w:val="24"/>
          <w:szCs w:val="24"/>
        </w:rPr>
        <w:t xml:space="preserve"> </w:t>
      </w:r>
      <w:r w:rsidRPr="00906C71">
        <w:rPr>
          <w:rFonts w:ascii="Times New Roman" w:hAnsi="Times New Roman" w:cs="Times New Roman"/>
          <w:sz w:val="24"/>
          <w:szCs w:val="24"/>
        </w:rPr>
        <w:t>in case of injuries due solely to the culpable negligence of the injured</w:t>
      </w:r>
      <w:r>
        <w:rPr>
          <w:rFonts w:ascii="Times New Roman" w:hAnsi="Times New Roman" w:cs="Times New Roman"/>
          <w:sz w:val="24"/>
          <w:szCs w:val="24"/>
        </w:rPr>
        <w:t xml:space="preserve"> </w:t>
      </w:r>
      <w:r w:rsidRPr="00906C71">
        <w:rPr>
          <w:rFonts w:ascii="Times New Roman" w:hAnsi="Times New Roman" w:cs="Times New Roman"/>
          <w:sz w:val="24"/>
          <w:szCs w:val="24"/>
        </w:rPr>
        <w:t>employee. The fund or funds shall be accumulated, paid into the state</w:t>
      </w:r>
      <w:r>
        <w:rPr>
          <w:rFonts w:ascii="Times New Roman" w:hAnsi="Times New Roman" w:cs="Times New Roman"/>
          <w:sz w:val="24"/>
          <w:szCs w:val="24"/>
        </w:rPr>
        <w:t xml:space="preserve"> </w:t>
      </w:r>
      <w:r w:rsidRPr="00906C71">
        <w:rPr>
          <w:rFonts w:ascii="Times New Roman" w:hAnsi="Times New Roman" w:cs="Times New Roman"/>
          <w:sz w:val="24"/>
          <w:szCs w:val="24"/>
        </w:rPr>
        <w:t>treasury and maintained in such manner as may be provided by law. Monies in the fund shall be expended only for compensation authorized by this</w:t>
      </w:r>
      <w:r>
        <w:rPr>
          <w:rFonts w:ascii="Times New Roman" w:hAnsi="Times New Roman" w:cs="Times New Roman"/>
          <w:sz w:val="24"/>
          <w:szCs w:val="24"/>
        </w:rPr>
        <w:t xml:space="preserve"> </w:t>
      </w:r>
      <w:r w:rsidRPr="00906C71">
        <w:rPr>
          <w:rFonts w:ascii="Times New Roman" w:hAnsi="Times New Roman" w:cs="Times New Roman"/>
          <w:sz w:val="24"/>
          <w:szCs w:val="24"/>
        </w:rPr>
        <w:t xml:space="preserve">section, for administration and management of the Worker’s Compensation Act, </w:t>
      </w:r>
      <w:r w:rsidRPr="00906C71">
        <w:rPr>
          <w:rFonts w:ascii="Times New Roman" w:hAnsi="Times New Roman" w:cs="Times New Roman"/>
          <w:sz w:val="24"/>
          <w:szCs w:val="24"/>
        </w:rPr>
        <w:lastRenderedPageBreak/>
        <w:t>debt service related to the fund and for workplace safety programs conducted by the state as authorized by law. The right of each</w:t>
      </w:r>
      <w:r>
        <w:rPr>
          <w:rFonts w:ascii="Times New Roman" w:hAnsi="Times New Roman" w:cs="Times New Roman"/>
          <w:sz w:val="24"/>
          <w:szCs w:val="24"/>
        </w:rPr>
        <w:t xml:space="preserve"> </w:t>
      </w:r>
      <w:r w:rsidRPr="00906C71">
        <w:rPr>
          <w:rFonts w:ascii="Times New Roman" w:hAnsi="Times New Roman" w:cs="Times New Roman"/>
          <w:sz w:val="24"/>
          <w:szCs w:val="24"/>
        </w:rPr>
        <w:t>employee to</w:t>
      </w:r>
      <w:r>
        <w:rPr>
          <w:rFonts w:ascii="Times New Roman" w:hAnsi="Times New Roman" w:cs="Times New Roman"/>
          <w:sz w:val="24"/>
          <w:szCs w:val="24"/>
        </w:rPr>
        <w:t xml:space="preserve"> </w:t>
      </w:r>
      <w:r w:rsidRPr="00906C71">
        <w:rPr>
          <w:rFonts w:ascii="Times New Roman" w:hAnsi="Times New Roman" w:cs="Times New Roman"/>
          <w:sz w:val="24"/>
          <w:szCs w:val="24"/>
        </w:rPr>
        <w:t>compensation from the fund shall be in lieu of and shall take</w:t>
      </w:r>
      <w:r>
        <w:rPr>
          <w:rFonts w:ascii="Times New Roman" w:hAnsi="Times New Roman" w:cs="Times New Roman"/>
          <w:sz w:val="24"/>
          <w:szCs w:val="24"/>
        </w:rPr>
        <w:t xml:space="preserve"> </w:t>
      </w:r>
      <w:r w:rsidRPr="00906C71">
        <w:rPr>
          <w:rFonts w:ascii="Times New Roman" w:hAnsi="Times New Roman" w:cs="Times New Roman"/>
          <w:sz w:val="24"/>
          <w:szCs w:val="24"/>
        </w:rPr>
        <w:t>the place of any and all rights of action against any employer contributing</w:t>
      </w:r>
      <w:r>
        <w:rPr>
          <w:rFonts w:ascii="Times New Roman" w:hAnsi="Times New Roman" w:cs="Times New Roman"/>
          <w:sz w:val="24"/>
          <w:szCs w:val="24"/>
        </w:rPr>
        <w:t xml:space="preserve"> </w:t>
      </w:r>
      <w:r w:rsidRPr="00906C71">
        <w:rPr>
          <w:rFonts w:ascii="Times New Roman" w:hAnsi="Times New Roman" w:cs="Times New Roman"/>
          <w:sz w:val="24"/>
          <w:szCs w:val="24"/>
        </w:rPr>
        <w:t>as required by law to the fund in favor of any person or persons by reason</w:t>
      </w:r>
      <w:r>
        <w:rPr>
          <w:rFonts w:ascii="Times New Roman" w:hAnsi="Times New Roman" w:cs="Times New Roman"/>
          <w:sz w:val="24"/>
          <w:szCs w:val="24"/>
        </w:rPr>
        <w:t xml:space="preserve"> </w:t>
      </w:r>
      <w:r w:rsidRPr="00906C71">
        <w:rPr>
          <w:rFonts w:ascii="Times New Roman" w:hAnsi="Times New Roman" w:cs="Times New Roman"/>
          <w:sz w:val="24"/>
          <w:szCs w:val="24"/>
        </w:rPr>
        <w:t>of the injuries or death. Subject to conditions specified by law, the legislature may allow employments not designated extrahazardous to be covered</w:t>
      </w:r>
      <w:r>
        <w:rPr>
          <w:rFonts w:ascii="Times New Roman" w:hAnsi="Times New Roman" w:cs="Times New Roman"/>
          <w:sz w:val="24"/>
          <w:szCs w:val="24"/>
        </w:rPr>
        <w:t xml:space="preserve"> </w:t>
      </w:r>
      <w:r w:rsidRPr="00906C71">
        <w:rPr>
          <w:rFonts w:ascii="Times New Roman" w:hAnsi="Times New Roman" w:cs="Times New Roman"/>
          <w:sz w:val="24"/>
          <w:szCs w:val="24"/>
        </w:rPr>
        <w:t xml:space="preserve">by the state fund at the option of the employer. </w:t>
      </w:r>
      <w:bookmarkStart w:id="227" w:name="_Hlk517096706"/>
      <w:r w:rsidRPr="00906C71">
        <w:rPr>
          <w:rFonts w:ascii="Times New Roman" w:hAnsi="Times New Roman" w:cs="Times New Roman"/>
          <w:sz w:val="24"/>
          <w:szCs w:val="24"/>
        </w:rPr>
        <w:t>To the extent an employer</w:t>
      </w:r>
      <w:r>
        <w:rPr>
          <w:rFonts w:ascii="Times New Roman" w:hAnsi="Times New Roman" w:cs="Times New Roman"/>
          <w:sz w:val="24"/>
          <w:szCs w:val="24"/>
        </w:rPr>
        <w:t xml:space="preserve"> </w:t>
      </w:r>
      <w:r w:rsidRPr="00906C71">
        <w:rPr>
          <w:rFonts w:ascii="Times New Roman" w:hAnsi="Times New Roman" w:cs="Times New Roman"/>
          <w:sz w:val="24"/>
          <w:szCs w:val="24"/>
        </w:rPr>
        <w:t>elects to be covered by the state fund and contributes to the fund as</w:t>
      </w:r>
      <w:r>
        <w:rPr>
          <w:rFonts w:ascii="Times New Roman" w:hAnsi="Times New Roman" w:cs="Times New Roman"/>
          <w:sz w:val="24"/>
          <w:szCs w:val="24"/>
        </w:rPr>
        <w:t xml:space="preserve"> </w:t>
      </w:r>
      <w:r w:rsidRPr="00906C71">
        <w:rPr>
          <w:rFonts w:ascii="Times New Roman" w:hAnsi="Times New Roman" w:cs="Times New Roman"/>
          <w:sz w:val="24"/>
          <w:szCs w:val="24"/>
        </w:rPr>
        <w:t>required by law</w:t>
      </w:r>
      <w:bookmarkEnd w:id="227"/>
      <w:r w:rsidRPr="00906C71">
        <w:rPr>
          <w:rFonts w:ascii="Times New Roman" w:hAnsi="Times New Roman" w:cs="Times New Roman"/>
          <w:sz w:val="24"/>
          <w:szCs w:val="24"/>
        </w:rPr>
        <w:t>, the employer shall enjoy the same immunity as provided</w:t>
      </w:r>
      <w:r>
        <w:rPr>
          <w:rFonts w:ascii="Times New Roman" w:hAnsi="Times New Roman" w:cs="Times New Roman"/>
          <w:sz w:val="24"/>
          <w:szCs w:val="24"/>
        </w:rPr>
        <w:t xml:space="preserve"> </w:t>
      </w:r>
      <w:r w:rsidRPr="00906C71">
        <w:rPr>
          <w:rFonts w:ascii="Times New Roman" w:hAnsi="Times New Roman" w:cs="Times New Roman"/>
          <w:sz w:val="24"/>
          <w:szCs w:val="24"/>
        </w:rPr>
        <w:t>for extrahazardous employments.</w:t>
      </w:r>
    </w:p>
    <w:p w14:paraId="1B0B563A" w14:textId="77777777" w:rsidR="00FF7482" w:rsidRDefault="00FF7482" w:rsidP="00ED25A2">
      <w:pPr>
        <w:spacing w:after="0"/>
        <w:jc w:val="both"/>
        <w:rPr>
          <w:rFonts w:ascii="Times New Roman" w:hAnsi="Times New Roman" w:cs="Times New Roman"/>
          <w:sz w:val="24"/>
          <w:szCs w:val="24"/>
        </w:rPr>
      </w:pPr>
    </w:p>
    <w:p w14:paraId="4CE3AAC5" w14:textId="71A18A7D"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Accordingly, the Wyoming </w:t>
      </w:r>
      <w:r w:rsidR="009B3C89">
        <w:rPr>
          <w:rFonts w:ascii="Times New Roman" w:hAnsi="Times New Roman" w:cs="Times New Roman"/>
          <w:sz w:val="24"/>
          <w:szCs w:val="24"/>
        </w:rPr>
        <w:t>C</w:t>
      </w:r>
      <w:r>
        <w:rPr>
          <w:rFonts w:ascii="Times New Roman" w:hAnsi="Times New Roman" w:cs="Times New Roman"/>
          <w:sz w:val="24"/>
          <w:szCs w:val="24"/>
        </w:rPr>
        <w:t xml:space="preserve">onstitution authorizes limiting </w:t>
      </w:r>
      <w:r w:rsidRPr="003A16E5">
        <w:rPr>
          <w:rFonts w:ascii="Times New Roman" w:hAnsi="Times New Roman" w:cs="Times New Roman"/>
          <w:sz w:val="24"/>
          <w:szCs w:val="24"/>
        </w:rPr>
        <w:t>damages to be recovered for causing the injury or death of any person</w:t>
      </w:r>
      <w:r>
        <w:rPr>
          <w:rFonts w:ascii="Times New Roman" w:hAnsi="Times New Roman" w:cs="Times New Roman"/>
          <w:sz w:val="24"/>
          <w:szCs w:val="24"/>
        </w:rPr>
        <w:t xml:space="preserve"> </w:t>
      </w:r>
      <w:r w:rsidRPr="00886EC1">
        <w:rPr>
          <w:rFonts w:ascii="Times New Roman" w:hAnsi="Times New Roman" w:cs="Times New Roman"/>
          <w:b/>
          <w:sz w:val="24"/>
          <w:szCs w:val="24"/>
          <w:u w:val="single"/>
        </w:rPr>
        <w:t>only</w:t>
      </w:r>
      <w:r>
        <w:rPr>
          <w:rFonts w:ascii="Times New Roman" w:hAnsi="Times New Roman" w:cs="Times New Roman"/>
          <w:sz w:val="24"/>
          <w:szCs w:val="24"/>
        </w:rPr>
        <w:t xml:space="preserve"> with respect to employment </w:t>
      </w:r>
      <w:r w:rsidRPr="005701F9">
        <w:rPr>
          <w:rFonts w:ascii="Times New Roman" w:hAnsi="Times New Roman" w:cs="Times New Roman"/>
          <w:b/>
          <w:sz w:val="24"/>
          <w:szCs w:val="24"/>
        </w:rPr>
        <w:t>designated as extrahazardous</w:t>
      </w:r>
      <w:r w:rsidRPr="0010038E">
        <w:rPr>
          <w:rFonts w:ascii="Times New Roman" w:hAnsi="Times New Roman" w:cs="Times New Roman"/>
          <w:bCs/>
          <w:sz w:val="24"/>
          <w:szCs w:val="24"/>
        </w:rPr>
        <w:t>,</w:t>
      </w:r>
      <w:r>
        <w:rPr>
          <w:rFonts w:ascii="Times New Roman" w:hAnsi="Times New Roman" w:cs="Times New Roman"/>
          <w:sz w:val="24"/>
          <w:szCs w:val="24"/>
        </w:rPr>
        <w:t xml:space="preserve"> or “[t]</w:t>
      </w:r>
      <w:r w:rsidRPr="005701F9">
        <w:rPr>
          <w:rFonts w:ascii="Times New Roman" w:hAnsi="Times New Roman" w:cs="Times New Roman"/>
          <w:sz w:val="24"/>
          <w:szCs w:val="24"/>
        </w:rPr>
        <w:t xml:space="preserve">o the extent an employer </w:t>
      </w:r>
      <w:r w:rsidRPr="003A16E5">
        <w:rPr>
          <w:rFonts w:ascii="Times New Roman" w:hAnsi="Times New Roman" w:cs="Times New Roman"/>
          <w:b/>
          <w:sz w:val="24"/>
          <w:szCs w:val="24"/>
        </w:rPr>
        <w:t>elects</w:t>
      </w:r>
      <w:r w:rsidRPr="005701F9">
        <w:rPr>
          <w:rFonts w:ascii="Times New Roman" w:hAnsi="Times New Roman" w:cs="Times New Roman"/>
          <w:sz w:val="24"/>
          <w:szCs w:val="24"/>
        </w:rPr>
        <w:t xml:space="preserve"> to be covered by the state fund and contributes to the fund as required by law</w:t>
      </w:r>
      <w:r>
        <w:rPr>
          <w:rFonts w:ascii="Times New Roman" w:hAnsi="Times New Roman" w:cs="Times New Roman"/>
          <w:sz w:val="24"/>
          <w:szCs w:val="24"/>
        </w:rPr>
        <w:t xml:space="preserve">.” Given this constitutional scheme, the subsequent, odd statutory evolution can be explained. Yet, at some point, it must have become obvious that repeatedly designating non-hazardous employment as extrahazardous would become confusing and possibly subject to tactical exploitation. It is a mystery to this writer why, at that point, the </w:t>
      </w:r>
      <w:r w:rsidR="0010038E">
        <w:rPr>
          <w:rFonts w:ascii="Times New Roman" w:hAnsi="Times New Roman" w:cs="Times New Roman"/>
          <w:sz w:val="24"/>
          <w:szCs w:val="24"/>
        </w:rPr>
        <w:t>C</w:t>
      </w:r>
      <w:r>
        <w:rPr>
          <w:rFonts w:ascii="Times New Roman" w:hAnsi="Times New Roman" w:cs="Times New Roman"/>
          <w:sz w:val="24"/>
          <w:szCs w:val="24"/>
        </w:rPr>
        <w:t>onstitution was not amended to transparently and explicitly broaden the scope of allowable, mandatory workers’ compensation</w:t>
      </w:r>
      <w:r w:rsidR="0010038E">
        <w:rPr>
          <w:rFonts w:ascii="Times New Roman" w:hAnsi="Times New Roman" w:cs="Times New Roman"/>
          <w:sz w:val="24"/>
          <w:szCs w:val="24"/>
        </w:rPr>
        <w:t xml:space="preserve">. </w:t>
      </w:r>
    </w:p>
    <w:p w14:paraId="29354154" w14:textId="77777777" w:rsidR="00ED25A2" w:rsidRDefault="00ED25A2" w:rsidP="00ED25A2">
      <w:pPr>
        <w:spacing w:after="0"/>
        <w:jc w:val="both"/>
        <w:rPr>
          <w:rFonts w:ascii="Times New Roman" w:hAnsi="Times New Roman" w:cs="Times New Roman"/>
          <w:sz w:val="24"/>
          <w:szCs w:val="24"/>
        </w:rPr>
      </w:pPr>
    </w:p>
    <w:p w14:paraId="15934BD2" w14:textId="038BE74E" w:rsidR="00FF7482" w:rsidRDefault="00FF7482" w:rsidP="009207B3">
      <w:pPr>
        <w:spacing w:after="0"/>
        <w:jc w:val="both"/>
        <w:rPr>
          <w:rFonts w:ascii="Times New Roman" w:hAnsi="Times New Roman" w:cs="Times New Roman"/>
          <w:sz w:val="24"/>
          <w:szCs w:val="24"/>
        </w:rPr>
      </w:pPr>
      <w:r>
        <w:rPr>
          <w:rFonts w:ascii="Times New Roman" w:hAnsi="Times New Roman" w:cs="Times New Roman"/>
          <w:sz w:val="24"/>
          <w:szCs w:val="24"/>
        </w:rPr>
        <w:t xml:space="preserve">The obvious practical problem with the present structure is how to define a </w:t>
      </w:r>
      <w:r w:rsidRPr="00125118">
        <w:rPr>
          <w:rFonts w:ascii="Times New Roman" w:hAnsi="Times New Roman" w:cs="Times New Roman"/>
          <w:sz w:val="24"/>
          <w:szCs w:val="24"/>
        </w:rPr>
        <w:t xml:space="preserve">“proper” </w:t>
      </w:r>
      <w:r>
        <w:rPr>
          <w:rFonts w:ascii="Times New Roman" w:hAnsi="Times New Roman" w:cs="Times New Roman"/>
          <w:sz w:val="24"/>
          <w:szCs w:val="24"/>
        </w:rPr>
        <w:t xml:space="preserve">classification, as required by the constitutional provision. The Act’s division of employments between private sector, government, and volunteer is rational, but private sector classification is dictated by </w:t>
      </w:r>
      <w:r w:rsidRPr="00CC46B2">
        <w:rPr>
          <w:rFonts w:ascii="Times New Roman" w:hAnsi="Times New Roman" w:cs="Times New Roman"/>
          <w:sz w:val="24"/>
          <w:szCs w:val="24"/>
        </w:rPr>
        <w:t xml:space="preserve">W.S. § </w:t>
      </w:r>
      <w:hyperlink r:id="rId57" w:history="1">
        <w:r w:rsidRPr="00CC46B2">
          <w:rPr>
            <w:rStyle w:val="Hyperlink"/>
            <w:rFonts w:ascii="Times New Roman" w:hAnsi="Times New Roman" w:cs="Times New Roman"/>
            <w:sz w:val="24"/>
            <w:szCs w:val="24"/>
          </w:rPr>
          <w:t>27-14-108</w:t>
        </w:r>
      </w:hyperlink>
      <w:r>
        <w:rPr>
          <w:rFonts w:ascii="Times New Roman" w:hAnsi="Times New Roman" w:cs="Times New Roman"/>
          <w:sz w:val="24"/>
          <w:szCs w:val="24"/>
        </w:rPr>
        <w:t>(a), which states that “[t]</w:t>
      </w:r>
      <w:r w:rsidRPr="00751E91">
        <w:rPr>
          <w:rFonts w:ascii="Times New Roman" w:hAnsi="Times New Roman" w:cs="Times New Roman"/>
          <w:sz w:val="24"/>
          <w:szCs w:val="24"/>
        </w:rPr>
        <w:t>his act applies</w:t>
      </w:r>
      <w:r>
        <w:rPr>
          <w:rFonts w:ascii="Times New Roman" w:hAnsi="Times New Roman" w:cs="Times New Roman"/>
          <w:sz w:val="24"/>
          <w:szCs w:val="24"/>
        </w:rPr>
        <w:t xml:space="preserve"> . . . [to] . . .</w:t>
      </w:r>
      <w:r w:rsidRPr="00751E91">
        <w:t xml:space="preserve"> </w:t>
      </w:r>
      <w:r w:rsidRPr="00751E91">
        <w:rPr>
          <w:rFonts w:ascii="Times New Roman" w:hAnsi="Times New Roman" w:cs="Times New Roman"/>
          <w:sz w:val="24"/>
          <w:szCs w:val="24"/>
        </w:rPr>
        <w:t xml:space="preserve">all workers employed in the following sectors, subsectors, industry groups and industries, as each is defined </w:t>
      </w:r>
      <w:r w:rsidRPr="00125118">
        <w:rPr>
          <w:rFonts w:ascii="Times New Roman" w:hAnsi="Times New Roman" w:cs="Times New Roman"/>
          <w:sz w:val="24"/>
          <w:szCs w:val="24"/>
        </w:rPr>
        <w:t>in the most recent edition</w:t>
      </w:r>
      <w:r w:rsidRPr="00751E91">
        <w:rPr>
          <w:rFonts w:ascii="Times New Roman" w:hAnsi="Times New Roman" w:cs="Times New Roman"/>
          <w:sz w:val="24"/>
          <w:szCs w:val="24"/>
        </w:rPr>
        <w:t xml:space="preserve"> of the North American Industry Classification System (NAICS) manual</w:t>
      </w:r>
      <w:r>
        <w:rPr>
          <w:rFonts w:ascii="Times New Roman" w:hAnsi="Times New Roman" w:cs="Times New Roman"/>
          <w:sz w:val="24"/>
          <w:szCs w:val="24"/>
        </w:rPr>
        <w:t xml:space="preserve"> . . .” Two problems are suggested by this approach. The first is one of delegation; the second one of precision.</w:t>
      </w:r>
    </w:p>
    <w:p w14:paraId="5F8C89DE" w14:textId="77777777" w:rsidR="00ED25A2" w:rsidRDefault="00ED25A2" w:rsidP="00ED25A2">
      <w:pPr>
        <w:spacing w:after="0"/>
        <w:jc w:val="both"/>
        <w:rPr>
          <w:rFonts w:ascii="Times New Roman" w:hAnsi="Times New Roman" w:cs="Times New Roman"/>
          <w:sz w:val="24"/>
          <w:szCs w:val="24"/>
        </w:rPr>
      </w:pPr>
    </w:p>
    <w:p w14:paraId="737E98F2" w14:textId="6963442A"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 xml:space="preserve">With respect to delegation, it </w:t>
      </w:r>
      <w:r w:rsidR="00245206">
        <w:rPr>
          <w:rFonts w:ascii="Times New Roman" w:hAnsi="Times New Roman" w:cs="Times New Roman"/>
          <w:sz w:val="24"/>
          <w:szCs w:val="24"/>
        </w:rPr>
        <w:t>seems</w:t>
      </w:r>
      <w:r>
        <w:rPr>
          <w:rFonts w:ascii="Times New Roman" w:hAnsi="Times New Roman" w:cs="Times New Roman"/>
          <w:sz w:val="24"/>
          <w:szCs w:val="24"/>
        </w:rPr>
        <w:t xml:space="preserve"> problematic to define the jurisdiction of the Act in terms of a private publication. The “most recent edition” language is evocative of a recent decision in Pennsylvania, </w:t>
      </w:r>
      <w:r w:rsidRPr="008721A8">
        <w:rPr>
          <w:rFonts w:ascii="Times New Roman" w:hAnsi="Times New Roman" w:cs="Times New Roman"/>
          <w:i/>
          <w:sz w:val="24"/>
          <w:szCs w:val="24"/>
        </w:rPr>
        <w:t>Protz v. Workers’ Compensation Appeal Board (Derry Area School District)</w:t>
      </w:r>
      <w:r>
        <w:rPr>
          <w:rFonts w:ascii="Times New Roman" w:hAnsi="Times New Roman" w:cs="Times New Roman"/>
          <w:sz w:val="24"/>
          <w:szCs w:val="24"/>
        </w:rPr>
        <w:t xml:space="preserve">, </w:t>
      </w:r>
      <w:hyperlink r:id="rId58" w:history="1">
        <w:r w:rsidRPr="006F7AEC">
          <w:rPr>
            <w:rStyle w:val="Hyperlink"/>
            <w:rFonts w:ascii="Times New Roman" w:hAnsi="Times New Roman" w:cs="Times New Roman"/>
            <w:sz w:val="24"/>
            <w:szCs w:val="24"/>
          </w:rPr>
          <w:t>161 A.3d 827</w:t>
        </w:r>
      </w:hyperlink>
      <w:r>
        <w:rPr>
          <w:rFonts w:ascii="Times New Roman" w:hAnsi="Times New Roman" w:cs="Times New Roman"/>
          <w:sz w:val="24"/>
          <w:szCs w:val="24"/>
        </w:rPr>
        <w:t xml:space="preserve"> (Pa. 2017). In that case, the Pennsylvania Supreme Court found unconstitutional a provision of the Pennsylvania </w:t>
      </w:r>
      <w:r w:rsidR="003069BF">
        <w:rPr>
          <w:rFonts w:ascii="Times New Roman" w:hAnsi="Times New Roman" w:cs="Times New Roman"/>
          <w:sz w:val="24"/>
          <w:szCs w:val="24"/>
        </w:rPr>
        <w:t>W</w:t>
      </w:r>
      <w:r>
        <w:rPr>
          <w:rFonts w:ascii="Times New Roman" w:hAnsi="Times New Roman" w:cs="Times New Roman"/>
          <w:sz w:val="24"/>
          <w:szCs w:val="24"/>
        </w:rPr>
        <w:t xml:space="preserve">orkers’ </w:t>
      </w:r>
      <w:r w:rsidR="003069BF">
        <w:rPr>
          <w:rFonts w:ascii="Times New Roman" w:hAnsi="Times New Roman" w:cs="Times New Roman"/>
          <w:sz w:val="24"/>
          <w:szCs w:val="24"/>
        </w:rPr>
        <w:t>C</w:t>
      </w:r>
      <w:r>
        <w:rPr>
          <w:rFonts w:ascii="Times New Roman" w:hAnsi="Times New Roman" w:cs="Times New Roman"/>
          <w:sz w:val="24"/>
          <w:szCs w:val="24"/>
        </w:rPr>
        <w:t xml:space="preserve">ompensation </w:t>
      </w:r>
      <w:r w:rsidR="003069BF">
        <w:rPr>
          <w:rFonts w:ascii="Times New Roman" w:hAnsi="Times New Roman" w:cs="Times New Roman"/>
          <w:sz w:val="24"/>
          <w:szCs w:val="24"/>
        </w:rPr>
        <w:t>A</w:t>
      </w:r>
      <w:r>
        <w:rPr>
          <w:rFonts w:ascii="Times New Roman" w:hAnsi="Times New Roman" w:cs="Times New Roman"/>
          <w:sz w:val="24"/>
          <w:szCs w:val="24"/>
        </w:rPr>
        <w:t xml:space="preserve">ct </w:t>
      </w:r>
      <w:r w:rsidRPr="007050BE">
        <w:rPr>
          <w:rFonts w:ascii="Times New Roman" w:hAnsi="Times New Roman" w:cs="Times New Roman"/>
          <w:sz w:val="24"/>
          <w:szCs w:val="24"/>
        </w:rPr>
        <w:t>requir</w:t>
      </w:r>
      <w:r>
        <w:rPr>
          <w:rFonts w:ascii="Times New Roman" w:hAnsi="Times New Roman" w:cs="Times New Roman"/>
          <w:sz w:val="24"/>
          <w:szCs w:val="24"/>
        </w:rPr>
        <w:t>ing</w:t>
      </w:r>
      <w:r w:rsidRPr="007050BE">
        <w:rPr>
          <w:rFonts w:ascii="Times New Roman" w:hAnsi="Times New Roman" w:cs="Times New Roman"/>
          <w:sz w:val="24"/>
          <w:szCs w:val="24"/>
        </w:rPr>
        <w:t xml:space="preserve"> </w:t>
      </w:r>
      <w:r>
        <w:rPr>
          <w:rFonts w:ascii="Times New Roman" w:hAnsi="Times New Roman" w:cs="Times New Roman"/>
          <w:sz w:val="24"/>
          <w:szCs w:val="24"/>
        </w:rPr>
        <w:t>“</w:t>
      </w:r>
      <w:r w:rsidRPr="007050BE">
        <w:rPr>
          <w:rFonts w:ascii="Times New Roman" w:hAnsi="Times New Roman" w:cs="Times New Roman"/>
          <w:sz w:val="24"/>
          <w:szCs w:val="24"/>
        </w:rPr>
        <w:t xml:space="preserve">physicians to apply the methodology set forth in </w:t>
      </w:r>
      <w:r w:rsidRPr="007050BE">
        <w:rPr>
          <w:rFonts w:ascii="Times New Roman" w:hAnsi="Times New Roman" w:cs="Times New Roman"/>
          <w:b/>
          <w:sz w:val="24"/>
          <w:szCs w:val="24"/>
        </w:rPr>
        <w:t>‘the most recent edition’</w:t>
      </w:r>
      <w:r w:rsidRPr="007050BE">
        <w:rPr>
          <w:rFonts w:ascii="Times New Roman" w:hAnsi="Times New Roman" w:cs="Times New Roman"/>
          <w:sz w:val="24"/>
          <w:szCs w:val="24"/>
        </w:rPr>
        <w:t xml:space="preserve"> of the American Medical Association (AMA) Guides to the Evaluation of Permanent Impairment</w:t>
      </w:r>
      <w:r>
        <w:rPr>
          <w:rFonts w:ascii="Times New Roman" w:hAnsi="Times New Roman" w:cs="Times New Roman"/>
          <w:sz w:val="24"/>
          <w:szCs w:val="24"/>
        </w:rPr>
        <w:t xml:space="preserve">” when determining the </w:t>
      </w:r>
      <w:r w:rsidRPr="007050BE">
        <w:rPr>
          <w:rFonts w:ascii="Times New Roman" w:hAnsi="Times New Roman" w:cs="Times New Roman"/>
          <w:sz w:val="24"/>
          <w:szCs w:val="24"/>
        </w:rPr>
        <w:t xml:space="preserve">“degree of impairment” that is due to the claimant's compensable </w:t>
      </w:r>
      <w:r w:rsidRPr="007050BE">
        <w:rPr>
          <w:rFonts w:ascii="Times New Roman" w:hAnsi="Times New Roman" w:cs="Times New Roman"/>
          <w:sz w:val="24"/>
          <w:szCs w:val="24"/>
        </w:rPr>
        <w:lastRenderedPageBreak/>
        <w:t>injury.</w:t>
      </w:r>
      <w:r w:rsidRPr="00112C9C">
        <w:rPr>
          <w:rFonts w:ascii="Times New Roman" w:hAnsi="Times New Roman" w:cs="Times New Roman"/>
          <w:sz w:val="24"/>
          <w:szCs w:val="24"/>
          <w:vertAlign w:val="superscript"/>
        </w:rPr>
        <w:footnoteReference w:id="159"/>
      </w:r>
      <w:r>
        <w:rPr>
          <w:rFonts w:ascii="Times New Roman" w:hAnsi="Times New Roman" w:cs="Times New Roman"/>
          <w:sz w:val="24"/>
          <w:szCs w:val="24"/>
        </w:rPr>
        <w:t xml:space="preserve"> The issue presented was whether by </w:t>
      </w:r>
      <w:r w:rsidRPr="002B6F5A">
        <w:rPr>
          <w:rFonts w:ascii="Times New Roman" w:hAnsi="Times New Roman" w:cs="Times New Roman"/>
          <w:i/>
          <w:iCs/>
          <w:sz w:val="24"/>
          <w:szCs w:val="24"/>
        </w:rPr>
        <w:t>automatically</w:t>
      </w:r>
      <w:r>
        <w:rPr>
          <w:rFonts w:ascii="Times New Roman" w:hAnsi="Times New Roman" w:cs="Times New Roman"/>
          <w:sz w:val="24"/>
          <w:szCs w:val="24"/>
        </w:rPr>
        <w:t xml:space="preserve"> requiring </w:t>
      </w:r>
      <w:r w:rsidRPr="002B6F5A">
        <w:rPr>
          <w:rFonts w:ascii="Times New Roman" w:hAnsi="Times New Roman" w:cs="Times New Roman"/>
          <w:i/>
          <w:iCs/>
          <w:sz w:val="24"/>
          <w:szCs w:val="24"/>
        </w:rPr>
        <w:t>renewable</w:t>
      </w:r>
      <w:r>
        <w:rPr>
          <w:rFonts w:ascii="Times New Roman" w:hAnsi="Times New Roman" w:cs="Times New Roman"/>
          <w:sz w:val="24"/>
          <w:szCs w:val="24"/>
        </w:rPr>
        <w:t xml:space="preserve"> adherence to impairment standards modified by a private body from year to year the legislature had, in effect, delegated legislative power to that body (the American Medical Association) within the meaning of Pennsylvania law.</w:t>
      </w:r>
      <w:r w:rsidRPr="00112C9C">
        <w:rPr>
          <w:rFonts w:ascii="Times New Roman" w:hAnsi="Times New Roman" w:cs="Times New Roman"/>
          <w:sz w:val="24"/>
          <w:szCs w:val="24"/>
          <w:vertAlign w:val="superscript"/>
        </w:rPr>
        <w:footnoteReference w:id="160"/>
      </w:r>
      <w:r>
        <w:rPr>
          <w:rFonts w:ascii="Times New Roman" w:hAnsi="Times New Roman" w:cs="Times New Roman"/>
          <w:sz w:val="24"/>
          <w:szCs w:val="24"/>
        </w:rPr>
        <w:t xml:space="preserve"> The Court found that “by any objective measure” the delegation was broader than in prior cases in which it </w:t>
      </w:r>
      <w:r w:rsidRPr="00C7235F">
        <w:rPr>
          <w:rFonts w:ascii="Times New Roman" w:hAnsi="Times New Roman" w:cs="Times New Roman"/>
          <w:i/>
          <w:iCs/>
          <w:sz w:val="24"/>
          <w:szCs w:val="24"/>
        </w:rPr>
        <w:t>had</w:t>
      </w:r>
      <w:r>
        <w:rPr>
          <w:rFonts w:ascii="Times New Roman" w:hAnsi="Times New Roman" w:cs="Times New Roman"/>
          <w:sz w:val="24"/>
          <w:szCs w:val="24"/>
        </w:rPr>
        <w:t xml:space="preserve"> found unlawful delegation.</w:t>
      </w:r>
      <w:r w:rsidRPr="00112C9C">
        <w:rPr>
          <w:rFonts w:ascii="Times New Roman" w:hAnsi="Times New Roman" w:cs="Times New Roman"/>
          <w:sz w:val="24"/>
          <w:szCs w:val="24"/>
          <w:vertAlign w:val="superscript"/>
        </w:rPr>
        <w:footnoteReference w:id="161"/>
      </w:r>
      <w:r>
        <w:rPr>
          <w:rFonts w:ascii="Times New Roman" w:hAnsi="Times New Roman" w:cs="Times New Roman"/>
          <w:sz w:val="24"/>
          <w:szCs w:val="24"/>
        </w:rPr>
        <w:t xml:space="preserve"> The Court noted that the private organization could essentially change definitions of impairment at will and that state workers’ compensation fact finders would be bound by those changes.</w:t>
      </w:r>
      <w:r w:rsidRPr="00112C9C">
        <w:rPr>
          <w:rFonts w:ascii="Times New Roman" w:hAnsi="Times New Roman" w:cs="Times New Roman"/>
          <w:sz w:val="24"/>
          <w:szCs w:val="24"/>
          <w:vertAlign w:val="superscript"/>
        </w:rPr>
        <w:footnoteReference w:id="162"/>
      </w:r>
      <w:r>
        <w:rPr>
          <w:rFonts w:ascii="Times New Roman" w:hAnsi="Times New Roman" w:cs="Times New Roman"/>
          <w:sz w:val="24"/>
          <w:szCs w:val="24"/>
        </w:rPr>
        <w:t xml:space="preserve"> Especially problematic for the Court was that the legislature</w:t>
      </w:r>
      <w:r w:rsidRPr="00DD4180">
        <w:rPr>
          <w:rFonts w:ascii="Times New Roman" w:hAnsi="Times New Roman" w:cs="Times New Roman"/>
          <w:sz w:val="24"/>
          <w:szCs w:val="24"/>
        </w:rPr>
        <w:t xml:space="preserve"> did not include any procedural mechanisms to </w:t>
      </w:r>
      <w:r>
        <w:rPr>
          <w:rFonts w:ascii="Times New Roman" w:hAnsi="Times New Roman" w:cs="Times New Roman"/>
          <w:sz w:val="24"/>
          <w:szCs w:val="24"/>
        </w:rPr>
        <w:t>guard</w:t>
      </w:r>
      <w:r w:rsidRPr="00DD4180">
        <w:rPr>
          <w:rFonts w:ascii="Times New Roman" w:hAnsi="Times New Roman" w:cs="Times New Roman"/>
          <w:sz w:val="24"/>
          <w:szCs w:val="24"/>
        </w:rPr>
        <w:t xml:space="preserve"> against “administrative arbitrariness and caprice.”</w:t>
      </w:r>
      <w:r w:rsidRPr="00112C9C">
        <w:rPr>
          <w:rFonts w:ascii="Times New Roman" w:hAnsi="Times New Roman" w:cs="Times New Roman"/>
          <w:sz w:val="24"/>
          <w:szCs w:val="24"/>
          <w:vertAlign w:val="superscript"/>
        </w:rPr>
        <w:footnoteReference w:id="163"/>
      </w:r>
      <w:r>
        <w:rPr>
          <w:rFonts w:ascii="Times New Roman" w:hAnsi="Times New Roman" w:cs="Times New Roman"/>
          <w:sz w:val="24"/>
          <w:szCs w:val="24"/>
        </w:rPr>
        <w:t xml:space="preserve"> Just as in </w:t>
      </w:r>
      <w:r w:rsidRPr="00DD4180">
        <w:rPr>
          <w:rFonts w:ascii="Times New Roman" w:hAnsi="Times New Roman" w:cs="Times New Roman"/>
          <w:i/>
          <w:sz w:val="24"/>
          <w:szCs w:val="24"/>
        </w:rPr>
        <w:t>Protz</w:t>
      </w:r>
      <w:r>
        <w:rPr>
          <w:rFonts w:ascii="Times New Roman" w:hAnsi="Times New Roman" w:cs="Times New Roman"/>
          <w:sz w:val="24"/>
          <w:szCs w:val="24"/>
        </w:rPr>
        <w:t>, it might be argued that mandatory, automatic NAICS designation of extrahazardous employments is an overbroad delegation without explicit procedural safeguards. It is an issue that should be taken seriously by state policymakers.</w:t>
      </w:r>
    </w:p>
    <w:p w14:paraId="507AC7F6" w14:textId="77777777" w:rsidR="00ED25A2" w:rsidRDefault="00ED25A2" w:rsidP="00ED25A2">
      <w:pPr>
        <w:spacing w:after="0"/>
        <w:jc w:val="both"/>
        <w:rPr>
          <w:rFonts w:ascii="Times New Roman" w:hAnsi="Times New Roman" w:cs="Times New Roman"/>
          <w:sz w:val="24"/>
          <w:szCs w:val="24"/>
        </w:rPr>
      </w:pPr>
    </w:p>
    <w:p w14:paraId="1A30413D" w14:textId="5B988900" w:rsidR="00FF7482" w:rsidRDefault="00FF7482" w:rsidP="00ED25A2">
      <w:pPr>
        <w:spacing w:after="0"/>
        <w:jc w:val="both"/>
        <w:rPr>
          <w:rFonts w:ascii="Times New Roman" w:hAnsi="Times New Roman" w:cs="Times New Roman"/>
          <w:sz w:val="24"/>
          <w:szCs w:val="24"/>
        </w:rPr>
      </w:pPr>
      <w:r>
        <w:rPr>
          <w:rFonts w:ascii="Times New Roman" w:hAnsi="Times New Roman" w:cs="Times New Roman"/>
          <w:sz w:val="24"/>
          <w:szCs w:val="24"/>
        </w:rPr>
        <w:t>The second evident problem with the extrahazardous employment provision is attempting to fit nonconforming employments into the scheme. Under the prior, “liberal construction” version of the Act, u</w:t>
      </w:r>
      <w:r w:rsidRPr="00C9645D">
        <w:rPr>
          <w:rFonts w:ascii="Times New Roman" w:hAnsi="Times New Roman" w:cs="Times New Roman"/>
          <w:sz w:val="24"/>
          <w:szCs w:val="24"/>
        </w:rPr>
        <w:t xml:space="preserve">nless specifically defined by the legislature, the enumerated types of extrahazardous occupations or employees </w:t>
      </w:r>
      <w:r>
        <w:rPr>
          <w:rFonts w:ascii="Times New Roman" w:hAnsi="Times New Roman" w:cs="Times New Roman"/>
          <w:sz w:val="24"/>
          <w:szCs w:val="24"/>
        </w:rPr>
        <w:t>were found by Wyoming courts</w:t>
      </w:r>
      <w:r w:rsidRPr="00C9645D">
        <w:rPr>
          <w:rFonts w:ascii="Times New Roman" w:hAnsi="Times New Roman" w:cs="Times New Roman"/>
          <w:sz w:val="24"/>
          <w:szCs w:val="24"/>
        </w:rPr>
        <w:t xml:space="preserve"> to embrace jobs that reasonably and liberally fit a description</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64"/>
      </w:r>
      <w:r>
        <w:rPr>
          <w:rFonts w:ascii="Times New Roman" w:hAnsi="Times New Roman" w:cs="Times New Roman"/>
          <w:sz w:val="24"/>
          <w:szCs w:val="24"/>
        </w:rPr>
        <w:t xml:space="preserve"> It is difficult to conclude that this is still a valid statement of law. In </w:t>
      </w:r>
      <w:r w:rsidRPr="00B70C15">
        <w:rPr>
          <w:rFonts w:ascii="Times New Roman" w:hAnsi="Times New Roman" w:cs="Times New Roman"/>
          <w:i/>
          <w:sz w:val="24"/>
          <w:szCs w:val="24"/>
        </w:rPr>
        <w:t>Araguz v. Workers’ Compensation and Safety Division</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65"/>
      </w:r>
      <w:r>
        <w:rPr>
          <w:rFonts w:ascii="Times New Roman" w:hAnsi="Times New Roman" w:cs="Times New Roman"/>
          <w:sz w:val="24"/>
          <w:szCs w:val="24"/>
        </w:rPr>
        <w:t xml:space="preserve"> the Wyoming Supreme Court upheld the administrative denial of benefits by two employees injured in a Walmart Distribution Center because “</w:t>
      </w:r>
      <w:r w:rsidRPr="00C9645D">
        <w:rPr>
          <w:rFonts w:ascii="Times New Roman" w:hAnsi="Times New Roman" w:cs="Times New Roman"/>
          <w:sz w:val="24"/>
          <w:szCs w:val="24"/>
        </w:rPr>
        <w:t>Wal</w:t>
      </w:r>
      <w:r>
        <w:rPr>
          <w:rFonts w:ascii="Times New Roman" w:hAnsi="Times New Roman" w:cs="Times New Roman"/>
          <w:sz w:val="24"/>
          <w:szCs w:val="24"/>
        </w:rPr>
        <w:t>m</w:t>
      </w:r>
      <w:r w:rsidRPr="00C9645D">
        <w:rPr>
          <w:rFonts w:ascii="Times New Roman" w:hAnsi="Times New Roman" w:cs="Times New Roman"/>
          <w:sz w:val="24"/>
          <w:szCs w:val="24"/>
        </w:rPr>
        <w:t>art was not engaged in extrahazardous employment as defined by the legislature</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66"/>
      </w:r>
      <w:r>
        <w:rPr>
          <w:rFonts w:ascii="Times New Roman" w:hAnsi="Times New Roman" w:cs="Times New Roman"/>
          <w:sz w:val="24"/>
          <w:szCs w:val="24"/>
        </w:rPr>
        <w:t xml:space="preserve"> The Court conceded that “[i]</w:t>
      </w:r>
      <w:r w:rsidRPr="007F3A2B">
        <w:rPr>
          <w:rFonts w:ascii="Times New Roman" w:hAnsi="Times New Roman" w:cs="Times New Roman"/>
          <w:sz w:val="24"/>
          <w:szCs w:val="24"/>
        </w:rPr>
        <w:t>n all likelihood, the code assigned the Distribution Center would have been different from the code for Wal–Mart</w:t>
      </w:r>
      <w:r>
        <w:rPr>
          <w:rFonts w:ascii="Times New Roman" w:hAnsi="Times New Roman" w:cs="Times New Roman"/>
          <w:sz w:val="24"/>
          <w:szCs w:val="24"/>
        </w:rPr>
        <w:t>’</w:t>
      </w:r>
      <w:r w:rsidRPr="007F3A2B">
        <w:rPr>
          <w:rFonts w:ascii="Times New Roman" w:hAnsi="Times New Roman" w:cs="Times New Roman"/>
          <w:sz w:val="24"/>
          <w:szCs w:val="24"/>
        </w:rPr>
        <w:t>s retail outlets under a pure NAICS classification system. However, the Division does not implement the NAICS methods for classifying Wyoming businesses.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67"/>
      </w:r>
      <w:r>
        <w:rPr>
          <w:rFonts w:ascii="Times New Roman" w:hAnsi="Times New Roman" w:cs="Times New Roman"/>
          <w:sz w:val="24"/>
          <w:szCs w:val="24"/>
        </w:rPr>
        <w:t xml:space="preserve"> Indeed, the Division had promulgated a rule, </w:t>
      </w:r>
      <w:bookmarkStart w:id="237" w:name="_Hlk24631695"/>
      <w:r w:rsidRPr="007F3A2B">
        <w:rPr>
          <w:rFonts w:ascii="Times New Roman" w:hAnsi="Times New Roman" w:cs="Times New Roman"/>
          <w:sz w:val="24"/>
          <w:szCs w:val="24"/>
        </w:rPr>
        <w:t>Wyo. Rules &amp; Regulations, Dep</w:t>
      </w:r>
      <w:r>
        <w:rPr>
          <w:rFonts w:ascii="Times New Roman" w:hAnsi="Times New Roman" w:cs="Times New Roman"/>
          <w:sz w:val="24"/>
          <w:szCs w:val="24"/>
        </w:rPr>
        <w:t>’</w:t>
      </w:r>
      <w:r w:rsidRPr="007F3A2B">
        <w:rPr>
          <w:rFonts w:ascii="Times New Roman" w:hAnsi="Times New Roman" w:cs="Times New Roman"/>
          <w:sz w:val="24"/>
          <w:szCs w:val="24"/>
        </w:rPr>
        <w:t>t of Employment Workers</w:t>
      </w:r>
      <w:r>
        <w:rPr>
          <w:rFonts w:ascii="Times New Roman" w:hAnsi="Times New Roman" w:cs="Times New Roman"/>
          <w:sz w:val="24"/>
          <w:szCs w:val="24"/>
        </w:rPr>
        <w:t>’</w:t>
      </w:r>
      <w:r w:rsidRPr="007F3A2B">
        <w:rPr>
          <w:rFonts w:ascii="Times New Roman" w:hAnsi="Times New Roman" w:cs="Times New Roman"/>
          <w:sz w:val="24"/>
          <w:szCs w:val="24"/>
        </w:rPr>
        <w:t xml:space="preserve"> Comp. Div., Ch. 2</w:t>
      </w:r>
      <w:r>
        <w:rPr>
          <w:rFonts w:ascii="Times New Roman" w:hAnsi="Times New Roman" w:cs="Times New Roman"/>
          <w:sz w:val="24"/>
          <w:szCs w:val="24"/>
        </w:rPr>
        <w:t>,</w:t>
      </w:r>
      <w:r w:rsidRPr="007F3A2B">
        <w:rPr>
          <w:rFonts w:ascii="Times New Roman" w:hAnsi="Times New Roman" w:cs="Times New Roman"/>
          <w:sz w:val="24"/>
          <w:szCs w:val="24"/>
        </w:rPr>
        <w:t xml:space="preserve"> §</w:t>
      </w:r>
      <w:r w:rsidR="00D44BE4">
        <w:rPr>
          <w:rFonts w:ascii="Times New Roman" w:hAnsi="Times New Roman" w:cs="Times New Roman"/>
          <w:sz w:val="24"/>
          <w:szCs w:val="24"/>
        </w:rPr>
        <w:t xml:space="preserve"> </w:t>
      </w:r>
      <w:r w:rsidRPr="007F3A2B">
        <w:rPr>
          <w:rFonts w:ascii="Times New Roman" w:hAnsi="Times New Roman" w:cs="Times New Roman"/>
          <w:sz w:val="24"/>
          <w:szCs w:val="24"/>
        </w:rPr>
        <w:t>4(a)(2011)</w:t>
      </w:r>
      <w:r>
        <w:rPr>
          <w:rFonts w:ascii="Times New Roman" w:hAnsi="Times New Roman" w:cs="Times New Roman"/>
          <w:sz w:val="24"/>
          <w:szCs w:val="24"/>
        </w:rPr>
        <w:t xml:space="preserve"> (now </w:t>
      </w:r>
      <w:hyperlink r:id="rId59" w:history="1">
        <w:r w:rsidRPr="005C755C">
          <w:rPr>
            <w:rStyle w:val="Hyperlink"/>
            <w:rFonts w:ascii="Times New Roman" w:hAnsi="Times New Roman" w:cs="Times New Roman"/>
            <w:sz w:val="24"/>
            <w:szCs w:val="24"/>
          </w:rPr>
          <w:t>WY Rules and Regulations 053.0021.2 § 4</w:t>
        </w:r>
      </w:hyperlink>
      <w:r>
        <w:rPr>
          <w:rFonts w:ascii="Times New Roman" w:hAnsi="Times New Roman" w:cs="Times New Roman"/>
          <w:sz w:val="24"/>
          <w:szCs w:val="24"/>
        </w:rPr>
        <w:t>),</w:t>
      </w:r>
      <w:r w:rsidRPr="007F3A2B">
        <w:rPr>
          <w:rFonts w:ascii="Times New Roman" w:hAnsi="Times New Roman" w:cs="Times New Roman"/>
          <w:sz w:val="24"/>
          <w:szCs w:val="24"/>
        </w:rPr>
        <w:t xml:space="preserve"> </w:t>
      </w:r>
      <w:r>
        <w:rPr>
          <w:rFonts w:ascii="Times New Roman" w:hAnsi="Times New Roman" w:cs="Times New Roman"/>
          <w:sz w:val="24"/>
          <w:szCs w:val="24"/>
        </w:rPr>
        <w:t xml:space="preserve">presumably </w:t>
      </w:r>
      <w:r w:rsidRPr="007F3A2B">
        <w:rPr>
          <w:rFonts w:ascii="Times New Roman" w:hAnsi="Times New Roman" w:cs="Times New Roman"/>
          <w:i/>
          <w:sz w:val="24"/>
          <w:szCs w:val="24"/>
        </w:rPr>
        <w:t>interpreting</w:t>
      </w:r>
      <w:r>
        <w:rPr>
          <w:rFonts w:ascii="Times New Roman" w:hAnsi="Times New Roman" w:cs="Times New Roman"/>
          <w:sz w:val="24"/>
          <w:szCs w:val="24"/>
        </w:rPr>
        <w:t xml:space="preserve"> the extrahazardous provision, </w:t>
      </w:r>
      <w:r w:rsidRPr="00CC46B2">
        <w:rPr>
          <w:rFonts w:ascii="Times New Roman" w:hAnsi="Times New Roman" w:cs="Times New Roman"/>
          <w:sz w:val="24"/>
          <w:szCs w:val="24"/>
        </w:rPr>
        <w:t xml:space="preserve">W.S. § </w:t>
      </w:r>
      <w:hyperlink r:id="rId60" w:history="1">
        <w:r w:rsidRPr="00CC46B2">
          <w:rPr>
            <w:rStyle w:val="Hyperlink"/>
            <w:rFonts w:ascii="Times New Roman" w:hAnsi="Times New Roman" w:cs="Times New Roman"/>
            <w:sz w:val="24"/>
            <w:szCs w:val="24"/>
          </w:rPr>
          <w:t>27–14–802</w:t>
        </w:r>
      </w:hyperlink>
      <w:r w:rsidRPr="007F3A2B">
        <w:rPr>
          <w:rFonts w:ascii="Times New Roman" w:hAnsi="Times New Roman" w:cs="Times New Roman"/>
          <w:sz w:val="24"/>
          <w:szCs w:val="24"/>
        </w:rPr>
        <w:t>(a)</w:t>
      </w:r>
      <w:r>
        <w:rPr>
          <w:rFonts w:ascii="Times New Roman" w:hAnsi="Times New Roman" w:cs="Times New Roman"/>
          <w:sz w:val="24"/>
          <w:szCs w:val="24"/>
        </w:rPr>
        <w:t>,</w:t>
      </w:r>
    </w:p>
    <w:p w14:paraId="2CD5EEF6" w14:textId="77777777" w:rsidR="00ED25A2" w:rsidRDefault="00ED25A2" w:rsidP="00ED25A2">
      <w:pPr>
        <w:spacing w:after="0"/>
        <w:jc w:val="both"/>
        <w:rPr>
          <w:rFonts w:ascii="Times New Roman" w:hAnsi="Times New Roman" w:cs="Times New Roman"/>
          <w:sz w:val="24"/>
          <w:szCs w:val="24"/>
        </w:rPr>
      </w:pPr>
    </w:p>
    <w:p w14:paraId="0D30ED44" w14:textId="0D4E601B" w:rsidR="00FF7482" w:rsidRDefault="00FF7482" w:rsidP="000E29EB">
      <w:pPr>
        <w:spacing w:after="0"/>
        <w:ind w:left="720" w:right="720"/>
        <w:jc w:val="both"/>
        <w:rPr>
          <w:rFonts w:ascii="Times New Roman" w:hAnsi="Times New Roman" w:cs="Times New Roman"/>
          <w:sz w:val="24"/>
          <w:szCs w:val="24"/>
        </w:rPr>
      </w:pPr>
      <w:r w:rsidRPr="007F3A2B">
        <w:rPr>
          <w:rFonts w:ascii="Times New Roman" w:hAnsi="Times New Roman" w:cs="Times New Roman"/>
          <w:sz w:val="24"/>
          <w:szCs w:val="24"/>
        </w:rPr>
        <w:t xml:space="preserve">(a) Classification Procedures. The Division will assign an industrial classification or classifications pursuant to the North American </w:t>
      </w:r>
      <w:r w:rsidRPr="007F3A2B">
        <w:rPr>
          <w:rFonts w:ascii="Times New Roman" w:hAnsi="Times New Roman" w:cs="Times New Roman"/>
          <w:sz w:val="24"/>
          <w:szCs w:val="24"/>
        </w:rPr>
        <w:lastRenderedPageBreak/>
        <w:t xml:space="preserve">Industry Classification System (NAICS) codes provided by the Federal Bureau of Labor Statistics.... The industrial classification(s) assigned will be that which best describes the </w:t>
      </w:r>
      <w:r w:rsidRPr="00A544E1">
        <w:rPr>
          <w:rFonts w:ascii="Times New Roman" w:hAnsi="Times New Roman" w:cs="Times New Roman"/>
          <w:bCs/>
          <w:iCs/>
          <w:sz w:val="24"/>
          <w:szCs w:val="24"/>
        </w:rPr>
        <w:t>primary business</w:t>
      </w:r>
      <w:r w:rsidRPr="007F3A2B">
        <w:rPr>
          <w:rFonts w:ascii="Times New Roman" w:hAnsi="Times New Roman" w:cs="Times New Roman"/>
          <w:sz w:val="24"/>
          <w:szCs w:val="24"/>
        </w:rPr>
        <w:t xml:space="preserve"> of the employer. Businesses conducted at one or more locations which normally prevail in the primary industrial classification </w:t>
      </w:r>
      <w:bookmarkEnd w:id="237"/>
      <w:r w:rsidRPr="00A544E1">
        <w:rPr>
          <w:rFonts w:ascii="Times New Roman" w:hAnsi="Times New Roman" w:cs="Times New Roman"/>
          <w:bCs/>
          <w:iCs/>
          <w:sz w:val="24"/>
          <w:szCs w:val="24"/>
        </w:rPr>
        <w:t>will not be assigned separate classifications for supporting operations,</w:t>
      </w:r>
      <w:r w:rsidRPr="007F3A2B">
        <w:rPr>
          <w:rFonts w:ascii="Times New Roman" w:hAnsi="Times New Roman" w:cs="Times New Roman"/>
          <w:sz w:val="24"/>
          <w:szCs w:val="24"/>
        </w:rPr>
        <w:t xml:space="preserve"> with certain specific standard exceptions for clerical office occupations, inside sales occupations, outside sales occupations, or temporary help occupations.</w:t>
      </w:r>
    </w:p>
    <w:p w14:paraId="12C9AA74" w14:textId="77777777" w:rsidR="00ED25A2" w:rsidRDefault="00ED25A2" w:rsidP="00ED25A2">
      <w:pPr>
        <w:spacing w:after="0"/>
        <w:ind w:left="720" w:right="720"/>
        <w:jc w:val="both"/>
        <w:rPr>
          <w:rFonts w:ascii="Times New Roman" w:hAnsi="Times New Roman" w:cs="Times New Roman"/>
          <w:sz w:val="24"/>
          <w:szCs w:val="24"/>
        </w:rPr>
      </w:pPr>
    </w:p>
    <w:p w14:paraId="14DCC224" w14:textId="6BF236A4" w:rsidR="00FF7482" w:rsidRDefault="00FF7482" w:rsidP="009207B3">
      <w:pPr>
        <w:spacing w:after="0"/>
        <w:jc w:val="both"/>
        <w:rPr>
          <w:rFonts w:ascii="Times New Roman" w:hAnsi="Times New Roman" w:cs="Times New Roman"/>
          <w:sz w:val="24"/>
          <w:szCs w:val="24"/>
        </w:rPr>
      </w:pPr>
      <w:r>
        <w:rPr>
          <w:rFonts w:ascii="Times New Roman" w:hAnsi="Times New Roman" w:cs="Times New Roman"/>
          <w:sz w:val="24"/>
          <w:szCs w:val="24"/>
        </w:rPr>
        <w:t xml:space="preserve">Because the plaintiff was focused on the fact that the </w:t>
      </w:r>
      <w:r w:rsidRPr="00A544E1">
        <w:rPr>
          <w:rFonts w:ascii="Times New Roman" w:hAnsi="Times New Roman" w:cs="Times New Roman"/>
          <w:i/>
          <w:sz w:val="24"/>
          <w:szCs w:val="24"/>
        </w:rPr>
        <w:t>jobs</w:t>
      </w:r>
      <w:r>
        <w:rPr>
          <w:rFonts w:ascii="Times New Roman" w:hAnsi="Times New Roman" w:cs="Times New Roman"/>
          <w:sz w:val="24"/>
          <w:szCs w:val="24"/>
        </w:rPr>
        <w:t xml:space="preserve"> of the injured workers were allegedly extrahazardous, the Court’s response was similarly focused on replying that “</w:t>
      </w:r>
      <w:r w:rsidRPr="00A544E1">
        <w:rPr>
          <w:rFonts w:ascii="Times New Roman" w:hAnsi="Times New Roman" w:cs="Times New Roman"/>
          <w:sz w:val="24"/>
          <w:szCs w:val="24"/>
        </w:rPr>
        <w:t>it is irrelevant that the appellants, pursuing the same responsibilities, may be covered by the Act under different employment; the assessment is based on the activities of the employer, not the employee.</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168"/>
      </w:r>
      <w:r>
        <w:rPr>
          <w:rFonts w:ascii="Times New Roman" w:hAnsi="Times New Roman" w:cs="Times New Roman"/>
          <w:sz w:val="24"/>
          <w:szCs w:val="24"/>
        </w:rPr>
        <w:t xml:space="preserve"> But the most puzzling part of the case is trying to discern the Division’s rationale for concluding that all businesses of an employer should </w:t>
      </w:r>
      <w:r w:rsidRPr="00A8233A">
        <w:rPr>
          <w:rFonts w:ascii="Times New Roman" w:hAnsi="Times New Roman" w:cs="Times New Roman"/>
          <w:i/>
          <w:iCs/>
          <w:sz w:val="24"/>
          <w:szCs w:val="24"/>
        </w:rPr>
        <w:t>presumptively</w:t>
      </w:r>
      <w:r>
        <w:rPr>
          <w:rFonts w:ascii="Times New Roman" w:hAnsi="Times New Roman" w:cs="Times New Roman"/>
          <w:sz w:val="24"/>
          <w:szCs w:val="24"/>
        </w:rPr>
        <w:t xml:space="preserve"> receive the same industrial classification as its primary business. This seems a questionable proposition—perhaps it is a practice of private insurance. Although the Court stated the conclusion was “</w:t>
      </w:r>
      <w:r w:rsidRPr="00CD24D7">
        <w:rPr>
          <w:rFonts w:ascii="Times New Roman" w:hAnsi="Times New Roman" w:cs="Times New Roman"/>
          <w:sz w:val="24"/>
          <w:szCs w:val="24"/>
        </w:rPr>
        <w:t>in proper keeping with Wyoming statute, the rules and regulations promulgated by the Division, case law, and the Wyoming Constitution</w:t>
      </w:r>
      <w:r>
        <w:rPr>
          <w:rFonts w:ascii="Times New Roman" w:hAnsi="Times New Roman" w:cs="Times New Roman"/>
          <w:sz w:val="24"/>
          <w:szCs w:val="24"/>
        </w:rPr>
        <w:t>,” this writer could not locate authority within the case supporting the declaration. The final word should perhaps be that it is difficult to explain how it is ultimately good policy that the largest private sector employer</w:t>
      </w:r>
      <w:r w:rsidRPr="00CD24D7">
        <w:rPr>
          <w:rFonts w:ascii="Times New Roman" w:hAnsi="Times New Roman" w:cs="Times New Roman"/>
          <w:sz w:val="24"/>
          <w:szCs w:val="24"/>
        </w:rPr>
        <w:t xml:space="preserve"> </w:t>
      </w:r>
      <w:r>
        <w:rPr>
          <w:rFonts w:ascii="Times New Roman" w:hAnsi="Times New Roman" w:cs="Times New Roman"/>
          <w:sz w:val="24"/>
          <w:szCs w:val="24"/>
        </w:rPr>
        <w:t>in Wyoming (including its most hazardous business components) is apparently not presently covered by the Wyoming Workers’ Compensation Act. While employees excluded from the workers’ compensation scheme necessarily retain the right to sue their employers under Wyoming’s constitutional right of access to courts,</w:t>
      </w:r>
      <w:r w:rsidRPr="00112C9C">
        <w:rPr>
          <w:rFonts w:ascii="Times New Roman" w:hAnsi="Times New Roman" w:cs="Times New Roman"/>
          <w:sz w:val="24"/>
          <w:szCs w:val="24"/>
          <w:vertAlign w:val="superscript"/>
        </w:rPr>
        <w:footnoteReference w:id="169"/>
      </w:r>
      <w:r>
        <w:rPr>
          <w:rFonts w:ascii="Times New Roman" w:hAnsi="Times New Roman" w:cs="Times New Roman"/>
          <w:sz w:val="24"/>
          <w:szCs w:val="24"/>
        </w:rPr>
        <w:t xml:space="preserve"> to the extent Walmart-type alternative benefit plans are governed by the Employee Retirement Income Security Act of 1974 (ERISA), tort suits for damages</w:t>
      </w:r>
      <w:r w:rsidR="00245206">
        <w:rPr>
          <w:rFonts w:ascii="Times New Roman" w:hAnsi="Times New Roman" w:cs="Times New Roman"/>
          <w:sz w:val="24"/>
          <w:szCs w:val="24"/>
        </w:rPr>
        <w:t xml:space="preserve"> by employees electing coverage under the alternative plan</w:t>
      </w:r>
      <w:r>
        <w:rPr>
          <w:rFonts w:ascii="Times New Roman" w:hAnsi="Times New Roman" w:cs="Times New Roman"/>
          <w:sz w:val="24"/>
          <w:szCs w:val="24"/>
        </w:rPr>
        <w:t xml:space="preserve"> may be preempted by federal law, and employee recoveries for injury may accordingly be severely limited.</w:t>
      </w:r>
      <w:r w:rsidRPr="00112C9C">
        <w:rPr>
          <w:rFonts w:ascii="Times New Roman" w:hAnsi="Times New Roman" w:cs="Times New Roman"/>
          <w:sz w:val="24"/>
          <w:szCs w:val="24"/>
          <w:vertAlign w:val="superscript"/>
        </w:rPr>
        <w:footnoteReference w:id="170"/>
      </w:r>
      <w:r>
        <w:rPr>
          <w:rFonts w:ascii="Times New Roman" w:hAnsi="Times New Roman" w:cs="Times New Roman"/>
          <w:sz w:val="24"/>
          <w:szCs w:val="24"/>
        </w:rPr>
        <w:t xml:space="preserve"> </w:t>
      </w:r>
      <w:r>
        <w:rPr>
          <w:rFonts w:ascii="Times New Roman" w:hAnsi="Times New Roman" w:cs="Times New Roman"/>
          <w:sz w:val="24"/>
          <w:szCs w:val="24"/>
        </w:rPr>
        <w:br w:type="page"/>
      </w:r>
    </w:p>
    <w:p w14:paraId="0A205E73" w14:textId="2C27AD23" w:rsidR="00FF7482" w:rsidRPr="00CA6C8C" w:rsidRDefault="00FF7482" w:rsidP="008B479F">
      <w:pPr>
        <w:pStyle w:val="Heading1"/>
        <w:rPr>
          <w:rFonts w:ascii="Times New Roman" w:hAnsi="Times New Roman" w:cs="Times New Roman"/>
          <w:b/>
          <w:color w:val="auto"/>
        </w:rPr>
      </w:pPr>
      <w:bookmarkStart w:id="241" w:name="_Toc75269365"/>
      <w:r w:rsidRPr="00CA6C8C">
        <w:rPr>
          <w:rFonts w:ascii="Times New Roman" w:hAnsi="Times New Roman" w:cs="Times New Roman"/>
          <w:b/>
          <w:color w:val="auto"/>
        </w:rPr>
        <w:lastRenderedPageBreak/>
        <w:t>WHAT IS COVERED BY WORKERS’ COMPENSATION?</w:t>
      </w:r>
      <w:bookmarkEnd w:id="241"/>
    </w:p>
    <w:p w14:paraId="2B0BDBA7" w14:textId="77777777" w:rsidR="00FF7482" w:rsidRPr="00511932" w:rsidRDefault="00FF7482" w:rsidP="00FE123E">
      <w:pPr>
        <w:spacing w:after="0" w:line="252" w:lineRule="auto"/>
        <w:ind w:left="360"/>
        <w:contextualSpacing/>
        <w:rPr>
          <w:rFonts w:ascii="Times New Roman" w:eastAsia="Times New Roman" w:hAnsi="Times New Roman" w:cs="Times New Roman"/>
          <w:b/>
          <w:color w:val="000000" w:themeColor="text1"/>
          <w:sz w:val="24"/>
          <w:szCs w:val="24"/>
        </w:rPr>
      </w:pPr>
    </w:p>
    <w:p w14:paraId="7502B4E4" w14:textId="03A5077B" w:rsidR="00FF7482" w:rsidRPr="00B06642" w:rsidRDefault="00FF7482" w:rsidP="00ED25A2">
      <w:pPr>
        <w:pStyle w:val="Heading2"/>
        <w:rPr>
          <w:rFonts w:ascii="Times New Roman" w:hAnsi="Times New Roman" w:cs="Times New Roman"/>
          <w:b/>
          <w:color w:val="auto"/>
        </w:rPr>
      </w:pPr>
      <w:bookmarkStart w:id="242" w:name="_Toc75269366"/>
      <w:r w:rsidRPr="00B06642">
        <w:rPr>
          <w:rFonts w:ascii="Times New Roman" w:hAnsi="Times New Roman" w:cs="Times New Roman"/>
          <w:b/>
          <w:color w:val="auto"/>
        </w:rPr>
        <w:t>Workers’ Compensation Coverage Generally</w:t>
      </w:r>
      <w:bookmarkEnd w:id="242"/>
    </w:p>
    <w:p w14:paraId="2664EE58" w14:textId="09186A28" w:rsidR="00FF7482" w:rsidRDefault="00FF7482" w:rsidP="006A3226">
      <w:pPr>
        <w:pStyle w:val="ListParagraph"/>
        <w:spacing w:after="0"/>
        <w:ind w:left="0"/>
        <w:rPr>
          <w:rFonts w:ascii="Times New Roman" w:hAnsi="Times New Roman" w:cs="Times New Roman"/>
          <w:color w:val="000000" w:themeColor="text1"/>
          <w:sz w:val="24"/>
          <w:szCs w:val="24"/>
        </w:rPr>
      </w:pPr>
    </w:p>
    <w:p w14:paraId="583DA871" w14:textId="15820576" w:rsidR="00FF7482" w:rsidRDefault="00FF7482" w:rsidP="00ED25A2">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Workers’ compensation benefits are paid under most statutes in the United States to statutory employees (engaged in statutory employment for a statutory employer) suffering an </w:t>
      </w:r>
      <w:r w:rsidRPr="009C04A7">
        <w:rPr>
          <w:rFonts w:ascii="Times New Roman" w:hAnsi="Times New Roman" w:cs="Times New Roman"/>
          <w:b/>
          <w:color w:val="000000" w:themeColor="text1"/>
          <w:sz w:val="24"/>
          <w:szCs w:val="24"/>
        </w:rPr>
        <w:t>injury by accident</w:t>
      </w:r>
      <w:r>
        <w:rPr>
          <w:rFonts w:ascii="Times New Roman" w:hAnsi="Times New Roman" w:cs="Times New Roman"/>
          <w:b/>
          <w:color w:val="000000" w:themeColor="text1"/>
          <w:sz w:val="24"/>
          <w:szCs w:val="24"/>
        </w:rPr>
        <w:t xml:space="preserve"> (and under some statutes an occupational disease)</w:t>
      </w:r>
      <w:r w:rsidRPr="009C04A7">
        <w:rPr>
          <w:rFonts w:ascii="Times New Roman" w:hAnsi="Times New Roman" w:cs="Times New Roman"/>
          <w:b/>
          <w:color w:val="000000" w:themeColor="text1"/>
          <w:sz w:val="24"/>
          <w:szCs w:val="24"/>
        </w:rPr>
        <w:t xml:space="preserve"> arising out of and in the course of employment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71"/>
      </w:r>
      <w:r>
        <w:rPr>
          <w:rFonts w:ascii="Times New Roman" w:hAnsi="Times New Roman" w:cs="Times New Roman"/>
          <w:color w:val="000000" w:themeColor="text1"/>
          <w:sz w:val="24"/>
          <w:szCs w:val="24"/>
        </w:rPr>
        <w:t xml:space="preserve"> Unpacking this </w:t>
      </w:r>
      <w:r w:rsidRPr="00BD2B7F">
        <w:rPr>
          <w:rFonts w:ascii="Times New Roman" w:hAnsi="Times New Roman" w:cs="Times New Roman"/>
          <w:b/>
          <w:color w:val="000000" w:themeColor="text1"/>
          <w:sz w:val="24"/>
          <w:szCs w:val="24"/>
          <w:u w:val="single"/>
        </w:rPr>
        <w:t>causal connection</w:t>
      </w:r>
      <w:r>
        <w:rPr>
          <w:rFonts w:ascii="Times New Roman" w:hAnsi="Times New Roman" w:cs="Times New Roman"/>
          <w:color w:val="000000" w:themeColor="text1"/>
          <w:sz w:val="24"/>
          <w:szCs w:val="24"/>
        </w:rPr>
        <w:t xml:space="preserve"> definition constitutes much of the substance of workers’ compensation law. It should first be noted that </w:t>
      </w:r>
      <w:r w:rsidRPr="00474D89">
        <w:rPr>
          <w:rFonts w:ascii="Times New Roman" w:hAnsi="Times New Roman" w:cs="Times New Roman"/>
          <w:b/>
          <w:bCs/>
          <w:color w:val="000000" w:themeColor="text1"/>
          <w:sz w:val="24"/>
          <w:szCs w:val="24"/>
        </w:rPr>
        <w:t>not all jurisdictions require that an injury have been suffered by “accident” to be compensable</w:t>
      </w:r>
      <w:r>
        <w:rPr>
          <w:rFonts w:ascii="Times New Roman" w:hAnsi="Times New Roman" w:cs="Times New Roman"/>
          <w:color w:val="000000" w:themeColor="text1"/>
          <w:sz w:val="24"/>
          <w:szCs w:val="24"/>
        </w:rPr>
        <w:t xml:space="preserve">. According to the </w:t>
      </w:r>
      <w:r w:rsidRPr="00672224">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the </w:t>
      </w:r>
      <w:r w:rsidRPr="00B2050F">
        <w:rPr>
          <w:rFonts w:ascii="Times New Roman" w:hAnsi="Times New Roman" w:cs="Times New Roman"/>
          <w:color w:val="000000" w:themeColor="text1"/>
          <w:sz w:val="24"/>
          <w:szCs w:val="24"/>
        </w:rPr>
        <w:t>phrase</w:t>
      </w:r>
      <w:r>
        <w:rPr>
          <w:rFonts w:ascii="Times New Roman" w:hAnsi="Times New Roman" w:cs="Times New Roman"/>
          <w:color w:val="000000" w:themeColor="text1"/>
          <w:sz w:val="24"/>
          <w:szCs w:val="24"/>
        </w:rPr>
        <w:t xml:space="preserve"> “by accident”</w:t>
      </w:r>
      <w:r w:rsidRPr="00B205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B2050F">
        <w:rPr>
          <w:rFonts w:ascii="Times New Roman" w:hAnsi="Times New Roman" w:cs="Times New Roman"/>
          <w:color w:val="000000" w:themeColor="text1"/>
          <w:sz w:val="24"/>
          <w:szCs w:val="24"/>
        </w:rPr>
        <w:t>occurs in the statutes of twenty-five states.</w:t>
      </w:r>
      <w:r>
        <w:rPr>
          <w:rFonts w:ascii="Times New Roman" w:hAnsi="Times New Roman" w:cs="Times New Roman"/>
          <w:color w:val="000000" w:themeColor="text1"/>
          <w:sz w:val="24"/>
          <w:szCs w:val="24"/>
        </w:rPr>
        <w:t xml:space="preserve"> </w:t>
      </w:r>
      <w:r w:rsidRPr="00B2050F">
        <w:rPr>
          <w:rFonts w:ascii="Times New Roman" w:hAnsi="Times New Roman" w:cs="Times New Roman"/>
          <w:color w:val="000000" w:themeColor="text1"/>
          <w:sz w:val="24"/>
          <w:szCs w:val="24"/>
        </w:rPr>
        <w:t>Nine states,</w:t>
      </w:r>
      <w:r>
        <w:rPr>
          <w:rFonts w:ascii="Times New Roman" w:hAnsi="Times New Roman" w:cs="Times New Roman"/>
          <w:color w:val="000000" w:themeColor="text1"/>
          <w:sz w:val="24"/>
          <w:szCs w:val="24"/>
        </w:rPr>
        <w:t xml:space="preserve"> </w:t>
      </w:r>
      <w:r w:rsidRPr="00B2050F">
        <w:rPr>
          <w:rFonts w:ascii="Times New Roman" w:hAnsi="Times New Roman" w:cs="Times New Roman"/>
          <w:color w:val="000000" w:themeColor="text1"/>
          <w:sz w:val="24"/>
          <w:szCs w:val="24"/>
        </w:rPr>
        <w:t xml:space="preserve">the District of Columbia and the Longshoremen’s Act use the phrase </w:t>
      </w:r>
      <w:r>
        <w:rPr>
          <w:rFonts w:ascii="Times New Roman" w:hAnsi="Times New Roman" w:cs="Times New Roman"/>
          <w:color w:val="000000" w:themeColor="text1"/>
          <w:sz w:val="24"/>
          <w:szCs w:val="24"/>
        </w:rPr>
        <w:t>‘</w:t>
      </w:r>
      <w:r w:rsidRPr="00B2050F">
        <w:rPr>
          <w:rFonts w:ascii="Times New Roman" w:hAnsi="Times New Roman" w:cs="Times New Roman"/>
          <w:color w:val="000000" w:themeColor="text1"/>
          <w:sz w:val="24"/>
          <w:szCs w:val="24"/>
        </w:rPr>
        <w:t>accidental injury.</w:t>
      </w:r>
      <w:r>
        <w:rPr>
          <w:rFonts w:ascii="Times New Roman" w:hAnsi="Times New Roman" w:cs="Times New Roman"/>
          <w:color w:val="000000" w:themeColor="text1"/>
          <w:sz w:val="24"/>
          <w:szCs w:val="24"/>
        </w:rPr>
        <w:t>’</w:t>
      </w:r>
      <w:r w:rsidRPr="00B2050F">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72"/>
      </w:r>
      <w:r>
        <w:rPr>
          <w:rFonts w:ascii="Times New Roman" w:hAnsi="Times New Roman" w:cs="Times New Roman"/>
          <w:color w:val="000000" w:themeColor="text1"/>
          <w:sz w:val="24"/>
          <w:szCs w:val="24"/>
        </w:rPr>
        <w:t xml:space="preserve"> </w:t>
      </w:r>
      <w:r w:rsidRPr="001F5EA1">
        <w:rPr>
          <w:rFonts w:ascii="Times New Roman" w:hAnsi="Times New Roman" w:cs="Times New Roman"/>
          <w:b/>
          <w:color w:val="000000" w:themeColor="text1"/>
          <w:sz w:val="24"/>
          <w:szCs w:val="24"/>
        </w:rPr>
        <w:t xml:space="preserve">Because </w:t>
      </w:r>
      <w:r w:rsidRPr="00474D89">
        <w:rPr>
          <w:rFonts w:ascii="Times New Roman" w:hAnsi="Times New Roman" w:cs="Times New Roman"/>
          <w:b/>
          <w:color w:val="000000" w:themeColor="text1"/>
          <w:sz w:val="24"/>
          <w:szCs w:val="24"/>
          <w:u w:val="single"/>
        </w:rPr>
        <w:t>Wyoming’s statute does not explicitly require the occurrence of an accident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73"/>
      </w:r>
      <w:r>
        <w:rPr>
          <w:rFonts w:ascii="Times New Roman" w:hAnsi="Times New Roman" w:cs="Times New Roman"/>
          <w:color w:val="000000" w:themeColor="text1"/>
          <w:sz w:val="24"/>
          <w:szCs w:val="24"/>
        </w:rPr>
        <w:t xml:space="preserve"> this Treatise will not dwell on the variety of issues presented when interpreting the term “accident” or “accidental.”</w:t>
      </w:r>
    </w:p>
    <w:p w14:paraId="3E8A089D" w14:textId="77777777" w:rsidR="00FF7482" w:rsidRDefault="00FF7482" w:rsidP="00FE123E">
      <w:pPr>
        <w:pStyle w:val="ListParagraph"/>
        <w:spacing w:after="0"/>
        <w:ind w:left="0" w:firstLine="720"/>
        <w:jc w:val="both"/>
        <w:rPr>
          <w:rFonts w:ascii="Times New Roman" w:hAnsi="Times New Roman" w:cs="Times New Roman"/>
          <w:color w:val="000000" w:themeColor="text1"/>
          <w:sz w:val="24"/>
          <w:szCs w:val="24"/>
        </w:rPr>
      </w:pPr>
    </w:p>
    <w:p w14:paraId="244B084B" w14:textId="70E50874" w:rsidR="00FF7482" w:rsidRPr="00B06642" w:rsidRDefault="00FF7482" w:rsidP="00ED25A2">
      <w:pPr>
        <w:pStyle w:val="Heading2"/>
        <w:rPr>
          <w:rFonts w:ascii="Times New Roman" w:hAnsi="Times New Roman" w:cs="Times New Roman"/>
          <w:b/>
          <w:color w:val="auto"/>
        </w:rPr>
      </w:pPr>
      <w:bookmarkStart w:id="248" w:name="_Toc75269367"/>
      <w:r w:rsidRPr="00B06642">
        <w:rPr>
          <w:rFonts w:ascii="Times New Roman" w:hAnsi="Times New Roman" w:cs="Times New Roman"/>
          <w:b/>
          <w:color w:val="auto"/>
        </w:rPr>
        <w:t xml:space="preserve">“Arising Out </w:t>
      </w:r>
      <w:r w:rsidR="00CD3276">
        <w:rPr>
          <w:rFonts w:ascii="Times New Roman" w:hAnsi="Times New Roman" w:cs="Times New Roman"/>
          <w:b/>
          <w:color w:val="auto"/>
        </w:rPr>
        <w:t>O</w:t>
      </w:r>
      <w:r w:rsidRPr="00B06642">
        <w:rPr>
          <w:rFonts w:ascii="Times New Roman" w:hAnsi="Times New Roman" w:cs="Times New Roman"/>
          <w:b/>
          <w:color w:val="auto"/>
        </w:rPr>
        <w:t>f” Generally</w:t>
      </w:r>
      <w:bookmarkEnd w:id="248"/>
    </w:p>
    <w:p w14:paraId="5C4C02E1" w14:textId="77777777" w:rsidR="00FF7482" w:rsidRDefault="00FF7482" w:rsidP="00FE123E">
      <w:pPr>
        <w:pStyle w:val="ListParagraph"/>
        <w:spacing w:after="0"/>
        <w:ind w:left="0" w:firstLine="720"/>
        <w:jc w:val="both"/>
        <w:rPr>
          <w:rFonts w:ascii="Times New Roman" w:hAnsi="Times New Roman" w:cs="Times New Roman"/>
          <w:color w:val="000000" w:themeColor="text1"/>
          <w:sz w:val="24"/>
          <w:szCs w:val="24"/>
        </w:rPr>
      </w:pPr>
    </w:p>
    <w:p w14:paraId="2592533C" w14:textId="7D7779F4" w:rsidR="00FF7482" w:rsidRDefault="00FF7482" w:rsidP="009207B3">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“arising out of” and “in the course” of elements of the general definition set out above are embodied in the statutes of almost all jurisdictions,</w:t>
      </w:r>
      <w:r w:rsidRPr="00112C9C">
        <w:rPr>
          <w:rFonts w:ascii="Times New Roman" w:hAnsi="Times New Roman" w:cs="Times New Roman"/>
          <w:sz w:val="24"/>
          <w:szCs w:val="24"/>
          <w:vertAlign w:val="superscript"/>
        </w:rPr>
        <w:footnoteReference w:id="174"/>
      </w:r>
      <w:r>
        <w:rPr>
          <w:rFonts w:ascii="Times New Roman" w:hAnsi="Times New Roman" w:cs="Times New Roman"/>
          <w:color w:val="000000" w:themeColor="text1"/>
          <w:sz w:val="24"/>
          <w:szCs w:val="24"/>
        </w:rPr>
        <w:t xml:space="preserve"> including Wyoming.</w:t>
      </w:r>
      <w:r w:rsidRPr="00112C9C">
        <w:rPr>
          <w:rFonts w:ascii="Times New Roman" w:hAnsi="Times New Roman" w:cs="Times New Roman"/>
          <w:sz w:val="24"/>
          <w:szCs w:val="24"/>
          <w:vertAlign w:val="superscript"/>
        </w:rPr>
        <w:footnoteReference w:id="175"/>
      </w:r>
      <w:r>
        <w:rPr>
          <w:rFonts w:ascii="Times New Roman" w:hAnsi="Times New Roman" w:cs="Times New Roman"/>
          <w:color w:val="000000" w:themeColor="text1"/>
          <w:sz w:val="24"/>
          <w:szCs w:val="24"/>
        </w:rPr>
        <w:t xml:space="preserve"> </w:t>
      </w:r>
      <w:bookmarkStart w:id="253" w:name="_Hlk517341262"/>
      <w:r>
        <w:rPr>
          <w:rFonts w:ascii="Times New Roman" w:hAnsi="Times New Roman" w:cs="Times New Roman"/>
          <w:color w:val="000000" w:themeColor="text1"/>
          <w:sz w:val="24"/>
          <w:szCs w:val="24"/>
        </w:rPr>
        <w:t xml:space="preserve">The </w:t>
      </w:r>
      <w:r w:rsidRPr="00156333">
        <w:rPr>
          <w:rFonts w:ascii="Times New Roman" w:hAnsi="Times New Roman" w:cs="Times New Roman"/>
          <w:color w:val="000000" w:themeColor="text1"/>
          <w:sz w:val="24"/>
          <w:szCs w:val="24"/>
        </w:rPr>
        <w:t>“arising out of” portion</w:t>
      </w:r>
      <w:r>
        <w:rPr>
          <w:rFonts w:ascii="Times New Roman" w:hAnsi="Times New Roman" w:cs="Times New Roman"/>
          <w:color w:val="000000" w:themeColor="text1"/>
          <w:sz w:val="24"/>
          <w:szCs w:val="24"/>
        </w:rPr>
        <w:t xml:space="preserve"> of the causal connection definition</w:t>
      </w:r>
      <w:r w:rsidRPr="00156333">
        <w:rPr>
          <w:rFonts w:ascii="Times New Roman" w:hAnsi="Times New Roman" w:cs="Times New Roman"/>
          <w:color w:val="000000" w:themeColor="text1"/>
          <w:sz w:val="24"/>
          <w:szCs w:val="24"/>
        </w:rPr>
        <w:t xml:space="preserve"> refer</w:t>
      </w:r>
      <w:r>
        <w:rPr>
          <w:rFonts w:ascii="Times New Roman" w:hAnsi="Times New Roman" w:cs="Times New Roman"/>
          <w:color w:val="000000" w:themeColor="text1"/>
          <w:sz w:val="24"/>
          <w:szCs w:val="24"/>
        </w:rPr>
        <w:t>s</w:t>
      </w:r>
      <w:r w:rsidRPr="00156333">
        <w:rPr>
          <w:rFonts w:ascii="Times New Roman" w:hAnsi="Times New Roman" w:cs="Times New Roman"/>
          <w:color w:val="000000" w:themeColor="text1"/>
          <w:sz w:val="24"/>
          <w:szCs w:val="24"/>
        </w:rPr>
        <w:t xml:space="preserve"> to</w:t>
      </w:r>
      <w:r>
        <w:rPr>
          <w:rFonts w:ascii="Times New Roman" w:hAnsi="Times New Roman" w:cs="Times New Roman"/>
          <w:color w:val="000000" w:themeColor="text1"/>
          <w:sz w:val="24"/>
          <w:szCs w:val="24"/>
        </w:rPr>
        <w:t xml:space="preserve"> the</w:t>
      </w:r>
      <w:r w:rsidRPr="00156333">
        <w:rPr>
          <w:rFonts w:ascii="Times New Roman" w:hAnsi="Times New Roman" w:cs="Times New Roman"/>
          <w:color w:val="000000" w:themeColor="text1"/>
          <w:sz w:val="24"/>
          <w:szCs w:val="24"/>
        </w:rPr>
        <w:t xml:space="preserve"> </w:t>
      </w:r>
      <w:r w:rsidRPr="00E2240B">
        <w:rPr>
          <w:rFonts w:ascii="Times New Roman" w:hAnsi="Times New Roman" w:cs="Times New Roman"/>
          <w:b/>
          <w:bCs/>
          <w:color w:val="000000" w:themeColor="text1"/>
          <w:sz w:val="24"/>
          <w:szCs w:val="24"/>
        </w:rPr>
        <w:t>causal origin</w:t>
      </w:r>
      <w:r>
        <w:rPr>
          <w:rFonts w:ascii="Times New Roman" w:hAnsi="Times New Roman" w:cs="Times New Roman"/>
          <w:color w:val="000000" w:themeColor="text1"/>
          <w:sz w:val="24"/>
          <w:szCs w:val="24"/>
        </w:rPr>
        <w:t xml:space="preserve"> of an injury</w:t>
      </w:r>
      <w:r w:rsidRPr="00156333">
        <w:rPr>
          <w:rFonts w:ascii="Times New Roman" w:hAnsi="Times New Roman" w:cs="Times New Roman"/>
          <w:color w:val="000000" w:themeColor="text1"/>
          <w:sz w:val="24"/>
          <w:szCs w:val="24"/>
        </w:rPr>
        <w:t>, and the “</w:t>
      </w:r>
      <w:r>
        <w:rPr>
          <w:rFonts w:ascii="Times New Roman" w:hAnsi="Times New Roman" w:cs="Times New Roman"/>
          <w:color w:val="000000" w:themeColor="text1"/>
          <w:sz w:val="24"/>
          <w:szCs w:val="24"/>
        </w:rPr>
        <w:t xml:space="preserve">in the </w:t>
      </w:r>
      <w:r w:rsidRPr="00156333">
        <w:rPr>
          <w:rFonts w:ascii="Times New Roman" w:hAnsi="Times New Roman" w:cs="Times New Roman"/>
          <w:color w:val="000000" w:themeColor="text1"/>
          <w:sz w:val="24"/>
          <w:szCs w:val="24"/>
        </w:rPr>
        <w:t>course of employment” portion</w:t>
      </w:r>
      <w:r>
        <w:rPr>
          <w:rFonts w:ascii="Times New Roman" w:hAnsi="Times New Roman" w:cs="Times New Roman"/>
          <w:color w:val="000000" w:themeColor="text1"/>
          <w:sz w:val="24"/>
          <w:szCs w:val="24"/>
        </w:rPr>
        <w:t xml:space="preserve"> of the definition refers</w:t>
      </w:r>
      <w:r w:rsidRPr="00156333">
        <w:rPr>
          <w:rFonts w:ascii="Times New Roman" w:hAnsi="Times New Roman" w:cs="Times New Roman"/>
          <w:color w:val="000000" w:themeColor="text1"/>
          <w:sz w:val="24"/>
          <w:szCs w:val="24"/>
        </w:rPr>
        <w:t xml:space="preserve"> to the </w:t>
      </w:r>
      <w:r w:rsidRPr="00E2240B">
        <w:rPr>
          <w:rFonts w:ascii="Times New Roman" w:hAnsi="Times New Roman" w:cs="Times New Roman"/>
          <w:b/>
          <w:bCs/>
          <w:color w:val="000000" w:themeColor="text1"/>
          <w:sz w:val="24"/>
          <w:szCs w:val="24"/>
        </w:rPr>
        <w:t>time, place, and circumstances</w:t>
      </w:r>
      <w:r w:rsidRPr="00156333">
        <w:rPr>
          <w:rFonts w:ascii="Times New Roman" w:hAnsi="Times New Roman" w:cs="Times New Roman"/>
          <w:color w:val="000000" w:themeColor="text1"/>
          <w:sz w:val="24"/>
          <w:szCs w:val="24"/>
        </w:rPr>
        <w:t xml:space="preserve"> of the accident in relation to the employment</w:t>
      </w:r>
      <w:bookmarkEnd w:id="253"/>
      <w:r w:rsidRPr="00156333">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76"/>
      </w:r>
      <w:r>
        <w:rPr>
          <w:rFonts w:ascii="Times New Roman" w:hAnsi="Times New Roman" w:cs="Times New Roman"/>
          <w:color w:val="000000" w:themeColor="text1"/>
          <w:sz w:val="24"/>
          <w:szCs w:val="24"/>
        </w:rPr>
        <w:t xml:space="preserve"> </w:t>
      </w:r>
      <w:r w:rsidRPr="002A09BF">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re are</w:t>
      </w:r>
      <w:r w:rsidRPr="002A09BF">
        <w:rPr>
          <w:rFonts w:ascii="Times New Roman" w:hAnsi="Times New Roman" w:cs="Times New Roman"/>
          <w:color w:val="000000" w:themeColor="text1"/>
          <w:sz w:val="24"/>
          <w:szCs w:val="24"/>
        </w:rPr>
        <w:t xml:space="preserve"> three categories of risks which an employee may encounter during the course of employment</w:t>
      </w:r>
      <w:r>
        <w:rPr>
          <w:rFonts w:ascii="Times New Roman" w:hAnsi="Times New Roman" w:cs="Times New Roman"/>
          <w:color w:val="000000" w:themeColor="text1"/>
          <w:sz w:val="24"/>
          <w:szCs w:val="24"/>
        </w:rPr>
        <w:t xml:space="preserve">: </w:t>
      </w:r>
      <w:r w:rsidRPr="002A09BF">
        <w:rPr>
          <w:rFonts w:ascii="Times New Roman" w:hAnsi="Times New Roman" w:cs="Times New Roman"/>
          <w:color w:val="000000" w:themeColor="text1"/>
          <w:sz w:val="24"/>
          <w:szCs w:val="24"/>
        </w:rPr>
        <w:t>those that are solely employment related, those that are purely personal, and those that are neutral</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77"/>
      </w:r>
      <w:r>
        <w:rPr>
          <w:rFonts w:ascii="Times New Roman" w:hAnsi="Times New Roman" w:cs="Times New Roman"/>
          <w:color w:val="000000" w:themeColor="text1"/>
          <w:sz w:val="24"/>
          <w:szCs w:val="24"/>
        </w:rPr>
        <w:t xml:space="preserve"> Throughout the United States, three theories related to these risks are utilized to determine if an injury “arose out of employment”: </w:t>
      </w:r>
      <w:r w:rsidRPr="00156333">
        <w:rPr>
          <w:rFonts w:ascii="Times New Roman" w:hAnsi="Times New Roman" w:cs="Times New Roman"/>
          <w:color w:val="000000" w:themeColor="text1"/>
          <w:sz w:val="24"/>
          <w:szCs w:val="24"/>
        </w:rPr>
        <w:t>the increased-risk, actual-risk, and positional-risk doctrines.</w:t>
      </w:r>
      <w:r w:rsidRPr="00112C9C">
        <w:rPr>
          <w:rFonts w:ascii="Times New Roman" w:hAnsi="Times New Roman" w:cs="Times New Roman"/>
          <w:sz w:val="24"/>
          <w:szCs w:val="24"/>
          <w:vertAlign w:val="superscript"/>
        </w:rPr>
        <w:footnoteReference w:id="178"/>
      </w:r>
      <w:r>
        <w:rPr>
          <w:rFonts w:ascii="Times New Roman" w:hAnsi="Times New Roman" w:cs="Times New Roman"/>
          <w:color w:val="000000" w:themeColor="text1"/>
          <w:sz w:val="24"/>
          <w:szCs w:val="24"/>
        </w:rPr>
        <w:t xml:space="preserve"> In the majority of jurisdictions, a workplace injury “arises out of” employment if the workplace increased the risk of the injury </w:t>
      </w:r>
      <w:r>
        <w:rPr>
          <w:rFonts w:ascii="Times New Roman" w:hAnsi="Times New Roman" w:cs="Times New Roman"/>
          <w:color w:val="000000" w:themeColor="text1"/>
          <w:sz w:val="24"/>
          <w:szCs w:val="24"/>
        </w:rPr>
        <w:lastRenderedPageBreak/>
        <w:t>occurring.</w:t>
      </w:r>
      <w:r w:rsidRPr="00112C9C">
        <w:rPr>
          <w:rFonts w:ascii="Times New Roman" w:hAnsi="Times New Roman" w:cs="Times New Roman"/>
          <w:sz w:val="24"/>
          <w:szCs w:val="24"/>
          <w:vertAlign w:val="superscript"/>
        </w:rPr>
        <w:footnoteReference w:id="179"/>
      </w:r>
      <w:r>
        <w:rPr>
          <w:rFonts w:ascii="Times New Roman" w:hAnsi="Times New Roman" w:cs="Times New Roman"/>
          <w:color w:val="000000" w:themeColor="text1"/>
          <w:sz w:val="24"/>
          <w:szCs w:val="24"/>
        </w:rPr>
        <w:t xml:space="preserve"> Commonly, in a </w:t>
      </w:r>
      <w:r w:rsidRPr="00B50C8C">
        <w:rPr>
          <w:rFonts w:ascii="Times New Roman" w:hAnsi="Times New Roman" w:cs="Times New Roman"/>
          <w:i/>
          <w:color w:val="000000" w:themeColor="text1"/>
          <w:sz w:val="24"/>
          <w:szCs w:val="24"/>
        </w:rPr>
        <w:t>denied</w:t>
      </w:r>
      <w:r>
        <w:rPr>
          <w:rFonts w:ascii="Times New Roman" w:hAnsi="Times New Roman" w:cs="Times New Roman"/>
          <w:color w:val="000000" w:themeColor="text1"/>
          <w:sz w:val="24"/>
          <w:szCs w:val="24"/>
        </w:rPr>
        <w:t xml:space="preserve"> case under the increased risk standard, the risk injuring the claimant is one to which the general public is equally exposed. In a </w:t>
      </w:r>
      <w:r w:rsidRPr="00E2240B">
        <w:rPr>
          <w:rFonts w:ascii="Times New Roman" w:hAnsi="Times New Roman" w:cs="Times New Roman"/>
          <w:b/>
          <w:bCs/>
          <w:color w:val="000000" w:themeColor="text1"/>
          <w:sz w:val="24"/>
          <w:szCs w:val="24"/>
        </w:rPr>
        <w:t>minority</w:t>
      </w:r>
      <w:r>
        <w:rPr>
          <w:rFonts w:ascii="Times New Roman" w:hAnsi="Times New Roman" w:cs="Times New Roman"/>
          <w:color w:val="000000" w:themeColor="text1"/>
          <w:sz w:val="24"/>
          <w:szCs w:val="24"/>
        </w:rPr>
        <w:t xml:space="preserve"> of jurisdictions, </w:t>
      </w:r>
      <w:bookmarkStart w:id="259" w:name="_Hlk24631811"/>
      <w:r>
        <w:rPr>
          <w:rFonts w:ascii="Times New Roman" w:hAnsi="Times New Roman" w:cs="Times New Roman"/>
          <w:color w:val="000000" w:themeColor="text1"/>
          <w:sz w:val="24"/>
          <w:szCs w:val="24"/>
        </w:rPr>
        <w:t xml:space="preserve">an </w:t>
      </w:r>
      <w:r w:rsidRPr="00CA2CDD">
        <w:rPr>
          <w:rFonts w:ascii="Times New Roman" w:hAnsi="Times New Roman" w:cs="Times New Roman"/>
          <w:b/>
          <w:color w:val="000000" w:themeColor="text1"/>
          <w:sz w:val="24"/>
          <w:szCs w:val="24"/>
        </w:rPr>
        <w:t>injury “arises out of” employment if, but for the worker’s presence in the workplace, the injury</w:t>
      </w:r>
      <w:r>
        <w:rPr>
          <w:rFonts w:ascii="Times New Roman" w:hAnsi="Times New Roman" w:cs="Times New Roman"/>
          <w:color w:val="000000" w:themeColor="text1"/>
          <w:sz w:val="24"/>
          <w:szCs w:val="24"/>
        </w:rPr>
        <w:t xml:space="preserve"> </w:t>
      </w:r>
      <w:r w:rsidRPr="00763645">
        <w:rPr>
          <w:rFonts w:ascii="Times New Roman" w:hAnsi="Times New Roman" w:cs="Times New Roman"/>
          <w:b/>
          <w:bCs/>
          <w:color w:val="000000" w:themeColor="text1"/>
          <w:sz w:val="24"/>
          <w:szCs w:val="24"/>
        </w:rPr>
        <w:t>would not have occurred</w:t>
      </w:r>
      <w:r>
        <w:rPr>
          <w:rFonts w:ascii="Times New Roman" w:hAnsi="Times New Roman" w:cs="Times New Roman"/>
          <w:color w:val="000000" w:themeColor="text1"/>
          <w:sz w:val="24"/>
          <w:szCs w:val="24"/>
        </w:rPr>
        <w:t xml:space="preserve">. </w:t>
      </w:r>
      <w:bookmarkEnd w:id="259"/>
      <w:r>
        <w:rPr>
          <w:rFonts w:ascii="Times New Roman" w:hAnsi="Times New Roman" w:cs="Times New Roman"/>
          <w:color w:val="000000" w:themeColor="text1"/>
          <w:sz w:val="24"/>
          <w:szCs w:val="24"/>
        </w:rPr>
        <w:t xml:space="preserve">This is known as the </w:t>
      </w:r>
      <w:r w:rsidRPr="00E2240B">
        <w:rPr>
          <w:rFonts w:ascii="Times New Roman" w:hAnsi="Times New Roman" w:cs="Times New Roman"/>
          <w:b/>
          <w:bCs/>
          <w:color w:val="000000" w:themeColor="text1"/>
          <w:sz w:val="24"/>
          <w:szCs w:val="24"/>
        </w:rPr>
        <w:t>“positional risk”</w:t>
      </w:r>
      <w:r>
        <w:rPr>
          <w:rFonts w:ascii="Times New Roman" w:hAnsi="Times New Roman" w:cs="Times New Roman"/>
          <w:color w:val="000000" w:themeColor="text1"/>
          <w:sz w:val="24"/>
          <w:szCs w:val="24"/>
        </w:rPr>
        <w:t xml:space="preserve"> test.</w:t>
      </w:r>
      <w:r w:rsidRPr="00112C9C">
        <w:rPr>
          <w:rFonts w:ascii="Times New Roman" w:hAnsi="Times New Roman" w:cs="Times New Roman"/>
          <w:sz w:val="24"/>
          <w:szCs w:val="24"/>
          <w:vertAlign w:val="superscript"/>
        </w:rPr>
        <w:footnoteReference w:id="180"/>
      </w:r>
      <w:r>
        <w:rPr>
          <w:rFonts w:ascii="Times New Roman" w:hAnsi="Times New Roman" w:cs="Times New Roman"/>
          <w:color w:val="000000" w:themeColor="text1"/>
          <w:sz w:val="24"/>
          <w:szCs w:val="24"/>
        </w:rPr>
        <w:t xml:space="preserve"> A few jurisdictions utilize the </w:t>
      </w:r>
      <w:r w:rsidRPr="00E2240B">
        <w:rPr>
          <w:rFonts w:ascii="Times New Roman" w:hAnsi="Times New Roman" w:cs="Times New Roman"/>
          <w:b/>
          <w:bCs/>
          <w:color w:val="000000" w:themeColor="text1"/>
          <w:sz w:val="24"/>
          <w:szCs w:val="24"/>
        </w:rPr>
        <w:t>“actual risk”</w:t>
      </w:r>
      <w:r>
        <w:rPr>
          <w:rFonts w:ascii="Times New Roman" w:hAnsi="Times New Roman" w:cs="Times New Roman"/>
          <w:color w:val="000000" w:themeColor="text1"/>
          <w:sz w:val="24"/>
          <w:szCs w:val="24"/>
        </w:rPr>
        <w:t xml:space="preserve"> test, which</w:t>
      </w:r>
      <w:r w:rsidRPr="007D6C79">
        <w:rPr>
          <w:rFonts w:ascii="Times New Roman" w:hAnsi="Times New Roman" w:cs="Times New Roman"/>
          <w:color w:val="000000" w:themeColor="text1"/>
          <w:sz w:val="24"/>
          <w:szCs w:val="24"/>
        </w:rPr>
        <w:t xml:space="preserve"> ignores whether the risk is common to the public and permits an employee to recover for his injury “when the employer subjects the worker to the very risk that injures him.”</w:t>
      </w:r>
      <w:r w:rsidRPr="00112C9C">
        <w:rPr>
          <w:rFonts w:ascii="Times New Roman" w:hAnsi="Times New Roman" w:cs="Times New Roman"/>
          <w:sz w:val="24"/>
          <w:szCs w:val="24"/>
          <w:vertAlign w:val="superscript"/>
        </w:rPr>
        <w:footnoteReference w:id="181"/>
      </w:r>
    </w:p>
    <w:p w14:paraId="45D47CAF" w14:textId="7A518CC5" w:rsidR="00FF7482" w:rsidRDefault="00FF7482" w:rsidP="006A3226">
      <w:pPr>
        <w:pStyle w:val="ListParagraph"/>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167A6D5" w14:textId="6F2F1632" w:rsidR="00FF7482" w:rsidRPr="00B06642" w:rsidRDefault="00FF7482" w:rsidP="009207B3">
      <w:pPr>
        <w:pStyle w:val="Heading2"/>
        <w:rPr>
          <w:rFonts w:ascii="Times New Roman" w:hAnsi="Times New Roman" w:cs="Times New Roman"/>
          <w:b/>
          <w:color w:val="auto"/>
        </w:rPr>
      </w:pPr>
      <w:bookmarkStart w:id="262" w:name="_Toc75269368"/>
      <w:r w:rsidRPr="00B06642">
        <w:rPr>
          <w:rFonts w:ascii="Times New Roman" w:hAnsi="Times New Roman" w:cs="Times New Roman"/>
          <w:b/>
          <w:color w:val="auto"/>
        </w:rPr>
        <w:t xml:space="preserve">“Arising Out </w:t>
      </w:r>
      <w:r w:rsidR="00CD3276">
        <w:rPr>
          <w:rFonts w:ascii="Times New Roman" w:hAnsi="Times New Roman" w:cs="Times New Roman"/>
          <w:b/>
          <w:color w:val="auto"/>
        </w:rPr>
        <w:t>O</w:t>
      </w:r>
      <w:r w:rsidRPr="00B06642">
        <w:rPr>
          <w:rFonts w:ascii="Times New Roman" w:hAnsi="Times New Roman" w:cs="Times New Roman"/>
          <w:b/>
          <w:color w:val="auto"/>
        </w:rPr>
        <w:t>f” in Wyoming</w:t>
      </w:r>
      <w:bookmarkEnd w:id="262"/>
    </w:p>
    <w:p w14:paraId="43FE2DB9" w14:textId="77777777" w:rsidR="00FF7482" w:rsidRDefault="00FF7482" w:rsidP="00511932">
      <w:pPr>
        <w:pStyle w:val="ListParagraph"/>
        <w:spacing w:line="252" w:lineRule="auto"/>
        <w:ind w:left="1224"/>
        <w:rPr>
          <w:rFonts w:ascii="Times New Roman" w:hAnsi="Times New Roman" w:cs="Times New Roman"/>
          <w:color w:val="000000" w:themeColor="text1"/>
          <w:sz w:val="24"/>
          <w:szCs w:val="24"/>
        </w:rPr>
      </w:pPr>
    </w:p>
    <w:p w14:paraId="4583E241" w14:textId="46423CBC" w:rsidR="00FF7482" w:rsidRDefault="00FF7482" w:rsidP="009207B3">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Under the Wyoming Workers’ Compensation Act, “‘[i]</w:t>
      </w:r>
      <w:r w:rsidRPr="006A68CE">
        <w:rPr>
          <w:rFonts w:ascii="Times New Roman" w:hAnsi="Times New Roman" w:cs="Times New Roman"/>
          <w:color w:val="000000" w:themeColor="text1"/>
          <w:sz w:val="24"/>
          <w:szCs w:val="24"/>
        </w:rPr>
        <w:t>njury</w:t>
      </w:r>
      <w:r>
        <w:rPr>
          <w:rFonts w:ascii="Times New Roman" w:hAnsi="Times New Roman" w:cs="Times New Roman"/>
          <w:color w:val="000000" w:themeColor="text1"/>
          <w:sz w:val="24"/>
          <w:szCs w:val="24"/>
        </w:rPr>
        <w:t>’</w:t>
      </w:r>
      <w:r w:rsidRPr="006A68CE">
        <w:rPr>
          <w:rFonts w:ascii="Times New Roman" w:hAnsi="Times New Roman" w:cs="Times New Roman"/>
          <w:color w:val="000000" w:themeColor="text1"/>
          <w:sz w:val="24"/>
          <w:szCs w:val="24"/>
        </w:rPr>
        <w:t xml:space="preserve"> means any harmful change in the human organism other than normal aging and includes damage to or loss of any artificial replacement and death, </w:t>
      </w:r>
      <w:r w:rsidRPr="006A68CE">
        <w:rPr>
          <w:rFonts w:ascii="Times New Roman" w:hAnsi="Times New Roman" w:cs="Times New Roman"/>
          <w:b/>
          <w:color w:val="000000" w:themeColor="text1"/>
          <w:sz w:val="24"/>
          <w:szCs w:val="24"/>
        </w:rPr>
        <w:t>arising out of and in the course of employment while at work in or about the premises occupied, used or controlled by the employer and incurred while at work in places where the employer's business requires an employee's presence and which subjects the employee to extrahazardous duties incident to the business</w:t>
      </w:r>
      <w:r w:rsidRPr="006A68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82"/>
      </w:r>
      <w:r w:rsidRPr="006A68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question of what it means for an injury to occur “in the course of</w:t>
      </w:r>
      <w:r w:rsidRPr="00753B3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employment will be taken up in the next section. For purposes of this section, the definition makes clear that </w:t>
      </w:r>
      <w:r w:rsidRPr="001F5EA1">
        <w:rPr>
          <w:rFonts w:ascii="Times New Roman" w:hAnsi="Times New Roman" w:cs="Times New Roman"/>
          <w:b/>
          <w:color w:val="000000" w:themeColor="text1"/>
          <w:sz w:val="24"/>
          <w:szCs w:val="24"/>
        </w:rPr>
        <w:t xml:space="preserve">“arising out of” and “in the course of” elements are a </w:t>
      </w:r>
      <w:r>
        <w:rPr>
          <w:rFonts w:ascii="Times New Roman" w:hAnsi="Times New Roman" w:cs="Times New Roman"/>
          <w:b/>
          <w:color w:val="000000" w:themeColor="text1"/>
          <w:sz w:val="24"/>
          <w:szCs w:val="24"/>
        </w:rPr>
        <w:t xml:space="preserve">statutory </w:t>
      </w:r>
      <w:r w:rsidRPr="001F5EA1">
        <w:rPr>
          <w:rFonts w:ascii="Times New Roman" w:hAnsi="Times New Roman" w:cs="Times New Roman"/>
          <w:b/>
          <w:color w:val="000000" w:themeColor="text1"/>
          <w:sz w:val="24"/>
          <w:szCs w:val="24"/>
        </w:rPr>
        <w:t>feature of Wyoming law just as in jurisdictions throughout the United States</w:t>
      </w:r>
      <w:r>
        <w:rPr>
          <w:rFonts w:ascii="Times New Roman" w:hAnsi="Times New Roman" w:cs="Times New Roman"/>
          <w:color w:val="000000" w:themeColor="text1"/>
          <w:sz w:val="24"/>
          <w:szCs w:val="24"/>
        </w:rPr>
        <w:t xml:space="preserve">. The statutory coverage language is also notable due to its omission of any explicit “accident” requirement. </w:t>
      </w:r>
      <w:r w:rsidRPr="00E2240B">
        <w:rPr>
          <w:rFonts w:ascii="Times New Roman" w:hAnsi="Times New Roman" w:cs="Times New Roman"/>
          <w:b/>
          <w:bCs/>
          <w:color w:val="000000" w:themeColor="text1"/>
          <w:sz w:val="24"/>
          <w:szCs w:val="24"/>
        </w:rPr>
        <w:t>“Arising out of” is not defined in the statute</w:t>
      </w:r>
      <w:r>
        <w:rPr>
          <w:rFonts w:ascii="Times New Roman" w:hAnsi="Times New Roman" w:cs="Times New Roman"/>
          <w:color w:val="000000" w:themeColor="text1"/>
          <w:sz w:val="24"/>
          <w:szCs w:val="24"/>
        </w:rPr>
        <w:t>, however, and case law has explained the meaning of that element under Wyoming law.</w:t>
      </w:r>
    </w:p>
    <w:p w14:paraId="5CC4A514" w14:textId="77777777" w:rsidR="00FF7482" w:rsidRDefault="00FF7482" w:rsidP="006A68CE">
      <w:pPr>
        <w:pStyle w:val="ListParagraph"/>
        <w:ind w:left="0" w:firstLine="720"/>
        <w:jc w:val="both"/>
        <w:rPr>
          <w:rFonts w:ascii="Times New Roman" w:hAnsi="Times New Roman" w:cs="Times New Roman"/>
          <w:color w:val="000000" w:themeColor="text1"/>
          <w:sz w:val="24"/>
          <w:szCs w:val="24"/>
        </w:rPr>
      </w:pPr>
    </w:p>
    <w:p w14:paraId="5D89408E" w14:textId="7533A012" w:rsidR="00FF7482" w:rsidRDefault="00FF7482" w:rsidP="005E708B">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bookmarkStart w:id="264" w:name="_Hlk517278456"/>
      <w:r w:rsidRPr="00CC626E">
        <w:rPr>
          <w:rFonts w:ascii="Times New Roman" w:hAnsi="Times New Roman" w:cs="Times New Roman"/>
          <w:i/>
          <w:color w:val="000000" w:themeColor="text1"/>
          <w:sz w:val="24"/>
          <w:szCs w:val="24"/>
        </w:rPr>
        <w:t xml:space="preserve">Workers’ Safety </w:t>
      </w:r>
      <w:r>
        <w:rPr>
          <w:rFonts w:ascii="Times New Roman" w:hAnsi="Times New Roman" w:cs="Times New Roman"/>
          <w:i/>
          <w:color w:val="000000" w:themeColor="text1"/>
          <w:sz w:val="24"/>
          <w:szCs w:val="24"/>
        </w:rPr>
        <w:t>&amp;</w:t>
      </w:r>
      <w:r w:rsidRPr="00CC626E">
        <w:rPr>
          <w:rFonts w:ascii="Times New Roman" w:hAnsi="Times New Roman" w:cs="Times New Roman"/>
          <w:i/>
          <w:color w:val="000000" w:themeColor="text1"/>
          <w:sz w:val="24"/>
          <w:szCs w:val="24"/>
        </w:rPr>
        <w:t xml:space="preserve"> Compensation Div</w:t>
      </w:r>
      <w:r>
        <w:rPr>
          <w:rFonts w:ascii="Times New Roman" w:hAnsi="Times New Roman" w:cs="Times New Roman"/>
          <w:i/>
          <w:color w:val="000000" w:themeColor="text1"/>
          <w:sz w:val="24"/>
          <w:szCs w:val="24"/>
        </w:rPr>
        <w:t>.</w:t>
      </w:r>
      <w:r w:rsidRPr="00CC626E">
        <w:rPr>
          <w:rFonts w:ascii="Times New Roman" w:hAnsi="Times New Roman" w:cs="Times New Roman"/>
          <w:i/>
          <w:color w:val="000000" w:themeColor="text1"/>
          <w:sz w:val="24"/>
          <w:szCs w:val="24"/>
        </w:rPr>
        <w:t xml:space="preserve"> v. Bruhn</w:t>
      </w:r>
      <w:bookmarkEnd w:id="264"/>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83"/>
      </w:r>
      <w:r>
        <w:rPr>
          <w:rFonts w:ascii="Times New Roman" w:hAnsi="Times New Roman" w:cs="Times New Roman"/>
          <w:color w:val="000000" w:themeColor="text1"/>
          <w:sz w:val="24"/>
          <w:szCs w:val="24"/>
        </w:rPr>
        <w:t xml:space="preserve"> an employee </w:t>
      </w:r>
      <w:r w:rsidRPr="0069760D">
        <w:rPr>
          <w:rFonts w:ascii="Times New Roman" w:hAnsi="Times New Roman" w:cs="Times New Roman"/>
          <w:color w:val="000000" w:themeColor="text1"/>
          <w:sz w:val="24"/>
          <w:szCs w:val="24"/>
        </w:rPr>
        <w:t>sustained a compensable injury o</w:t>
      </w:r>
      <w:r>
        <w:rPr>
          <w:rFonts w:ascii="Times New Roman" w:hAnsi="Times New Roman" w:cs="Times New Roman"/>
          <w:color w:val="000000" w:themeColor="text1"/>
          <w:sz w:val="24"/>
          <w:szCs w:val="24"/>
        </w:rPr>
        <w:t xml:space="preserve">n </w:t>
      </w:r>
      <w:r w:rsidRPr="0069760D">
        <w:rPr>
          <w:rFonts w:ascii="Times New Roman" w:hAnsi="Times New Roman" w:cs="Times New Roman"/>
          <w:color w:val="000000" w:themeColor="text1"/>
          <w:sz w:val="24"/>
          <w:szCs w:val="24"/>
        </w:rPr>
        <w:t>January 25, 1991</w:t>
      </w:r>
      <w:r>
        <w:rPr>
          <w:rFonts w:ascii="Times New Roman" w:hAnsi="Times New Roman" w:cs="Times New Roman"/>
          <w:color w:val="000000" w:themeColor="text1"/>
          <w:sz w:val="24"/>
          <w:szCs w:val="24"/>
        </w:rPr>
        <w:t>. Five years later, o</w:t>
      </w:r>
      <w:r w:rsidRPr="0069760D">
        <w:rPr>
          <w:rFonts w:ascii="Times New Roman" w:hAnsi="Times New Roman" w:cs="Times New Roman"/>
          <w:color w:val="000000" w:themeColor="text1"/>
          <w:sz w:val="24"/>
          <w:szCs w:val="24"/>
        </w:rPr>
        <w:t>n March 18, 1996, the employee</w:t>
      </w:r>
      <w:r>
        <w:rPr>
          <w:rFonts w:ascii="Times New Roman" w:hAnsi="Times New Roman" w:cs="Times New Roman"/>
          <w:color w:val="000000" w:themeColor="text1"/>
          <w:sz w:val="24"/>
          <w:szCs w:val="24"/>
        </w:rPr>
        <w:t xml:space="preserve"> </w:t>
      </w:r>
      <w:r w:rsidRPr="0069760D">
        <w:rPr>
          <w:rFonts w:ascii="Times New Roman" w:hAnsi="Times New Roman" w:cs="Times New Roman"/>
          <w:color w:val="000000" w:themeColor="text1"/>
          <w:sz w:val="24"/>
          <w:szCs w:val="24"/>
        </w:rPr>
        <w:t xml:space="preserve">had an appointment to be seen and evaluated by </w:t>
      </w:r>
      <w:r>
        <w:rPr>
          <w:rFonts w:ascii="Times New Roman" w:hAnsi="Times New Roman" w:cs="Times New Roman"/>
          <w:color w:val="000000" w:themeColor="text1"/>
          <w:sz w:val="24"/>
          <w:szCs w:val="24"/>
        </w:rPr>
        <w:t>a doctor in</w:t>
      </w:r>
      <w:r w:rsidRPr="0069760D">
        <w:rPr>
          <w:rFonts w:ascii="Times New Roman" w:hAnsi="Times New Roman" w:cs="Times New Roman"/>
          <w:color w:val="000000" w:themeColor="text1"/>
          <w:sz w:val="24"/>
          <w:szCs w:val="24"/>
        </w:rPr>
        <w:t xml:space="preserve"> South Dakota, in connection with treatment and care required for the </w:t>
      </w:r>
      <w:r>
        <w:rPr>
          <w:rFonts w:ascii="Times New Roman" w:hAnsi="Times New Roman" w:cs="Times New Roman"/>
          <w:color w:val="000000" w:themeColor="text1"/>
          <w:sz w:val="24"/>
          <w:szCs w:val="24"/>
        </w:rPr>
        <w:t xml:space="preserve">same, ongoing </w:t>
      </w:r>
      <w:r w:rsidRPr="0069760D">
        <w:rPr>
          <w:rFonts w:ascii="Times New Roman" w:hAnsi="Times New Roman" w:cs="Times New Roman"/>
          <w:color w:val="000000" w:themeColor="text1"/>
          <w:sz w:val="24"/>
          <w:szCs w:val="24"/>
        </w:rPr>
        <w:t>injury</w:t>
      </w:r>
      <w:r>
        <w:rPr>
          <w:rFonts w:ascii="Times New Roman" w:hAnsi="Times New Roman" w:cs="Times New Roman"/>
          <w:color w:val="000000" w:themeColor="text1"/>
          <w:sz w:val="24"/>
          <w:szCs w:val="24"/>
        </w:rPr>
        <w:t>. The employee was killed while returning from the appointment. An administrative hearing officer awarded workers’ compensation death benefits to the employee’s survivors on the theory that there was an adequate causal relationship between the employee’s original injury and the death occasioned by the need to seek treatment for the injury. In reversing, the Court articulated the following “arising out of” standard:</w:t>
      </w:r>
    </w:p>
    <w:p w14:paraId="1099B42A" w14:textId="77777777" w:rsidR="00FF7482" w:rsidRDefault="00FF7482" w:rsidP="00413BBE">
      <w:pPr>
        <w:pStyle w:val="ListParagraph"/>
        <w:ind w:left="0" w:firstLine="720"/>
        <w:jc w:val="both"/>
        <w:rPr>
          <w:rFonts w:ascii="Times New Roman" w:hAnsi="Times New Roman" w:cs="Times New Roman"/>
          <w:color w:val="000000" w:themeColor="text1"/>
          <w:sz w:val="24"/>
          <w:szCs w:val="24"/>
        </w:rPr>
      </w:pPr>
    </w:p>
    <w:p w14:paraId="04013787" w14:textId="065F0886" w:rsidR="00FF7482" w:rsidRDefault="00FF7482" w:rsidP="009207B3">
      <w:pPr>
        <w:pStyle w:val="ListParagraph"/>
        <w:ind w:right="720"/>
        <w:jc w:val="both"/>
        <w:rPr>
          <w:rFonts w:ascii="Times New Roman" w:hAnsi="Times New Roman" w:cs="Times New Roman"/>
          <w:color w:val="000000" w:themeColor="text1"/>
          <w:sz w:val="24"/>
          <w:szCs w:val="24"/>
        </w:rPr>
      </w:pPr>
      <w:r w:rsidRPr="00413BBE">
        <w:rPr>
          <w:rFonts w:ascii="Times New Roman" w:hAnsi="Times New Roman" w:cs="Times New Roman"/>
          <w:color w:val="000000" w:themeColor="text1"/>
          <w:sz w:val="24"/>
          <w:szCs w:val="24"/>
        </w:rPr>
        <w:lastRenderedPageBreak/>
        <w:t>An injury “aris[es] out of” the employment when a causal connection exists between the injury</w:t>
      </w:r>
      <w:r>
        <w:rPr>
          <w:rFonts w:ascii="Times New Roman" w:hAnsi="Times New Roman" w:cs="Times New Roman"/>
          <w:color w:val="000000" w:themeColor="text1"/>
          <w:sz w:val="24"/>
          <w:szCs w:val="24"/>
        </w:rPr>
        <w:t xml:space="preserve"> . . . </w:t>
      </w:r>
      <w:r w:rsidRPr="00413BBE">
        <w:rPr>
          <w:rFonts w:ascii="Times New Roman" w:hAnsi="Times New Roman" w:cs="Times New Roman"/>
          <w:color w:val="000000" w:themeColor="text1"/>
          <w:sz w:val="24"/>
          <w:szCs w:val="24"/>
        </w:rPr>
        <w:t>and the conditions under which the work is required to be performed.</w:t>
      </w:r>
      <w:r>
        <w:rPr>
          <w:rFonts w:ascii="Times New Roman" w:hAnsi="Times New Roman" w:cs="Times New Roman"/>
          <w:color w:val="000000" w:themeColor="text1"/>
          <w:sz w:val="24"/>
          <w:szCs w:val="24"/>
        </w:rPr>
        <w:t xml:space="preserve"> . . . </w:t>
      </w:r>
      <w:r w:rsidRPr="00413BBE">
        <w:rPr>
          <w:rFonts w:ascii="Times New Roman" w:hAnsi="Times New Roman" w:cs="Times New Roman"/>
          <w:color w:val="000000" w:themeColor="text1"/>
          <w:sz w:val="24"/>
          <w:szCs w:val="24"/>
        </w:rPr>
        <w:t xml:space="preserve">Under these guidelines, “ ‘if the injury </w:t>
      </w:r>
      <w:bookmarkStart w:id="267" w:name="_Hlk517784714"/>
      <w:r w:rsidRPr="00413BBE">
        <w:rPr>
          <w:rFonts w:ascii="Times New Roman" w:hAnsi="Times New Roman" w:cs="Times New Roman"/>
          <w:color w:val="000000" w:themeColor="text1"/>
          <w:sz w:val="24"/>
          <w:szCs w:val="24"/>
        </w:rPr>
        <w:t xml:space="preserve">can be seen to have followed as a natural incident of the work and to have been contemplated by </w:t>
      </w:r>
      <w:r w:rsidRPr="00B356C4">
        <w:rPr>
          <w:rFonts w:ascii="Times New Roman" w:hAnsi="Times New Roman" w:cs="Times New Roman"/>
          <w:b/>
          <w:bCs/>
          <w:color w:val="000000" w:themeColor="text1"/>
          <w:sz w:val="24"/>
          <w:szCs w:val="24"/>
        </w:rPr>
        <w:t>a reasonable person familiar with the whole situation</w:t>
      </w:r>
      <w:r w:rsidRPr="00413BBE">
        <w:rPr>
          <w:rFonts w:ascii="Times New Roman" w:hAnsi="Times New Roman" w:cs="Times New Roman"/>
          <w:color w:val="000000" w:themeColor="text1"/>
          <w:sz w:val="24"/>
          <w:szCs w:val="24"/>
        </w:rPr>
        <w:t xml:space="preserve"> as a result of the exposure occasioned by the nature of the employment</w:t>
      </w:r>
      <w:bookmarkEnd w:id="267"/>
      <w:r w:rsidRPr="00413BBE">
        <w:rPr>
          <w:rFonts w:ascii="Times New Roman" w:hAnsi="Times New Roman" w:cs="Times New Roman"/>
          <w:color w:val="000000" w:themeColor="text1"/>
          <w:sz w:val="24"/>
          <w:szCs w:val="24"/>
        </w:rPr>
        <w:t>, then it arises “out of” the employment.’”</w:t>
      </w:r>
      <w:r>
        <w:rPr>
          <w:rFonts w:ascii="Times New Roman" w:hAnsi="Times New Roman" w:cs="Times New Roman"/>
          <w:color w:val="000000" w:themeColor="text1"/>
          <w:sz w:val="24"/>
          <w:szCs w:val="24"/>
        </w:rPr>
        <w:t xml:space="preserve"> . . . </w:t>
      </w:r>
      <w:r w:rsidRPr="00413BBE">
        <w:rPr>
          <w:rFonts w:ascii="Times New Roman" w:hAnsi="Times New Roman" w:cs="Times New Roman"/>
          <w:color w:val="000000" w:themeColor="text1"/>
          <w:sz w:val="24"/>
          <w:szCs w:val="24"/>
        </w:rPr>
        <w:t>An injury is not compensable if it cannot fairly be traced to the employment as a contributing cause and if it comes from a hazard that the employee would have been equally exposed to outside of the employment.</w:t>
      </w:r>
      <w:r w:rsidRPr="00112C9C">
        <w:rPr>
          <w:rFonts w:ascii="Times New Roman" w:hAnsi="Times New Roman" w:cs="Times New Roman"/>
          <w:sz w:val="24"/>
          <w:szCs w:val="24"/>
          <w:vertAlign w:val="superscript"/>
        </w:rPr>
        <w:footnoteReference w:id="184"/>
      </w:r>
      <w:r w:rsidRPr="00112C9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14:paraId="20AF81FF" w14:textId="77777777" w:rsidR="00FF7482" w:rsidRDefault="00FF7482" w:rsidP="00792F27">
      <w:pPr>
        <w:pStyle w:val="ListParagraph"/>
        <w:ind w:left="0" w:right="720"/>
        <w:jc w:val="both"/>
        <w:rPr>
          <w:rFonts w:ascii="Times New Roman" w:hAnsi="Times New Roman" w:cs="Times New Roman"/>
          <w:color w:val="000000" w:themeColor="text1"/>
          <w:sz w:val="24"/>
          <w:szCs w:val="24"/>
        </w:rPr>
      </w:pPr>
    </w:p>
    <w:p w14:paraId="4AD6E40C" w14:textId="49DCC10A" w:rsidR="00FF7482" w:rsidRDefault="00FF7482" w:rsidP="0070037A">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case makes no mention of the “risk tests” discussed in the prior section and </w:t>
      </w:r>
      <w:r w:rsidRPr="00B356C4">
        <w:rPr>
          <w:rFonts w:ascii="Times New Roman" w:hAnsi="Times New Roman" w:cs="Times New Roman"/>
          <w:b/>
          <w:color w:val="000000" w:themeColor="text1"/>
          <w:sz w:val="24"/>
          <w:szCs w:val="24"/>
          <w:u w:val="single"/>
        </w:rPr>
        <w:t>close review of the reported cases suggests that increased risk, positional risk, and actual risk tests have played little or no role in analyzing “arising out of” in Wyoming workers’ compensation law</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85"/>
      </w:r>
      <w:r>
        <w:rPr>
          <w:rFonts w:ascii="Times New Roman" w:hAnsi="Times New Roman" w:cs="Times New Roman"/>
          <w:color w:val="000000" w:themeColor="text1"/>
          <w:sz w:val="24"/>
          <w:szCs w:val="24"/>
        </w:rPr>
        <w:t xml:space="preserve"> </w:t>
      </w:r>
    </w:p>
    <w:p w14:paraId="3EF1020C" w14:textId="37829454" w:rsidR="00FF7482" w:rsidRDefault="00FF7482" w:rsidP="00792F27">
      <w:pPr>
        <w:pStyle w:val="ListParagraph"/>
        <w:ind w:left="0" w:right="720"/>
        <w:jc w:val="both"/>
        <w:rPr>
          <w:rFonts w:ascii="Times New Roman" w:hAnsi="Times New Roman" w:cs="Times New Roman"/>
          <w:color w:val="000000" w:themeColor="text1"/>
          <w:sz w:val="24"/>
          <w:szCs w:val="24"/>
        </w:rPr>
      </w:pPr>
    </w:p>
    <w:p w14:paraId="29AEA2A1" w14:textId="7B5955D2" w:rsidR="00FF7482" w:rsidRDefault="00FF7482" w:rsidP="009207B3">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Furthermore, some Wyoming cases have appeared to deny that there is </w:t>
      </w:r>
      <w:r w:rsidRPr="008C7CFF">
        <w:rPr>
          <w:rFonts w:ascii="Times New Roman" w:hAnsi="Times New Roman" w:cs="Times New Roman"/>
          <w:b/>
          <w:color w:val="000000" w:themeColor="text1"/>
          <w:sz w:val="24"/>
          <w:szCs w:val="24"/>
        </w:rPr>
        <w:t>any distinction</w:t>
      </w:r>
      <w:r>
        <w:rPr>
          <w:rFonts w:ascii="Times New Roman" w:hAnsi="Times New Roman" w:cs="Times New Roman"/>
          <w:color w:val="000000" w:themeColor="text1"/>
          <w:sz w:val="24"/>
          <w:szCs w:val="24"/>
        </w:rPr>
        <w:t xml:space="preserve"> between “arising out of” and “in the course of.” In </w:t>
      </w:r>
      <w:r w:rsidRPr="00CC626E">
        <w:rPr>
          <w:rFonts w:ascii="Times New Roman" w:hAnsi="Times New Roman" w:cs="Times New Roman"/>
          <w:i/>
          <w:color w:val="000000" w:themeColor="text1"/>
          <w:sz w:val="24"/>
          <w:szCs w:val="24"/>
        </w:rPr>
        <w:t>Matter of Injury to Corean</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86"/>
      </w:r>
      <w:r>
        <w:rPr>
          <w:rFonts w:ascii="Times New Roman" w:hAnsi="Times New Roman" w:cs="Times New Roman"/>
          <w:color w:val="000000" w:themeColor="text1"/>
          <w:sz w:val="24"/>
          <w:szCs w:val="24"/>
        </w:rPr>
        <w:t xml:space="preserve"> for example (which will be discussed at greater length in this Treatise below at Section 3.13), the Wyoming Supreme Court stated, “[u]</w:t>
      </w:r>
      <w:r w:rsidRPr="008C7CFF">
        <w:rPr>
          <w:rFonts w:ascii="Times New Roman" w:hAnsi="Times New Roman" w:cs="Times New Roman"/>
          <w:color w:val="000000" w:themeColor="text1"/>
          <w:sz w:val="24"/>
          <w:szCs w:val="24"/>
        </w:rPr>
        <w:t xml:space="preserve">nlike the state courts discussed </w:t>
      </w:r>
      <w:r>
        <w:rPr>
          <w:rFonts w:ascii="Times New Roman" w:hAnsi="Times New Roman" w:cs="Times New Roman"/>
          <w:color w:val="000000" w:themeColor="text1"/>
          <w:sz w:val="24"/>
          <w:szCs w:val="24"/>
        </w:rPr>
        <w:t>[earlier in the case]</w:t>
      </w:r>
      <w:r w:rsidRPr="008C7CFF">
        <w:rPr>
          <w:rFonts w:ascii="Times New Roman" w:hAnsi="Times New Roman" w:cs="Times New Roman"/>
          <w:color w:val="000000" w:themeColor="text1"/>
          <w:sz w:val="24"/>
          <w:szCs w:val="24"/>
        </w:rPr>
        <w:t xml:space="preserve">, we have consistently refused to create a two-part analysis for the phrase </w:t>
      </w:r>
      <w:r w:rsidR="00034F99">
        <w:rPr>
          <w:rFonts w:ascii="Times New Roman" w:hAnsi="Times New Roman" w:cs="Times New Roman"/>
          <w:color w:val="000000" w:themeColor="text1"/>
          <w:sz w:val="24"/>
          <w:szCs w:val="24"/>
        </w:rPr>
        <w:t>‘</w:t>
      </w:r>
      <w:r w:rsidRPr="008C7CFF">
        <w:rPr>
          <w:rFonts w:ascii="Times New Roman" w:hAnsi="Times New Roman" w:cs="Times New Roman"/>
          <w:color w:val="000000" w:themeColor="text1"/>
          <w:sz w:val="24"/>
          <w:szCs w:val="24"/>
        </w:rPr>
        <w:t>arising out of and in the course of employment.</w:t>
      </w:r>
      <w:r w:rsidR="00034F99">
        <w:rPr>
          <w:rFonts w:ascii="Times New Roman" w:hAnsi="Times New Roman" w:cs="Times New Roman"/>
          <w:color w:val="000000" w:themeColor="text1"/>
          <w:sz w:val="24"/>
          <w:szCs w:val="24"/>
        </w:rPr>
        <w:t>’</w:t>
      </w:r>
      <w:r w:rsidRPr="008C7CFF">
        <w:rPr>
          <w:rFonts w:ascii="Times New Roman" w:hAnsi="Times New Roman" w:cs="Times New Roman"/>
          <w:color w:val="000000" w:themeColor="text1"/>
          <w:sz w:val="24"/>
          <w:szCs w:val="24"/>
        </w:rPr>
        <w:t xml:space="preserve"> Instead, we have construed </w:t>
      </w:r>
      <w:r w:rsidR="00034F99">
        <w:rPr>
          <w:rFonts w:ascii="Times New Roman" w:hAnsi="Times New Roman" w:cs="Times New Roman"/>
          <w:color w:val="000000" w:themeColor="text1"/>
          <w:sz w:val="24"/>
          <w:szCs w:val="24"/>
        </w:rPr>
        <w:t>‘</w:t>
      </w:r>
      <w:r w:rsidRPr="008C7CFF">
        <w:rPr>
          <w:rFonts w:ascii="Times New Roman" w:hAnsi="Times New Roman" w:cs="Times New Roman"/>
          <w:color w:val="000000" w:themeColor="text1"/>
          <w:sz w:val="24"/>
          <w:szCs w:val="24"/>
        </w:rPr>
        <w:t>arising out of</w:t>
      </w:r>
      <w:r w:rsidR="00034F99">
        <w:rPr>
          <w:rFonts w:ascii="Times New Roman" w:hAnsi="Times New Roman" w:cs="Times New Roman"/>
          <w:color w:val="000000" w:themeColor="text1"/>
          <w:sz w:val="24"/>
          <w:szCs w:val="24"/>
        </w:rPr>
        <w:t>’</w:t>
      </w:r>
      <w:r w:rsidRPr="008C7CFF">
        <w:rPr>
          <w:rFonts w:ascii="Times New Roman" w:hAnsi="Times New Roman" w:cs="Times New Roman"/>
          <w:color w:val="000000" w:themeColor="text1"/>
          <w:sz w:val="24"/>
          <w:szCs w:val="24"/>
        </w:rPr>
        <w:t xml:space="preserve"> employment to mean the same thing as </w:t>
      </w:r>
      <w:r>
        <w:rPr>
          <w:rFonts w:ascii="Times New Roman" w:hAnsi="Times New Roman" w:cs="Times New Roman"/>
          <w:color w:val="000000" w:themeColor="text1"/>
          <w:sz w:val="24"/>
          <w:szCs w:val="24"/>
        </w:rPr>
        <w:t>‘</w:t>
      </w:r>
      <w:r w:rsidRPr="008C7CFF">
        <w:rPr>
          <w:rFonts w:ascii="Times New Roman" w:hAnsi="Times New Roman" w:cs="Times New Roman"/>
          <w:color w:val="000000" w:themeColor="text1"/>
          <w:sz w:val="24"/>
          <w:szCs w:val="24"/>
        </w:rPr>
        <w:t>in the course of employment.</w:t>
      </w:r>
      <w:r>
        <w:rPr>
          <w:rFonts w:ascii="Times New Roman" w:hAnsi="Times New Roman" w:cs="Times New Roman"/>
          <w:color w:val="000000" w:themeColor="text1"/>
          <w:sz w:val="24"/>
          <w:szCs w:val="24"/>
        </w:rPr>
        <w:t>’</w:t>
      </w:r>
      <w:r w:rsidRPr="008C7CFF">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87"/>
      </w:r>
      <w:r>
        <w:rPr>
          <w:rFonts w:ascii="Times New Roman" w:hAnsi="Times New Roman" w:cs="Times New Roman"/>
          <w:color w:val="000000" w:themeColor="text1"/>
          <w:sz w:val="24"/>
          <w:szCs w:val="24"/>
        </w:rPr>
        <w:t xml:space="preserve"> </w:t>
      </w:r>
      <w:r w:rsidRPr="00D13316">
        <w:rPr>
          <w:rFonts w:ascii="Times New Roman" w:hAnsi="Times New Roman" w:cs="Times New Roman"/>
          <w:i/>
          <w:color w:val="000000" w:themeColor="text1"/>
          <w:sz w:val="24"/>
          <w:szCs w:val="24"/>
        </w:rPr>
        <w:t>Matter of Injury to</w:t>
      </w:r>
      <w:r>
        <w:rPr>
          <w:rFonts w:ascii="Times New Roman" w:hAnsi="Times New Roman" w:cs="Times New Roman"/>
          <w:color w:val="000000" w:themeColor="text1"/>
          <w:sz w:val="24"/>
          <w:szCs w:val="24"/>
        </w:rPr>
        <w:t xml:space="preserve"> </w:t>
      </w:r>
      <w:r w:rsidRPr="008C7CFF">
        <w:rPr>
          <w:rFonts w:ascii="Times New Roman" w:hAnsi="Times New Roman" w:cs="Times New Roman"/>
          <w:i/>
          <w:color w:val="000000" w:themeColor="text1"/>
          <w:sz w:val="24"/>
          <w:szCs w:val="24"/>
        </w:rPr>
        <w:t>Corean</w:t>
      </w:r>
      <w:r>
        <w:rPr>
          <w:rFonts w:ascii="Times New Roman" w:hAnsi="Times New Roman" w:cs="Times New Roman"/>
          <w:color w:val="000000" w:themeColor="text1"/>
          <w:sz w:val="24"/>
          <w:szCs w:val="24"/>
        </w:rPr>
        <w:t xml:space="preserve"> cited for support of this proposition</w:t>
      </w:r>
      <w:r w:rsidR="00FD12D6">
        <w:rPr>
          <w:rFonts w:ascii="Times New Roman" w:hAnsi="Times New Roman" w:cs="Times New Roman"/>
          <w:color w:val="000000" w:themeColor="text1"/>
          <w:sz w:val="24"/>
          <w:szCs w:val="24"/>
        </w:rPr>
        <w:t xml:space="preserve"> </w:t>
      </w:r>
      <w:r w:rsidRPr="008C7CFF">
        <w:rPr>
          <w:rFonts w:ascii="Times New Roman" w:hAnsi="Times New Roman" w:cs="Times New Roman"/>
          <w:i/>
          <w:color w:val="000000" w:themeColor="text1"/>
          <w:sz w:val="24"/>
          <w:szCs w:val="24"/>
        </w:rPr>
        <w:t>Matter of Willey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88"/>
      </w:r>
      <w:r>
        <w:rPr>
          <w:rFonts w:ascii="Times New Roman" w:hAnsi="Times New Roman" w:cs="Times New Roman"/>
          <w:color w:val="000000" w:themeColor="text1"/>
          <w:sz w:val="24"/>
          <w:szCs w:val="24"/>
        </w:rPr>
        <w:t xml:space="preserve"> which recited that “</w:t>
      </w:r>
      <w:r w:rsidRPr="00AB7585">
        <w:rPr>
          <w:rFonts w:ascii="Times New Roman" w:hAnsi="Times New Roman" w:cs="Times New Roman"/>
          <w:color w:val="000000" w:themeColor="text1"/>
          <w:sz w:val="24"/>
          <w:szCs w:val="24"/>
        </w:rPr>
        <w:t xml:space="preserve">a causal connection is supplied when there is a nexus between the injury and some condition, activity, environment or requirement of the employment. It is this requirement, and only this </w:t>
      </w:r>
      <w:r w:rsidRPr="00AB7585">
        <w:rPr>
          <w:rFonts w:ascii="Times New Roman" w:hAnsi="Times New Roman" w:cs="Times New Roman"/>
          <w:color w:val="000000" w:themeColor="text1"/>
          <w:sz w:val="24"/>
          <w:szCs w:val="24"/>
        </w:rPr>
        <w:lastRenderedPageBreak/>
        <w:t>requirement, which is envisioned by the language contained in</w:t>
      </w:r>
      <w:r>
        <w:rPr>
          <w:rFonts w:ascii="Times New Roman" w:hAnsi="Times New Roman" w:cs="Times New Roman"/>
          <w:color w:val="000000" w:themeColor="text1"/>
          <w:sz w:val="24"/>
          <w:szCs w:val="24"/>
        </w:rPr>
        <w:t xml:space="preserve"> [the then-existing version of the Wyoming Act].”</w:t>
      </w:r>
      <w:r w:rsidRPr="00112C9C">
        <w:rPr>
          <w:rFonts w:ascii="Times New Roman" w:hAnsi="Times New Roman" w:cs="Times New Roman"/>
          <w:sz w:val="24"/>
          <w:szCs w:val="24"/>
          <w:vertAlign w:val="superscript"/>
        </w:rPr>
        <w:footnoteReference w:id="189"/>
      </w:r>
    </w:p>
    <w:p w14:paraId="7DBE5DF6" w14:textId="77777777" w:rsidR="00FF7482" w:rsidRDefault="00FF7482" w:rsidP="008C7CFF">
      <w:pPr>
        <w:pStyle w:val="ListParagraph"/>
        <w:ind w:left="0" w:firstLine="720"/>
        <w:jc w:val="both"/>
        <w:rPr>
          <w:rFonts w:ascii="Times New Roman" w:hAnsi="Times New Roman" w:cs="Times New Roman"/>
          <w:color w:val="000000" w:themeColor="text1"/>
          <w:sz w:val="24"/>
          <w:szCs w:val="24"/>
        </w:rPr>
      </w:pPr>
    </w:p>
    <w:p w14:paraId="5431E821" w14:textId="163411D4" w:rsidR="00FF7482" w:rsidRDefault="00FF7482" w:rsidP="00034F99">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difficulty is the systemic pervasiveness of the separation of workers’ compensation causal connection into “arising out of” and “in the course of” “elements” throughout the history of workers’ compensation law.</w:t>
      </w:r>
      <w:r w:rsidRPr="00112C9C">
        <w:rPr>
          <w:rFonts w:ascii="Times New Roman" w:hAnsi="Times New Roman" w:cs="Times New Roman"/>
          <w:sz w:val="24"/>
          <w:szCs w:val="24"/>
          <w:vertAlign w:val="superscript"/>
        </w:rPr>
        <w:footnoteReference w:id="190"/>
      </w:r>
      <w:r>
        <w:rPr>
          <w:rFonts w:ascii="Times New Roman" w:hAnsi="Times New Roman" w:cs="Times New Roman"/>
          <w:color w:val="000000" w:themeColor="text1"/>
          <w:sz w:val="24"/>
          <w:szCs w:val="24"/>
        </w:rPr>
        <w:t xml:space="preserve"> </w:t>
      </w:r>
      <w:r w:rsidRPr="00D13316">
        <w:rPr>
          <w:rFonts w:ascii="Times New Roman" w:hAnsi="Times New Roman" w:cs="Times New Roman"/>
          <w:i/>
          <w:color w:val="000000" w:themeColor="text1"/>
          <w:sz w:val="24"/>
          <w:szCs w:val="24"/>
        </w:rPr>
        <w:t>Matter of Injury</w:t>
      </w:r>
      <w:r>
        <w:rPr>
          <w:rFonts w:ascii="Times New Roman" w:hAnsi="Times New Roman" w:cs="Times New Roman"/>
          <w:color w:val="000000" w:themeColor="text1"/>
          <w:sz w:val="24"/>
          <w:szCs w:val="24"/>
        </w:rPr>
        <w:t xml:space="preserve"> </w:t>
      </w:r>
      <w:r w:rsidRPr="00417920">
        <w:rPr>
          <w:rFonts w:ascii="Times New Roman" w:hAnsi="Times New Roman" w:cs="Times New Roman"/>
          <w:i/>
          <w:color w:val="000000" w:themeColor="text1"/>
          <w:sz w:val="24"/>
          <w:szCs w:val="24"/>
        </w:rPr>
        <w:t xml:space="preserve">Corean </w:t>
      </w:r>
      <w:r>
        <w:rPr>
          <w:rFonts w:ascii="Times New Roman" w:hAnsi="Times New Roman" w:cs="Times New Roman"/>
          <w:color w:val="000000" w:themeColor="text1"/>
          <w:sz w:val="24"/>
          <w:szCs w:val="24"/>
        </w:rPr>
        <w:t xml:space="preserve">and </w:t>
      </w:r>
      <w:r w:rsidRPr="00D13316">
        <w:rPr>
          <w:rFonts w:ascii="Times New Roman" w:hAnsi="Times New Roman" w:cs="Times New Roman"/>
          <w:i/>
          <w:color w:val="000000" w:themeColor="text1"/>
          <w:sz w:val="24"/>
          <w:szCs w:val="24"/>
        </w:rPr>
        <w:t>Matter of</w:t>
      </w:r>
      <w:r>
        <w:rPr>
          <w:rFonts w:ascii="Times New Roman" w:hAnsi="Times New Roman" w:cs="Times New Roman"/>
          <w:color w:val="000000" w:themeColor="text1"/>
          <w:sz w:val="24"/>
          <w:szCs w:val="24"/>
        </w:rPr>
        <w:t xml:space="preserve"> </w:t>
      </w:r>
      <w:r w:rsidRPr="00417920">
        <w:rPr>
          <w:rFonts w:ascii="Times New Roman" w:hAnsi="Times New Roman" w:cs="Times New Roman"/>
          <w:i/>
          <w:color w:val="000000" w:themeColor="text1"/>
          <w:sz w:val="24"/>
          <w:szCs w:val="24"/>
        </w:rPr>
        <w:t xml:space="preserve">Willey </w:t>
      </w:r>
      <w:r>
        <w:rPr>
          <w:rFonts w:ascii="Times New Roman" w:hAnsi="Times New Roman" w:cs="Times New Roman"/>
          <w:color w:val="000000" w:themeColor="text1"/>
          <w:sz w:val="24"/>
          <w:szCs w:val="24"/>
        </w:rPr>
        <w:t xml:space="preserve">each alluded to the </w:t>
      </w:r>
      <w:r w:rsidRPr="00417920">
        <w:rPr>
          <w:rFonts w:ascii="Times New Roman" w:hAnsi="Times New Roman" w:cs="Times New Roman"/>
          <w:i/>
          <w:color w:val="000000" w:themeColor="text1"/>
          <w:sz w:val="24"/>
          <w:szCs w:val="24"/>
        </w:rPr>
        <w:t>Larson’s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treatise discussion of a “quantum” theory of work-connection: </w:t>
      </w:r>
    </w:p>
    <w:p w14:paraId="20CC3739" w14:textId="77777777" w:rsidR="00FF7482" w:rsidRDefault="00FF7482" w:rsidP="008C7CFF">
      <w:pPr>
        <w:pStyle w:val="ListParagraph"/>
        <w:ind w:left="0" w:firstLine="720"/>
        <w:jc w:val="both"/>
        <w:rPr>
          <w:rFonts w:ascii="Times New Roman" w:hAnsi="Times New Roman" w:cs="Times New Roman"/>
          <w:color w:val="000000" w:themeColor="text1"/>
          <w:sz w:val="24"/>
          <w:szCs w:val="24"/>
        </w:rPr>
      </w:pPr>
    </w:p>
    <w:p w14:paraId="6FC47DF5" w14:textId="69F12807" w:rsidR="00FF7482" w:rsidRPr="008C7CFF" w:rsidRDefault="00FF7482" w:rsidP="009207B3">
      <w:pPr>
        <w:pStyle w:val="ListParagraph"/>
        <w:ind w:right="720"/>
        <w:jc w:val="both"/>
        <w:rPr>
          <w:rFonts w:ascii="Times New Roman" w:hAnsi="Times New Roman" w:cs="Times New Roman"/>
          <w:color w:val="000000" w:themeColor="text1"/>
          <w:sz w:val="24"/>
          <w:szCs w:val="24"/>
        </w:rPr>
      </w:pPr>
      <w:r w:rsidRPr="00417920">
        <w:rPr>
          <w:rFonts w:ascii="Times New Roman" w:hAnsi="Times New Roman" w:cs="Times New Roman"/>
          <w:color w:val="000000" w:themeColor="text1"/>
          <w:sz w:val="24"/>
          <w:szCs w:val="24"/>
        </w:rPr>
        <w:t>One is almost tempted to formulate a sort of quantum theory of work-connection:</w:t>
      </w:r>
      <w:r>
        <w:rPr>
          <w:rFonts w:ascii="Times New Roman" w:hAnsi="Times New Roman" w:cs="Times New Roman"/>
          <w:color w:val="000000" w:themeColor="text1"/>
          <w:sz w:val="24"/>
          <w:szCs w:val="24"/>
        </w:rPr>
        <w:t xml:space="preserve"> </w:t>
      </w:r>
      <w:r w:rsidRPr="00417920">
        <w:rPr>
          <w:rFonts w:ascii="Times New Roman" w:hAnsi="Times New Roman" w:cs="Times New Roman"/>
          <w:color w:val="000000" w:themeColor="text1"/>
          <w:sz w:val="24"/>
          <w:szCs w:val="24"/>
        </w:rPr>
        <w:t>that a certain minimum quantum of work-connection must be shown, and if the “course” quantity is very small, but the “arising” quantity is large, the quantum will add up to the necessary minimum, as it will also when the “arising” quantity is very small but the “course” quantity is relatively large.</w:t>
      </w:r>
      <w:r w:rsidRPr="00112C9C">
        <w:rPr>
          <w:rFonts w:ascii="Times New Roman" w:hAnsi="Times New Roman" w:cs="Times New Roman"/>
          <w:sz w:val="24"/>
          <w:szCs w:val="24"/>
          <w:vertAlign w:val="superscript"/>
        </w:rPr>
        <w:footnoteReference w:id="191"/>
      </w:r>
    </w:p>
    <w:p w14:paraId="1CA23610" w14:textId="1600C860" w:rsidR="00FF7482" w:rsidRDefault="00FF7482" w:rsidP="00792F27">
      <w:pPr>
        <w:pStyle w:val="ListParagraph"/>
        <w:ind w:left="0" w:right="720"/>
        <w:jc w:val="both"/>
        <w:rPr>
          <w:rFonts w:ascii="Times New Roman" w:hAnsi="Times New Roman" w:cs="Times New Roman"/>
          <w:color w:val="000000" w:themeColor="text1"/>
          <w:sz w:val="24"/>
          <w:szCs w:val="24"/>
        </w:rPr>
      </w:pPr>
    </w:p>
    <w:p w14:paraId="2BDCDCB0" w14:textId="609DAD0A" w:rsidR="00FF7482" w:rsidRDefault="00FF7482" w:rsidP="00ED25A2">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might tempt one to end discussion of “arising of” law in Wyoming as nonexistent were it not for three small wrinkles. First, in </w:t>
      </w:r>
      <w:r w:rsidRPr="000A6A26">
        <w:rPr>
          <w:rFonts w:ascii="Times New Roman" w:hAnsi="Times New Roman" w:cs="Times New Roman"/>
          <w:i/>
          <w:color w:val="000000" w:themeColor="text1"/>
          <w:sz w:val="24"/>
          <w:szCs w:val="24"/>
        </w:rPr>
        <w:t>In re Carey</w:t>
      </w:r>
      <w:r w:rsidRPr="001843E2">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192"/>
      </w:r>
      <w:r>
        <w:rPr>
          <w:rFonts w:ascii="Times New Roman" w:hAnsi="Times New Roman" w:cs="Times New Roman"/>
          <w:color w:val="000000" w:themeColor="text1"/>
          <w:sz w:val="24"/>
          <w:szCs w:val="24"/>
        </w:rPr>
        <w:t xml:space="preserve"> an employee was struck by lightning just after he had tendered his signed time card to his employer’s timekeeper.</w:t>
      </w:r>
      <w:r w:rsidRPr="00112C9C">
        <w:rPr>
          <w:rFonts w:ascii="Times New Roman" w:hAnsi="Times New Roman" w:cs="Times New Roman"/>
          <w:sz w:val="24"/>
          <w:szCs w:val="24"/>
          <w:vertAlign w:val="superscript"/>
        </w:rPr>
        <w:footnoteReference w:id="193"/>
      </w:r>
      <w:r>
        <w:rPr>
          <w:rFonts w:ascii="Times New Roman" w:hAnsi="Times New Roman" w:cs="Times New Roman"/>
          <w:color w:val="000000" w:themeColor="text1"/>
          <w:sz w:val="24"/>
          <w:szCs w:val="24"/>
        </w:rPr>
        <w:t xml:space="preserve"> One issue, of course, was whether the employee was in the course of employment when struck.</w:t>
      </w:r>
      <w:r w:rsidRPr="00112C9C">
        <w:rPr>
          <w:rFonts w:ascii="Times New Roman" w:hAnsi="Times New Roman" w:cs="Times New Roman"/>
          <w:sz w:val="24"/>
          <w:szCs w:val="24"/>
          <w:vertAlign w:val="superscript"/>
        </w:rPr>
        <w:footnoteReference w:id="194"/>
      </w:r>
      <w:r w:rsidRPr="001843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But another issue, at least implicitly, was whether the injuries sustained from the lightening-strike arose out of employment.</w:t>
      </w:r>
      <w:r w:rsidRPr="00112C9C">
        <w:rPr>
          <w:rFonts w:ascii="Times New Roman" w:hAnsi="Times New Roman" w:cs="Times New Roman"/>
          <w:sz w:val="24"/>
          <w:szCs w:val="24"/>
          <w:vertAlign w:val="superscript"/>
        </w:rPr>
        <w:footnoteReference w:id="195"/>
      </w:r>
      <w:r w:rsidRPr="001843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district court hearing the case</w:t>
      </w:r>
      <w:r w:rsidRPr="00112C9C">
        <w:rPr>
          <w:rFonts w:ascii="Times New Roman" w:hAnsi="Times New Roman" w:cs="Times New Roman"/>
          <w:sz w:val="24"/>
          <w:szCs w:val="24"/>
          <w:vertAlign w:val="superscript"/>
        </w:rPr>
        <w:footnoteReference w:id="196"/>
      </w:r>
      <w:r>
        <w:rPr>
          <w:rFonts w:ascii="Times New Roman" w:hAnsi="Times New Roman" w:cs="Times New Roman"/>
          <w:color w:val="000000" w:themeColor="text1"/>
          <w:sz w:val="24"/>
          <w:szCs w:val="24"/>
        </w:rPr>
        <w:t xml:space="preserve"> found, among other things, that the lightning strike was an “Act of God.”</w:t>
      </w:r>
      <w:r w:rsidRPr="00112C9C">
        <w:rPr>
          <w:rFonts w:ascii="Times New Roman" w:hAnsi="Times New Roman" w:cs="Times New Roman"/>
          <w:sz w:val="24"/>
          <w:szCs w:val="24"/>
          <w:vertAlign w:val="superscript"/>
        </w:rPr>
        <w:footnoteReference w:id="197"/>
      </w:r>
      <w:r>
        <w:rPr>
          <w:rFonts w:ascii="Times New Roman" w:hAnsi="Times New Roman" w:cs="Times New Roman"/>
          <w:color w:val="000000" w:themeColor="text1"/>
          <w:sz w:val="24"/>
          <w:szCs w:val="24"/>
        </w:rPr>
        <w:t xml:space="preserve"> After reviewing authority from several states, the Court stated, </w:t>
      </w:r>
    </w:p>
    <w:p w14:paraId="6A67FAFC" w14:textId="77777777" w:rsidR="00FF7482" w:rsidRDefault="00FF7482" w:rsidP="001843E2">
      <w:pPr>
        <w:pStyle w:val="ListParagraph"/>
        <w:ind w:left="0" w:firstLine="720"/>
        <w:jc w:val="both"/>
        <w:rPr>
          <w:rFonts w:ascii="Times New Roman" w:hAnsi="Times New Roman" w:cs="Times New Roman"/>
          <w:color w:val="000000" w:themeColor="text1"/>
          <w:sz w:val="24"/>
          <w:szCs w:val="24"/>
        </w:rPr>
      </w:pPr>
    </w:p>
    <w:p w14:paraId="3713C612" w14:textId="182460C3" w:rsidR="00FF7482" w:rsidRDefault="00FF7482" w:rsidP="00ED25A2">
      <w:pPr>
        <w:pStyle w:val="ListParagraph"/>
        <w:ind w:right="720"/>
        <w:jc w:val="both"/>
        <w:rPr>
          <w:rFonts w:ascii="Times New Roman" w:hAnsi="Times New Roman" w:cs="Times New Roman"/>
          <w:color w:val="000000" w:themeColor="text1"/>
          <w:sz w:val="24"/>
          <w:szCs w:val="24"/>
        </w:rPr>
      </w:pPr>
      <w:r w:rsidRPr="000F015B">
        <w:rPr>
          <w:rFonts w:ascii="Times New Roman" w:hAnsi="Times New Roman" w:cs="Times New Roman"/>
          <w:color w:val="000000" w:themeColor="text1"/>
          <w:sz w:val="24"/>
          <w:szCs w:val="24"/>
        </w:rPr>
        <w:t xml:space="preserve">It can hardly be gainsaid that the fact that the transformers and wires leading to the office building of the Schroeder Mining Company without proper grounds being installed placed Carey, the workman, in a situation under all the circumstances here presented which was </w:t>
      </w:r>
      <w:r w:rsidRPr="000F015B">
        <w:rPr>
          <w:rFonts w:ascii="Times New Roman" w:hAnsi="Times New Roman" w:cs="Times New Roman"/>
          <w:b/>
          <w:color w:val="000000" w:themeColor="text1"/>
          <w:sz w:val="24"/>
          <w:szCs w:val="24"/>
        </w:rPr>
        <w:t>different from that of the public generally</w:t>
      </w:r>
      <w:r w:rsidRPr="000F015B">
        <w:rPr>
          <w:rFonts w:ascii="Times New Roman" w:hAnsi="Times New Roman" w:cs="Times New Roman"/>
          <w:color w:val="000000" w:themeColor="text1"/>
          <w:sz w:val="24"/>
          <w:szCs w:val="24"/>
        </w:rPr>
        <w:t xml:space="preserve">. There can be no doubt that the employer did not take steps to protect its office building from the intrusion of lightning, making an unnecessary hazard for </w:t>
      </w:r>
      <w:r w:rsidRPr="000F015B">
        <w:rPr>
          <w:rFonts w:ascii="Times New Roman" w:hAnsi="Times New Roman" w:cs="Times New Roman"/>
          <w:color w:val="000000" w:themeColor="text1"/>
          <w:sz w:val="24"/>
          <w:szCs w:val="24"/>
        </w:rPr>
        <w:lastRenderedPageBreak/>
        <w:t>the workmen who were obliged to come there in the course of their duties as workmen for the company.</w:t>
      </w:r>
      <w:r w:rsidRPr="00112C9C">
        <w:rPr>
          <w:rFonts w:ascii="Times New Roman" w:hAnsi="Times New Roman" w:cs="Times New Roman"/>
          <w:sz w:val="24"/>
          <w:szCs w:val="24"/>
          <w:vertAlign w:val="superscript"/>
        </w:rPr>
        <w:footnoteReference w:id="198"/>
      </w:r>
    </w:p>
    <w:p w14:paraId="4539F7A7" w14:textId="5BDEAD90" w:rsidR="00FF7482" w:rsidRDefault="00FF7482" w:rsidP="000F015B">
      <w:pPr>
        <w:pStyle w:val="ListParagraph"/>
        <w:ind w:right="720"/>
        <w:jc w:val="both"/>
        <w:rPr>
          <w:rFonts w:ascii="Times New Roman" w:hAnsi="Times New Roman" w:cs="Times New Roman"/>
          <w:color w:val="000000" w:themeColor="text1"/>
          <w:sz w:val="24"/>
          <w:szCs w:val="24"/>
        </w:rPr>
      </w:pPr>
    </w:p>
    <w:p w14:paraId="33A495E9" w14:textId="0C0B7D46" w:rsidR="00FF7482" w:rsidRDefault="00FF7482" w:rsidP="00F01E0C">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passage suggests that, in the case of lightning, Wyoming courts may be utilizing, without saying so, </w:t>
      </w:r>
      <w:r w:rsidRPr="001B0C52">
        <w:rPr>
          <w:rFonts w:ascii="Times New Roman" w:hAnsi="Times New Roman" w:cs="Times New Roman"/>
          <w:b/>
          <w:bCs/>
          <w:i/>
          <w:iCs/>
          <w:color w:val="000000" w:themeColor="text1"/>
          <w:sz w:val="24"/>
          <w:szCs w:val="24"/>
        </w:rPr>
        <w:t>an arising out of, increased risk test</w:t>
      </w:r>
      <w:r>
        <w:rPr>
          <w:rFonts w:ascii="Times New Roman" w:hAnsi="Times New Roman" w:cs="Times New Roman"/>
          <w:color w:val="000000" w:themeColor="text1"/>
          <w:sz w:val="24"/>
          <w:szCs w:val="24"/>
        </w:rPr>
        <w:t xml:space="preserve">. </w:t>
      </w:r>
    </w:p>
    <w:p w14:paraId="5D2AEAC1" w14:textId="77777777" w:rsidR="00FF7482" w:rsidRDefault="00FF7482" w:rsidP="000C7114">
      <w:pPr>
        <w:pStyle w:val="ListParagraph"/>
        <w:ind w:left="0" w:firstLine="720"/>
        <w:jc w:val="both"/>
        <w:rPr>
          <w:rFonts w:ascii="Times New Roman" w:hAnsi="Times New Roman" w:cs="Times New Roman"/>
          <w:color w:val="000000" w:themeColor="text1"/>
          <w:sz w:val="24"/>
          <w:szCs w:val="24"/>
        </w:rPr>
      </w:pPr>
    </w:p>
    <w:p w14:paraId="08B55CBC" w14:textId="3EC35DFD" w:rsidR="00FF7482" w:rsidRDefault="00FF7482" w:rsidP="003C57ED">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wrinkle concerns statutory language located at </w:t>
      </w:r>
      <w:r w:rsidRPr="00CC46B2">
        <w:rPr>
          <w:rFonts w:ascii="Times New Roman" w:hAnsi="Times New Roman" w:cs="Times New Roman"/>
          <w:sz w:val="24"/>
          <w:szCs w:val="24"/>
        </w:rPr>
        <w:t xml:space="preserve">W.S. § </w:t>
      </w:r>
      <w:hyperlink r:id="rId61" w:history="1">
        <w:r w:rsidRPr="00CC46B2">
          <w:rPr>
            <w:rStyle w:val="Hyperlink"/>
            <w:rFonts w:ascii="Times New Roman" w:hAnsi="Times New Roman" w:cs="Times New Roman"/>
            <w:sz w:val="24"/>
            <w:szCs w:val="24"/>
          </w:rPr>
          <w:t>27-14-102</w:t>
        </w:r>
      </w:hyperlink>
      <w:r w:rsidRPr="00CC46B2">
        <w:rPr>
          <w:rFonts w:ascii="Times New Roman" w:hAnsi="Times New Roman" w:cs="Times New Roman"/>
          <w:sz w:val="24"/>
          <w:szCs w:val="24"/>
        </w:rPr>
        <w:t>(a)(</w:t>
      </w:r>
      <w:r>
        <w:rPr>
          <w:rFonts w:ascii="Times New Roman" w:hAnsi="Times New Roman" w:cs="Times New Roman"/>
          <w:color w:val="000000" w:themeColor="text1"/>
          <w:sz w:val="24"/>
          <w:szCs w:val="24"/>
        </w:rPr>
        <w:t xml:space="preserve">xi)(G): “Injury </w:t>
      </w:r>
      <w:r w:rsidRPr="00417920">
        <w:rPr>
          <w:rFonts w:ascii="Times New Roman" w:hAnsi="Times New Roman" w:cs="Times New Roman"/>
          <w:b/>
          <w:color w:val="000000" w:themeColor="text1"/>
          <w:sz w:val="24"/>
          <w:szCs w:val="24"/>
          <w:u w:val="single"/>
        </w:rPr>
        <w:t>does not include</w:t>
      </w:r>
      <w:r>
        <w:rPr>
          <w:rFonts w:ascii="Times New Roman" w:hAnsi="Times New Roman" w:cs="Times New Roman"/>
          <w:color w:val="000000" w:themeColor="text1"/>
          <w:sz w:val="24"/>
          <w:szCs w:val="24"/>
        </w:rPr>
        <w:t xml:space="preserve"> . . . </w:t>
      </w:r>
      <w:r w:rsidRPr="00FD31BE">
        <w:rPr>
          <w:rFonts w:ascii="Times New Roman" w:hAnsi="Times New Roman" w:cs="Times New Roman"/>
          <w:color w:val="000000" w:themeColor="text1"/>
          <w:sz w:val="24"/>
          <w:szCs w:val="24"/>
        </w:rPr>
        <w:t xml:space="preserve">Any injury </w:t>
      </w:r>
      <w:r w:rsidRPr="00FD31BE">
        <w:rPr>
          <w:rFonts w:ascii="Times New Roman" w:hAnsi="Times New Roman" w:cs="Times New Roman"/>
          <w:b/>
          <w:color w:val="000000" w:themeColor="text1"/>
          <w:sz w:val="24"/>
          <w:szCs w:val="24"/>
        </w:rPr>
        <w:t>resulting primarily from the natural aging process or from the normal activities of day-to-day living</w:t>
      </w:r>
      <w:r w:rsidRPr="00FD31BE">
        <w:rPr>
          <w:rFonts w:ascii="Times New Roman" w:hAnsi="Times New Roman" w:cs="Times New Roman"/>
          <w:color w:val="000000" w:themeColor="text1"/>
          <w:sz w:val="24"/>
          <w:szCs w:val="24"/>
        </w:rPr>
        <w:t>, as established by medical evidence supported by objective findings</w:t>
      </w:r>
      <w:r>
        <w:rPr>
          <w:rFonts w:ascii="Times New Roman" w:hAnsi="Times New Roman" w:cs="Times New Roman"/>
          <w:color w:val="000000" w:themeColor="text1"/>
          <w:sz w:val="24"/>
          <w:szCs w:val="24"/>
        </w:rPr>
        <w:t xml:space="preserve">.” The questions surfacing quickly are: 1) whether </w:t>
      </w:r>
      <w:bookmarkStart w:id="284" w:name="_Hlk517369319"/>
      <w:r>
        <w:rPr>
          <w:rFonts w:ascii="Times New Roman" w:hAnsi="Times New Roman" w:cs="Times New Roman"/>
          <w:color w:val="000000" w:themeColor="text1"/>
          <w:sz w:val="24"/>
          <w:szCs w:val="24"/>
        </w:rPr>
        <w:t>“normal activities of day</w:t>
      </w:r>
      <w:r w:rsidR="007C3E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to</w:t>
      </w:r>
      <w:r w:rsidR="007C3E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day living”</w:t>
      </w:r>
      <w:bookmarkEnd w:id="284"/>
      <w:r>
        <w:rPr>
          <w:rFonts w:ascii="Times New Roman" w:hAnsi="Times New Roman" w:cs="Times New Roman"/>
          <w:color w:val="000000" w:themeColor="text1"/>
          <w:sz w:val="24"/>
          <w:szCs w:val="24"/>
        </w:rPr>
        <w:t xml:space="preserve"> means such activities at work, away from work, or both; and 2) whether “normal activities of day</w:t>
      </w:r>
      <w:r w:rsidR="007C3E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to</w:t>
      </w:r>
      <w:r w:rsidR="007C3EE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day living” means </w:t>
      </w:r>
      <w:r w:rsidRPr="00621405">
        <w:rPr>
          <w:rFonts w:ascii="Times New Roman" w:hAnsi="Times New Roman" w:cs="Times New Roman"/>
          <w:color w:val="000000" w:themeColor="text1"/>
          <w:sz w:val="24"/>
          <w:szCs w:val="24"/>
        </w:rPr>
        <w:t>the daily activities of the employee or the daily activities of the entire population.</w:t>
      </w:r>
      <w:r>
        <w:rPr>
          <w:rFonts w:ascii="Times New Roman" w:hAnsi="Times New Roman" w:cs="Times New Roman"/>
          <w:color w:val="000000" w:themeColor="text1"/>
          <w:sz w:val="24"/>
          <w:szCs w:val="24"/>
        </w:rPr>
        <w:t xml:space="preserve"> The language might be read to mean that an injury </w:t>
      </w:r>
      <w:r w:rsidRPr="00417920">
        <w:rPr>
          <w:rFonts w:ascii="Times New Roman" w:hAnsi="Times New Roman" w:cs="Times New Roman"/>
          <w:b/>
          <w:color w:val="000000" w:themeColor="text1"/>
          <w:sz w:val="24"/>
          <w:szCs w:val="24"/>
        </w:rPr>
        <w:t>arising out of</w:t>
      </w:r>
      <w:r>
        <w:rPr>
          <w:rFonts w:ascii="Times New Roman" w:hAnsi="Times New Roman" w:cs="Times New Roman"/>
          <w:color w:val="000000" w:themeColor="text1"/>
          <w:sz w:val="24"/>
          <w:szCs w:val="24"/>
        </w:rPr>
        <w:t xml:space="preserve"> the employee’s own “normal” </w:t>
      </w:r>
      <w:r w:rsidRPr="00244C22">
        <w:rPr>
          <w:rFonts w:ascii="Times New Roman" w:hAnsi="Times New Roman" w:cs="Times New Roman"/>
          <w:b/>
          <w:i/>
          <w:color w:val="000000" w:themeColor="text1"/>
          <w:sz w:val="24"/>
          <w:szCs w:val="24"/>
        </w:rPr>
        <w:t>work</w:t>
      </w:r>
      <w:r>
        <w:rPr>
          <w:rFonts w:ascii="Times New Roman" w:hAnsi="Times New Roman" w:cs="Times New Roman"/>
          <w:color w:val="000000" w:themeColor="text1"/>
          <w:sz w:val="24"/>
          <w:szCs w:val="24"/>
        </w:rPr>
        <w:t xml:space="preserve"> activities is not compensable. Under that interpretation, even if the employee is injured </w:t>
      </w:r>
      <w:r w:rsidRPr="001B0C52">
        <w:rPr>
          <w:rFonts w:ascii="Times New Roman" w:hAnsi="Times New Roman" w:cs="Times New Roman"/>
          <w:i/>
          <w:iCs/>
          <w:color w:val="000000" w:themeColor="text1"/>
          <w:sz w:val="24"/>
          <w:szCs w:val="24"/>
        </w:rPr>
        <w:t>while at work performing work</w:t>
      </w:r>
      <w:r>
        <w:rPr>
          <w:rFonts w:ascii="Times New Roman" w:hAnsi="Times New Roman" w:cs="Times New Roman"/>
          <w:color w:val="000000" w:themeColor="text1"/>
          <w:sz w:val="24"/>
          <w:szCs w:val="24"/>
        </w:rPr>
        <w:t xml:space="preserve"> the injury would not be compensable unless something about the work leading to the injury was </w:t>
      </w:r>
      <w:r w:rsidRPr="00792E39">
        <w:rPr>
          <w:rFonts w:ascii="Times New Roman" w:hAnsi="Times New Roman" w:cs="Times New Roman"/>
          <w:i/>
          <w:color w:val="000000" w:themeColor="text1"/>
          <w:sz w:val="24"/>
          <w:szCs w:val="24"/>
        </w:rPr>
        <w:t>unusually</w:t>
      </w:r>
      <w:r>
        <w:rPr>
          <w:rFonts w:ascii="Times New Roman" w:hAnsi="Times New Roman" w:cs="Times New Roman"/>
          <w:color w:val="000000" w:themeColor="text1"/>
          <w:sz w:val="24"/>
          <w:szCs w:val="24"/>
        </w:rPr>
        <w:t xml:space="preserve"> stressful when compared to normal work duties.</w:t>
      </w:r>
      <w:r w:rsidRPr="00112C9C">
        <w:rPr>
          <w:rFonts w:ascii="Times New Roman" w:hAnsi="Times New Roman" w:cs="Times New Roman"/>
          <w:sz w:val="24"/>
          <w:szCs w:val="24"/>
          <w:vertAlign w:val="superscript"/>
        </w:rPr>
        <w:footnoteReference w:id="199"/>
      </w:r>
      <w:r>
        <w:rPr>
          <w:rFonts w:ascii="Times New Roman" w:hAnsi="Times New Roman" w:cs="Times New Roman"/>
          <w:color w:val="000000" w:themeColor="text1"/>
          <w:sz w:val="24"/>
          <w:szCs w:val="24"/>
        </w:rPr>
        <w:t xml:space="preserve"> That sounds like an </w:t>
      </w:r>
      <w:r w:rsidRPr="00417920">
        <w:rPr>
          <w:rFonts w:ascii="Times New Roman" w:hAnsi="Times New Roman" w:cs="Times New Roman"/>
          <w:b/>
          <w:color w:val="000000" w:themeColor="text1"/>
          <w:sz w:val="24"/>
          <w:szCs w:val="24"/>
        </w:rPr>
        <w:t>arising out of</w:t>
      </w:r>
      <w:r>
        <w:rPr>
          <w:rFonts w:ascii="Times New Roman" w:hAnsi="Times New Roman" w:cs="Times New Roman"/>
          <w:b/>
          <w:color w:val="000000" w:themeColor="text1"/>
          <w:sz w:val="24"/>
          <w:szCs w:val="24"/>
        </w:rPr>
        <w:t>, increased risk</w:t>
      </w:r>
      <w:r>
        <w:rPr>
          <w:rFonts w:ascii="Times New Roman" w:hAnsi="Times New Roman" w:cs="Times New Roman"/>
          <w:color w:val="000000" w:themeColor="text1"/>
          <w:sz w:val="24"/>
          <w:szCs w:val="24"/>
        </w:rPr>
        <w:t xml:space="preserve"> standard</w:t>
      </w:r>
      <w:r w:rsidR="007C3EE0">
        <w:rPr>
          <w:rFonts w:ascii="Times New Roman" w:hAnsi="Times New Roman" w:cs="Times New Roman"/>
          <w:color w:val="000000" w:themeColor="text1"/>
          <w:sz w:val="24"/>
          <w:szCs w:val="24"/>
        </w:rPr>
        <w:t xml:space="preserve">. </w:t>
      </w:r>
    </w:p>
    <w:p w14:paraId="2FA6803B" w14:textId="77777777" w:rsidR="00FF7482" w:rsidRDefault="00FF7482" w:rsidP="000C7114">
      <w:pPr>
        <w:pStyle w:val="ListParagraph"/>
        <w:ind w:left="0" w:firstLine="720"/>
        <w:jc w:val="both"/>
        <w:rPr>
          <w:rFonts w:ascii="Times New Roman" w:hAnsi="Times New Roman" w:cs="Times New Roman"/>
          <w:color w:val="000000" w:themeColor="text1"/>
          <w:sz w:val="24"/>
          <w:szCs w:val="24"/>
        </w:rPr>
      </w:pPr>
    </w:p>
    <w:p w14:paraId="11782410" w14:textId="3BE01DEC" w:rsidR="00FF7482" w:rsidRDefault="00FF7482" w:rsidP="007C3EE0">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Wyoming Supreme Court appears to have resolved the interpretation of the day-to-day living provision in </w:t>
      </w:r>
      <w:r w:rsidRPr="00041D0E">
        <w:rPr>
          <w:rFonts w:ascii="Times New Roman" w:hAnsi="Times New Roman" w:cs="Times New Roman"/>
          <w:i/>
          <w:color w:val="000000" w:themeColor="text1"/>
          <w:sz w:val="24"/>
          <w:szCs w:val="24"/>
        </w:rPr>
        <w:t xml:space="preserve">Workers’ Safety </w:t>
      </w:r>
      <w:r>
        <w:rPr>
          <w:rFonts w:ascii="Times New Roman" w:hAnsi="Times New Roman" w:cs="Times New Roman"/>
          <w:i/>
          <w:color w:val="000000" w:themeColor="text1"/>
          <w:sz w:val="24"/>
          <w:szCs w:val="24"/>
        </w:rPr>
        <w:t>&amp;</w:t>
      </w:r>
      <w:r w:rsidRPr="00041D0E">
        <w:rPr>
          <w:rFonts w:ascii="Times New Roman" w:hAnsi="Times New Roman" w:cs="Times New Roman"/>
          <w:i/>
          <w:color w:val="000000" w:themeColor="text1"/>
          <w:sz w:val="24"/>
          <w:szCs w:val="24"/>
        </w:rPr>
        <w:t xml:space="preserve"> Compensation Div</w:t>
      </w:r>
      <w:r>
        <w:rPr>
          <w:rFonts w:ascii="Times New Roman" w:hAnsi="Times New Roman" w:cs="Times New Roman"/>
          <w:i/>
          <w:color w:val="000000" w:themeColor="text1"/>
          <w:sz w:val="24"/>
          <w:szCs w:val="24"/>
        </w:rPr>
        <w:t>.</w:t>
      </w:r>
      <w:r w:rsidRPr="00041D0E">
        <w:rPr>
          <w:rFonts w:ascii="Times New Roman" w:hAnsi="Times New Roman" w:cs="Times New Roman"/>
          <w:i/>
          <w:color w:val="000000" w:themeColor="text1"/>
          <w:sz w:val="24"/>
          <w:szCs w:val="24"/>
        </w:rPr>
        <w:t xml:space="preserve"> v. Sparks</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00"/>
      </w:r>
      <w:r>
        <w:rPr>
          <w:rFonts w:ascii="Times New Roman" w:hAnsi="Times New Roman" w:cs="Times New Roman"/>
          <w:color w:val="000000" w:themeColor="text1"/>
          <w:sz w:val="24"/>
          <w:szCs w:val="24"/>
        </w:rPr>
        <w:t xml:space="preserve"> In </w:t>
      </w:r>
      <w:r w:rsidRPr="00041D0E">
        <w:rPr>
          <w:rFonts w:ascii="Times New Roman" w:hAnsi="Times New Roman" w:cs="Times New Roman"/>
          <w:i/>
          <w:color w:val="000000" w:themeColor="text1"/>
          <w:sz w:val="24"/>
          <w:szCs w:val="24"/>
        </w:rPr>
        <w:t>Sparks</w:t>
      </w:r>
      <w:r>
        <w:rPr>
          <w:rFonts w:ascii="Times New Roman" w:hAnsi="Times New Roman" w:cs="Times New Roman"/>
          <w:color w:val="000000" w:themeColor="text1"/>
          <w:sz w:val="24"/>
          <w:szCs w:val="24"/>
        </w:rPr>
        <w:t xml:space="preserve">, a nurse </w:t>
      </w:r>
      <w:r w:rsidRPr="00CD2C88">
        <w:rPr>
          <w:rFonts w:ascii="Times New Roman" w:hAnsi="Times New Roman" w:cs="Times New Roman"/>
          <w:color w:val="000000" w:themeColor="text1"/>
          <w:sz w:val="24"/>
          <w:szCs w:val="24"/>
        </w:rPr>
        <w:t xml:space="preserve">was performing </w:t>
      </w:r>
      <w:r>
        <w:rPr>
          <w:rFonts w:ascii="Times New Roman" w:hAnsi="Times New Roman" w:cs="Times New Roman"/>
          <w:color w:val="000000" w:themeColor="text1"/>
          <w:sz w:val="24"/>
          <w:szCs w:val="24"/>
        </w:rPr>
        <w:t>her normal</w:t>
      </w:r>
      <w:r w:rsidRPr="00CD2C88">
        <w:rPr>
          <w:rFonts w:ascii="Times New Roman" w:hAnsi="Times New Roman" w:cs="Times New Roman"/>
          <w:color w:val="000000" w:themeColor="text1"/>
          <w:sz w:val="24"/>
          <w:szCs w:val="24"/>
        </w:rPr>
        <w:t xml:space="preserve"> assigned</w:t>
      </w:r>
      <w:r>
        <w:rPr>
          <w:rFonts w:ascii="Times New Roman" w:hAnsi="Times New Roman" w:cs="Times New Roman"/>
          <w:color w:val="000000" w:themeColor="text1"/>
          <w:sz w:val="24"/>
          <w:szCs w:val="24"/>
        </w:rPr>
        <w:t xml:space="preserve"> nursing duties</w:t>
      </w:r>
      <w:r w:rsidRPr="00CD2C88">
        <w:rPr>
          <w:rFonts w:ascii="Times New Roman" w:hAnsi="Times New Roman" w:cs="Times New Roman"/>
          <w:color w:val="000000" w:themeColor="text1"/>
          <w:sz w:val="24"/>
          <w:szCs w:val="24"/>
        </w:rPr>
        <w:t xml:space="preserve"> administer</w:t>
      </w:r>
      <w:r>
        <w:rPr>
          <w:rFonts w:ascii="Times New Roman" w:hAnsi="Times New Roman" w:cs="Times New Roman"/>
          <w:color w:val="000000" w:themeColor="text1"/>
          <w:sz w:val="24"/>
          <w:szCs w:val="24"/>
        </w:rPr>
        <w:t>ing</w:t>
      </w:r>
      <w:r w:rsidRPr="00CD2C88">
        <w:rPr>
          <w:rFonts w:ascii="Times New Roman" w:hAnsi="Times New Roman" w:cs="Times New Roman"/>
          <w:color w:val="000000" w:themeColor="text1"/>
          <w:sz w:val="24"/>
          <w:szCs w:val="24"/>
        </w:rPr>
        <w:t xml:space="preserve"> medication to patients</w:t>
      </w:r>
      <w:r>
        <w:rPr>
          <w:rFonts w:ascii="Times New Roman" w:hAnsi="Times New Roman" w:cs="Times New Roman"/>
          <w:color w:val="000000" w:themeColor="text1"/>
          <w:sz w:val="24"/>
          <w:szCs w:val="24"/>
        </w:rPr>
        <w:t>,</w:t>
      </w:r>
      <w:r w:rsidRPr="00CD2C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when she experienced severe pain while bending over to pick up a pill.</w:t>
      </w:r>
      <w:r w:rsidRPr="00112C9C">
        <w:rPr>
          <w:rFonts w:ascii="Times New Roman" w:hAnsi="Times New Roman" w:cs="Times New Roman"/>
          <w:sz w:val="24"/>
          <w:szCs w:val="24"/>
          <w:vertAlign w:val="superscript"/>
        </w:rPr>
        <w:footnoteReference w:id="201"/>
      </w:r>
      <w:r>
        <w:rPr>
          <w:rFonts w:ascii="Times New Roman" w:hAnsi="Times New Roman" w:cs="Times New Roman"/>
          <w:color w:val="000000" w:themeColor="text1"/>
          <w:sz w:val="24"/>
          <w:szCs w:val="24"/>
        </w:rPr>
        <w:t xml:space="preserve"> Her condition worsened and eventually her doctors discovered a disc herniation.</w:t>
      </w:r>
      <w:r w:rsidRPr="00112C9C">
        <w:rPr>
          <w:rFonts w:ascii="Times New Roman" w:hAnsi="Times New Roman" w:cs="Times New Roman"/>
          <w:sz w:val="24"/>
          <w:szCs w:val="24"/>
          <w:vertAlign w:val="superscript"/>
        </w:rPr>
        <w:footnoteReference w:id="202"/>
      </w:r>
      <w:r>
        <w:rPr>
          <w:rFonts w:ascii="Times New Roman" w:hAnsi="Times New Roman" w:cs="Times New Roman"/>
          <w:color w:val="000000" w:themeColor="text1"/>
          <w:sz w:val="24"/>
          <w:szCs w:val="24"/>
        </w:rPr>
        <w:t xml:space="preserve"> She filed a workers’ compensation claim.</w:t>
      </w:r>
      <w:r w:rsidRPr="00112C9C">
        <w:rPr>
          <w:rFonts w:ascii="Times New Roman" w:hAnsi="Times New Roman" w:cs="Times New Roman"/>
          <w:sz w:val="24"/>
          <w:szCs w:val="24"/>
          <w:vertAlign w:val="superscript"/>
        </w:rPr>
        <w:footnoteReference w:id="203"/>
      </w:r>
      <w:r>
        <w:rPr>
          <w:rFonts w:ascii="Times New Roman" w:hAnsi="Times New Roman" w:cs="Times New Roman"/>
          <w:color w:val="000000" w:themeColor="text1"/>
          <w:sz w:val="24"/>
          <w:szCs w:val="24"/>
        </w:rPr>
        <w:t xml:space="preserve"> The Division denied the claim arguing that the </w:t>
      </w:r>
      <w:r w:rsidRPr="00CD2C88">
        <w:rPr>
          <w:rFonts w:ascii="Times New Roman" w:hAnsi="Times New Roman" w:cs="Times New Roman"/>
          <w:color w:val="000000" w:themeColor="text1"/>
          <w:sz w:val="24"/>
          <w:szCs w:val="24"/>
        </w:rPr>
        <w:t xml:space="preserve">act of leaning over to pick up </w:t>
      </w:r>
      <w:r>
        <w:rPr>
          <w:rFonts w:ascii="Times New Roman" w:hAnsi="Times New Roman" w:cs="Times New Roman"/>
          <w:color w:val="000000" w:themeColor="text1"/>
          <w:sz w:val="24"/>
          <w:szCs w:val="24"/>
        </w:rPr>
        <w:t>a pill</w:t>
      </w:r>
      <w:r w:rsidRPr="00CD2C88">
        <w:rPr>
          <w:rFonts w:ascii="Times New Roman" w:hAnsi="Times New Roman" w:cs="Times New Roman"/>
          <w:color w:val="000000" w:themeColor="text1"/>
          <w:sz w:val="24"/>
          <w:szCs w:val="24"/>
        </w:rPr>
        <w:t xml:space="preserve"> was a normal activity of day-to-day living</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04"/>
      </w:r>
      <w:r>
        <w:rPr>
          <w:rFonts w:ascii="Times New Roman" w:hAnsi="Times New Roman" w:cs="Times New Roman"/>
          <w:color w:val="000000" w:themeColor="text1"/>
          <w:sz w:val="24"/>
          <w:szCs w:val="24"/>
        </w:rPr>
        <w:t xml:space="preserve"> On appeal, the Court remarked upon the breadth of the provision and observed that many compensable injuries might be rendered non-compensable if the Division’s position were upheld.</w:t>
      </w:r>
      <w:r w:rsidRPr="00112C9C">
        <w:rPr>
          <w:rFonts w:ascii="Times New Roman" w:hAnsi="Times New Roman" w:cs="Times New Roman"/>
          <w:sz w:val="24"/>
          <w:szCs w:val="24"/>
          <w:vertAlign w:val="superscript"/>
        </w:rPr>
        <w:footnoteReference w:id="205"/>
      </w:r>
      <w:r>
        <w:rPr>
          <w:rFonts w:ascii="Times New Roman" w:hAnsi="Times New Roman" w:cs="Times New Roman"/>
          <w:color w:val="000000" w:themeColor="text1"/>
          <w:sz w:val="24"/>
          <w:szCs w:val="24"/>
        </w:rPr>
        <w:t xml:space="preserve"> A moment’s reflection will reveal that many activities at work are also “activities of daily living.” Rejecting the notion that the Wyoming legislature intended such a result, the Court considered the provision ambiguous and proceeded to interpret it narrowly in the absence of </w:t>
      </w:r>
      <w:r>
        <w:rPr>
          <w:rFonts w:ascii="Times New Roman" w:hAnsi="Times New Roman" w:cs="Times New Roman"/>
          <w:color w:val="000000" w:themeColor="text1"/>
          <w:sz w:val="24"/>
          <w:szCs w:val="24"/>
        </w:rPr>
        <w:lastRenderedPageBreak/>
        <w:t>case authority to the contrary.</w:t>
      </w:r>
      <w:r w:rsidRPr="00112C9C">
        <w:rPr>
          <w:rFonts w:ascii="Times New Roman" w:hAnsi="Times New Roman" w:cs="Times New Roman"/>
          <w:sz w:val="24"/>
          <w:szCs w:val="24"/>
          <w:vertAlign w:val="superscript"/>
        </w:rPr>
        <w:footnoteReference w:id="206"/>
      </w:r>
      <w:r>
        <w:rPr>
          <w:rFonts w:ascii="Times New Roman" w:hAnsi="Times New Roman" w:cs="Times New Roman"/>
          <w:color w:val="000000" w:themeColor="text1"/>
          <w:sz w:val="24"/>
          <w:szCs w:val="24"/>
        </w:rPr>
        <w:t xml:space="preserve"> Implicitly, </w:t>
      </w:r>
      <w:r w:rsidRPr="005F2864">
        <w:rPr>
          <w:rFonts w:ascii="Times New Roman" w:hAnsi="Times New Roman" w:cs="Times New Roman"/>
          <w:b/>
          <w:color w:val="000000" w:themeColor="text1"/>
          <w:sz w:val="24"/>
          <w:szCs w:val="24"/>
        </w:rPr>
        <w:t>the entire discussion involved increased risk</w:t>
      </w:r>
      <w:r>
        <w:rPr>
          <w:rFonts w:ascii="Times New Roman" w:hAnsi="Times New Roman" w:cs="Times New Roman"/>
          <w:color w:val="000000" w:themeColor="text1"/>
          <w:sz w:val="24"/>
          <w:szCs w:val="24"/>
        </w:rPr>
        <w:t xml:space="preserve">. The Division was arguing that any injury suffered in the workplace while engaging in an activity also routinely performed outside the workplace was non-compensable. The Court responded that if the activity being performed was </w:t>
      </w:r>
      <w:r w:rsidRPr="001B0C52">
        <w:rPr>
          <w:rFonts w:ascii="Times New Roman" w:hAnsi="Times New Roman" w:cs="Times New Roman"/>
          <w:b/>
          <w:bCs/>
          <w:color w:val="000000" w:themeColor="text1"/>
          <w:sz w:val="24"/>
          <w:szCs w:val="24"/>
        </w:rPr>
        <w:t>under the control of the employer</w:t>
      </w:r>
      <w:r>
        <w:rPr>
          <w:rFonts w:ascii="Times New Roman" w:hAnsi="Times New Roman" w:cs="Times New Roman"/>
          <w:color w:val="000000" w:themeColor="text1"/>
          <w:sz w:val="24"/>
          <w:szCs w:val="24"/>
        </w:rPr>
        <w:t xml:space="preserve"> it was </w:t>
      </w:r>
      <w:r w:rsidRPr="001B0C52">
        <w:rPr>
          <w:rFonts w:ascii="Times New Roman" w:hAnsi="Times New Roman" w:cs="Times New Roman"/>
          <w:i/>
          <w:iCs/>
          <w:color w:val="000000" w:themeColor="text1"/>
          <w:sz w:val="24"/>
          <w:szCs w:val="24"/>
        </w:rPr>
        <w:t>not an activity of day-to-day living within the meaning of the statute</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07"/>
      </w:r>
    </w:p>
    <w:p w14:paraId="1607A724" w14:textId="3EA3CC52" w:rsidR="00FF7482" w:rsidRDefault="00FF7482" w:rsidP="00041D0E">
      <w:pPr>
        <w:pStyle w:val="ListParagraph"/>
        <w:ind w:left="0" w:firstLine="720"/>
        <w:jc w:val="both"/>
        <w:rPr>
          <w:rFonts w:ascii="Times New Roman" w:hAnsi="Times New Roman" w:cs="Times New Roman"/>
          <w:color w:val="000000" w:themeColor="text1"/>
          <w:sz w:val="24"/>
          <w:szCs w:val="24"/>
        </w:rPr>
      </w:pPr>
    </w:p>
    <w:p w14:paraId="2CE24121" w14:textId="49177237" w:rsidR="00FF7482" w:rsidRDefault="00FF7482" w:rsidP="009B07CF">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third wrinkle concerns what appears to be </w:t>
      </w:r>
      <w:r w:rsidRPr="0001589A">
        <w:rPr>
          <w:rFonts w:ascii="Times New Roman" w:hAnsi="Times New Roman" w:cs="Times New Roman"/>
          <w:b/>
          <w:color w:val="000000" w:themeColor="text1"/>
          <w:sz w:val="24"/>
          <w:szCs w:val="24"/>
        </w:rPr>
        <w:t xml:space="preserve">“arising out of” increased risk rules </w:t>
      </w:r>
      <w:r>
        <w:rPr>
          <w:rFonts w:ascii="Times New Roman" w:hAnsi="Times New Roman" w:cs="Times New Roman"/>
          <w:b/>
          <w:color w:val="000000" w:themeColor="text1"/>
          <w:sz w:val="24"/>
          <w:szCs w:val="24"/>
        </w:rPr>
        <w:t>embedded</w:t>
      </w:r>
      <w:r w:rsidRPr="0001589A">
        <w:rPr>
          <w:rFonts w:ascii="Times New Roman" w:hAnsi="Times New Roman" w:cs="Times New Roman"/>
          <w:b/>
          <w:color w:val="000000" w:themeColor="text1"/>
          <w:sz w:val="24"/>
          <w:szCs w:val="24"/>
        </w:rPr>
        <w:t xml:space="preserve"> in miscellaneous provisions</w:t>
      </w:r>
      <w:r>
        <w:rPr>
          <w:rFonts w:ascii="Times New Roman" w:hAnsi="Times New Roman" w:cs="Times New Roman"/>
          <w:color w:val="000000" w:themeColor="text1"/>
          <w:sz w:val="24"/>
          <w:szCs w:val="24"/>
        </w:rPr>
        <w:t>. As a general proposition, the Wyoming legislature has required a kind of increased risk test in connection with very particular types of injuries. That is the subject of the next section of this Treatise.</w:t>
      </w:r>
    </w:p>
    <w:p w14:paraId="23D1B2A4" w14:textId="77777777" w:rsidR="00FF7482" w:rsidRDefault="00FF7482" w:rsidP="006A3226">
      <w:pPr>
        <w:pStyle w:val="ListParagraph"/>
        <w:spacing w:after="0"/>
        <w:ind w:left="0" w:firstLine="720"/>
        <w:jc w:val="both"/>
        <w:rPr>
          <w:rFonts w:ascii="Times New Roman" w:hAnsi="Times New Roman" w:cs="Times New Roman"/>
          <w:color w:val="000000" w:themeColor="text1"/>
          <w:sz w:val="24"/>
          <w:szCs w:val="24"/>
        </w:rPr>
      </w:pPr>
    </w:p>
    <w:p w14:paraId="3BD0680D" w14:textId="67E02995" w:rsidR="00FF7482" w:rsidRPr="00B06642" w:rsidRDefault="00FF7482" w:rsidP="00ED25A2">
      <w:pPr>
        <w:pStyle w:val="Heading2"/>
        <w:rPr>
          <w:rFonts w:ascii="Times New Roman" w:hAnsi="Times New Roman" w:cs="Times New Roman"/>
          <w:b/>
          <w:color w:val="auto"/>
        </w:rPr>
      </w:pPr>
      <w:bookmarkStart w:id="294" w:name="_Toc75269369"/>
      <w:r w:rsidRPr="00B06642">
        <w:rPr>
          <w:rFonts w:ascii="Times New Roman" w:hAnsi="Times New Roman" w:cs="Times New Roman"/>
          <w:b/>
          <w:color w:val="auto"/>
        </w:rPr>
        <w:t>Miscellaneous Increased Risk “Arising Out Of”  Rules</w:t>
      </w:r>
      <w:bookmarkEnd w:id="294"/>
      <w:r w:rsidRPr="00B06642">
        <w:rPr>
          <w:rFonts w:ascii="Times New Roman" w:hAnsi="Times New Roman" w:cs="Times New Roman"/>
          <w:b/>
          <w:color w:val="auto"/>
        </w:rPr>
        <w:t xml:space="preserve"> </w:t>
      </w:r>
    </w:p>
    <w:p w14:paraId="66C22C0A" w14:textId="77777777" w:rsidR="00FF7482" w:rsidRDefault="00FF7482" w:rsidP="00792F27">
      <w:pPr>
        <w:pStyle w:val="ListParagraph"/>
        <w:ind w:left="0" w:right="720"/>
        <w:jc w:val="both"/>
        <w:rPr>
          <w:rFonts w:ascii="Times New Roman" w:hAnsi="Times New Roman" w:cs="Times New Roman"/>
          <w:color w:val="000000" w:themeColor="text1"/>
          <w:sz w:val="24"/>
          <w:szCs w:val="24"/>
        </w:rPr>
      </w:pPr>
    </w:p>
    <w:p w14:paraId="7D3D4158" w14:textId="6971C51B" w:rsidR="00FF7482" w:rsidRPr="001C6E28" w:rsidRDefault="00FF7482" w:rsidP="001C6E28">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Some categories of injuries are notoriously hard to analyze because it is difficult to separate work-related from non-work-related </w:t>
      </w:r>
      <w:r w:rsidRPr="008E6A46">
        <w:rPr>
          <w:rFonts w:ascii="Times New Roman" w:hAnsi="Times New Roman" w:cs="Times New Roman"/>
          <w:i/>
          <w:color w:val="000000" w:themeColor="text1"/>
          <w:sz w:val="24"/>
          <w:szCs w:val="24"/>
        </w:rPr>
        <w:t>causes</w:t>
      </w:r>
      <w:r>
        <w:rPr>
          <w:rFonts w:ascii="Times New Roman" w:hAnsi="Times New Roman" w:cs="Times New Roman"/>
          <w:color w:val="000000" w:themeColor="text1"/>
          <w:sz w:val="24"/>
          <w:szCs w:val="24"/>
        </w:rPr>
        <w:t xml:space="preserve"> of the injuries in those categories. A heart attack is a classic example. A hernia is another. Cumulative injuries are a third. About the only thing that can be said with certainty within these specialized categories of injuries is that an injury resulting from a </w:t>
      </w:r>
      <w:r w:rsidRPr="007C2C01">
        <w:rPr>
          <w:rFonts w:ascii="Times New Roman" w:hAnsi="Times New Roman" w:cs="Times New Roman"/>
          <w:b/>
          <w:color w:val="000000" w:themeColor="text1"/>
          <w:sz w:val="24"/>
          <w:szCs w:val="24"/>
        </w:rPr>
        <w:t>purely personal</w:t>
      </w:r>
      <w:r>
        <w:rPr>
          <w:rFonts w:ascii="Times New Roman" w:hAnsi="Times New Roman" w:cs="Times New Roman"/>
          <w:color w:val="000000" w:themeColor="text1"/>
          <w:sz w:val="24"/>
          <w:szCs w:val="24"/>
        </w:rPr>
        <w:t xml:space="preserve"> risk is not compensable.</w:t>
      </w:r>
      <w:r w:rsidRPr="00112C9C">
        <w:rPr>
          <w:rFonts w:ascii="Times New Roman" w:hAnsi="Times New Roman" w:cs="Times New Roman"/>
          <w:sz w:val="24"/>
          <w:szCs w:val="24"/>
          <w:vertAlign w:val="superscript"/>
        </w:rPr>
        <w:footnoteReference w:id="208"/>
      </w:r>
      <w:r>
        <w:rPr>
          <w:rFonts w:ascii="Times New Roman" w:hAnsi="Times New Roman" w:cs="Times New Roman"/>
          <w:color w:val="000000" w:themeColor="text1"/>
          <w:sz w:val="24"/>
          <w:szCs w:val="24"/>
        </w:rPr>
        <w:t xml:space="preserve"> Otherwise, the cases can take a great variety of forms in which the problem is that causes may be mixed. Under treatise law the outcome of these cases should be straightforward: “</w:t>
      </w:r>
      <w:r w:rsidRPr="00BE42ED">
        <w:rPr>
          <w:rFonts w:ascii="Times New Roman" w:hAnsi="Times New Roman" w:cs="Times New Roman"/>
          <w:color w:val="000000" w:themeColor="text1"/>
          <w:sz w:val="24"/>
          <w:szCs w:val="24"/>
        </w:rPr>
        <w:t>In broadest theoretical outline, the rule is quite simple. The law does not weigh the relative importance of the two causes, nor does it look for primary and secondary causes; it merely inquires whether the employment was a contributing factor. If it was, the concurrence of the personal cause will not defeat compensability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09"/>
      </w:r>
      <w:r>
        <w:rPr>
          <w:rFonts w:ascii="Times New Roman" w:hAnsi="Times New Roman" w:cs="Times New Roman"/>
          <w:color w:val="000000" w:themeColor="text1"/>
          <w:sz w:val="24"/>
          <w:szCs w:val="24"/>
        </w:rPr>
        <w:t xml:space="preserve"> But in some instances legislatures decline to follow general workers’ compensation causation doctrine and intervene in outcomes by statute. In the interest of economy, this Treatise moves on in Sections 3.5 through 3.11 to discuss a variety of </w:t>
      </w:r>
      <w:r w:rsidRPr="00281013">
        <w:rPr>
          <w:rFonts w:ascii="Times New Roman" w:hAnsi="Times New Roman" w:cs="Times New Roman"/>
          <w:b/>
          <w:color w:val="000000" w:themeColor="text1"/>
          <w:sz w:val="24"/>
          <w:szCs w:val="24"/>
        </w:rPr>
        <w:t>Wyoming</w:t>
      </w:r>
      <w:r>
        <w:rPr>
          <w:rFonts w:ascii="Times New Roman" w:hAnsi="Times New Roman" w:cs="Times New Roman"/>
          <w:color w:val="000000" w:themeColor="text1"/>
          <w:sz w:val="24"/>
          <w:szCs w:val="24"/>
        </w:rPr>
        <w:t xml:space="preserve"> statutory categories implicitly addressing “arising out of” problems, even if they are not characterized in that manner. </w:t>
      </w:r>
    </w:p>
    <w:p w14:paraId="74481F5F" w14:textId="14F1EE5A" w:rsidR="00336EDF" w:rsidRDefault="00336EDF" w:rsidP="001C6E28">
      <w:pPr>
        <w:spacing w:after="0"/>
        <w:jc w:val="both"/>
        <w:rPr>
          <w:rFonts w:ascii="Times New Roman" w:hAnsi="Times New Roman" w:cs="Times New Roman"/>
          <w:color w:val="000000" w:themeColor="text1"/>
          <w:sz w:val="24"/>
          <w:szCs w:val="24"/>
        </w:rPr>
      </w:pPr>
    </w:p>
    <w:p w14:paraId="20519CBB" w14:textId="75F687F3" w:rsidR="001C6E28" w:rsidRDefault="001C6E28" w:rsidP="001C6E28">
      <w:pPr>
        <w:spacing w:after="0"/>
        <w:jc w:val="both"/>
        <w:rPr>
          <w:rFonts w:ascii="Times New Roman" w:hAnsi="Times New Roman" w:cs="Times New Roman"/>
          <w:color w:val="000000" w:themeColor="text1"/>
          <w:sz w:val="24"/>
          <w:szCs w:val="24"/>
        </w:rPr>
      </w:pPr>
    </w:p>
    <w:p w14:paraId="0DCA6333" w14:textId="77777777" w:rsidR="001C6E28" w:rsidRPr="001C6E28" w:rsidRDefault="001C6E28" w:rsidP="001C6E28">
      <w:pPr>
        <w:spacing w:after="0"/>
        <w:jc w:val="both"/>
        <w:rPr>
          <w:rFonts w:ascii="Times New Roman" w:hAnsi="Times New Roman" w:cs="Times New Roman"/>
          <w:color w:val="000000" w:themeColor="text1"/>
          <w:sz w:val="24"/>
          <w:szCs w:val="24"/>
        </w:rPr>
      </w:pPr>
    </w:p>
    <w:p w14:paraId="13A37AC6" w14:textId="2BA3891D" w:rsidR="00FF7482" w:rsidRPr="00B06642" w:rsidRDefault="00FF7482" w:rsidP="00ED25A2">
      <w:pPr>
        <w:pStyle w:val="Heading2"/>
        <w:rPr>
          <w:rFonts w:ascii="Times New Roman" w:hAnsi="Times New Roman" w:cs="Times New Roman"/>
          <w:b/>
          <w:color w:val="auto"/>
        </w:rPr>
      </w:pPr>
      <w:bookmarkStart w:id="298" w:name="_Toc75269370"/>
      <w:r w:rsidRPr="00B06642">
        <w:rPr>
          <w:rFonts w:ascii="Times New Roman" w:hAnsi="Times New Roman" w:cs="Times New Roman"/>
          <w:b/>
          <w:color w:val="auto"/>
        </w:rPr>
        <w:lastRenderedPageBreak/>
        <w:t>Cumulative Injuries, Heart Attacks</w:t>
      </w:r>
      <w:r>
        <w:rPr>
          <w:rFonts w:ascii="Times New Roman" w:hAnsi="Times New Roman" w:cs="Times New Roman"/>
          <w:b/>
          <w:color w:val="auto"/>
        </w:rPr>
        <w:t>,</w:t>
      </w:r>
      <w:r w:rsidRPr="00B06642">
        <w:rPr>
          <w:rFonts w:ascii="Times New Roman" w:hAnsi="Times New Roman" w:cs="Times New Roman"/>
          <w:b/>
          <w:color w:val="auto"/>
        </w:rPr>
        <w:t xml:space="preserve"> and Herniation in Wyoming</w:t>
      </w:r>
      <w:bookmarkEnd w:id="298"/>
    </w:p>
    <w:p w14:paraId="204858E7" w14:textId="35AB6491" w:rsidR="00FF7482" w:rsidRDefault="00FF7482" w:rsidP="00DC5F22">
      <w:pPr>
        <w:pStyle w:val="ListParagraph"/>
        <w:spacing w:line="252" w:lineRule="auto"/>
        <w:ind w:left="1728"/>
        <w:rPr>
          <w:rFonts w:ascii="Times New Roman" w:hAnsi="Times New Roman" w:cs="Times New Roman"/>
          <w:color w:val="000000" w:themeColor="text1"/>
          <w:sz w:val="24"/>
          <w:szCs w:val="24"/>
        </w:rPr>
      </w:pPr>
    </w:p>
    <w:p w14:paraId="6019E6C8" w14:textId="6418CC2B" w:rsidR="00FF7482" w:rsidRDefault="00FF7482" w:rsidP="00ED25A2">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an “arising out of” perspective, the problem with cumulative injuries, heart attacks</w:t>
      </w:r>
      <w:r w:rsidR="00D0503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inguinal hernias is that each disabling condition or injury could easily have been “caused” outside of the workplace. The conditions could also have begun outside of the workplace but “culminated,” in the sense of creating work disability, within the workplace. In the words of Wyoming “arising out of” law, it can be hard to say that cumulative injuries, heart attacks, or hernias “</w:t>
      </w:r>
      <w:r w:rsidRPr="001E672E">
        <w:rPr>
          <w:rFonts w:ascii="Times New Roman" w:hAnsi="Times New Roman" w:cs="Times New Roman"/>
          <w:color w:val="000000" w:themeColor="text1"/>
          <w:sz w:val="24"/>
          <w:szCs w:val="24"/>
        </w:rPr>
        <w:t>can be seen to have followed as a natural incident of the work and to have been contemplated by a reasonable person familiar with the whole situation as a result of the exposure occasioned by the nature of the employment</w:t>
      </w:r>
      <w:r>
        <w:rPr>
          <w:rFonts w:ascii="Times New Roman" w:hAnsi="Times New Roman" w:cs="Times New Roman"/>
          <w:color w:val="000000" w:themeColor="text1"/>
          <w:sz w:val="24"/>
          <w:szCs w:val="24"/>
        </w:rPr>
        <w:t xml:space="preserve"> . . .”</w:t>
      </w:r>
      <w:r w:rsidRPr="00112C9C">
        <w:rPr>
          <w:rFonts w:ascii="Times New Roman" w:hAnsi="Times New Roman" w:cs="Times New Roman"/>
          <w:sz w:val="24"/>
          <w:szCs w:val="24"/>
          <w:vertAlign w:val="superscript"/>
        </w:rPr>
        <w:footnoteReference w:id="210"/>
      </w:r>
      <w:r>
        <w:rPr>
          <w:rFonts w:ascii="Times New Roman" w:hAnsi="Times New Roman" w:cs="Times New Roman"/>
          <w:color w:val="000000" w:themeColor="text1"/>
          <w:sz w:val="24"/>
          <w:szCs w:val="24"/>
        </w:rPr>
        <w:t xml:space="preserve"> Accordingly, apparently in recognition of these difficulties, the Wyoming legislature has placed limitations on, and made more difficult to establish, the compensability of each type of injury under </w:t>
      </w:r>
      <w:r w:rsidRPr="00CC46B2">
        <w:rPr>
          <w:rFonts w:ascii="Times New Roman" w:hAnsi="Times New Roman" w:cs="Times New Roman"/>
          <w:sz w:val="24"/>
          <w:szCs w:val="24"/>
        </w:rPr>
        <w:t xml:space="preserve">W.S. § </w:t>
      </w:r>
      <w:hyperlink r:id="rId62" w:history="1">
        <w:r w:rsidRPr="00CC46B2">
          <w:rPr>
            <w:rStyle w:val="Hyperlink"/>
            <w:rFonts w:ascii="Times New Roman" w:hAnsi="Times New Roman" w:cs="Times New Roman"/>
            <w:sz w:val="24"/>
            <w:szCs w:val="24"/>
          </w:rPr>
          <w:t>27-14-603</w:t>
        </w:r>
      </w:hyperlink>
      <w:r>
        <w:rPr>
          <w:rFonts w:ascii="Times New Roman" w:hAnsi="Times New Roman" w:cs="Times New Roman"/>
          <w:color w:val="000000" w:themeColor="text1"/>
          <w:sz w:val="24"/>
          <w:szCs w:val="24"/>
        </w:rPr>
        <w:t xml:space="preserve">. Subsection (a) of the provision defines required elements to establish the compensability of </w:t>
      </w:r>
      <w:r w:rsidRPr="00AA2B79">
        <w:rPr>
          <w:rFonts w:ascii="Times New Roman" w:hAnsi="Times New Roman" w:cs="Times New Roman"/>
          <w:color w:val="000000" w:themeColor="text1"/>
          <w:sz w:val="24"/>
          <w:szCs w:val="24"/>
        </w:rPr>
        <w:t xml:space="preserve">injuries </w:t>
      </w:r>
      <w:r w:rsidRPr="00023303">
        <w:rPr>
          <w:rFonts w:ascii="Times New Roman" w:hAnsi="Times New Roman" w:cs="Times New Roman"/>
          <w:i/>
          <w:iCs/>
          <w:color w:val="000000" w:themeColor="text1"/>
          <w:sz w:val="24"/>
          <w:szCs w:val="24"/>
        </w:rPr>
        <w:t>“which occur over a substantial period of time”</w:t>
      </w:r>
      <w:r>
        <w:rPr>
          <w:rFonts w:ascii="Times New Roman" w:hAnsi="Times New Roman" w:cs="Times New Roman"/>
          <w:color w:val="000000" w:themeColor="text1"/>
          <w:sz w:val="24"/>
          <w:szCs w:val="24"/>
        </w:rPr>
        <w:t xml:space="preserve"> (a Wyoming-specific description of injuries usually referred to nationally as “cumulative injuries”); subsection (b) of the provision covers “</w:t>
      </w:r>
      <w:r w:rsidRPr="00AA2B79">
        <w:rPr>
          <w:rFonts w:ascii="Times New Roman" w:hAnsi="Times New Roman" w:cs="Times New Roman"/>
          <w:color w:val="000000" w:themeColor="text1"/>
          <w:sz w:val="24"/>
          <w:szCs w:val="24"/>
        </w:rPr>
        <w:t xml:space="preserve">coronary conditions except those </w:t>
      </w:r>
      <w:r w:rsidRPr="00023303">
        <w:rPr>
          <w:rFonts w:ascii="Times New Roman" w:hAnsi="Times New Roman" w:cs="Times New Roman"/>
          <w:b/>
          <w:bCs/>
          <w:i/>
          <w:iCs/>
          <w:color w:val="000000" w:themeColor="text1"/>
          <w:sz w:val="24"/>
          <w:szCs w:val="24"/>
        </w:rPr>
        <w:t>directly and solely caused</w:t>
      </w:r>
      <w:r w:rsidRPr="00AA2B79">
        <w:rPr>
          <w:rFonts w:ascii="Times New Roman" w:hAnsi="Times New Roman" w:cs="Times New Roman"/>
          <w:color w:val="000000" w:themeColor="text1"/>
          <w:sz w:val="24"/>
          <w:szCs w:val="24"/>
        </w:rPr>
        <w:t xml:space="preserve"> by an injury</w:t>
      </w:r>
      <w:r>
        <w:rPr>
          <w:rFonts w:ascii="Times New Roman" w:hAnsi="Times New Roman" w:cs="Times New Roman"/>
          <w:color w:val="000000" w:themeColor="text1"/>
          <w:sz w:val="24"/>
          <w:szCs w:val="24"/>
        </w:rPr>
        <w:t>;” and subsections (c) and (d) of the provision apply to hernias.</w:t>
      </w:r>
    </w:p>
    <w:p w14:paraId="4D23D2E4" w14:textId="77777777" w:rsidR="00FF7482" w:rsidRDefault="00FF7482" w:rsidP="006A3226">
      <w:pPr>
        <w:pStyle w:val="ListParagraph"/>
        <w:spacing w:after="0"/>
        <w:ind w:left="0" w:firstLine="720"/>
        <w:jc w:val="both"/>
        <w:rPr>
          <w:rFonts w:ascii="Times New Roman" w:hAnsi="Times New Roman" w:cs="Times New Roman"/>
          <w:color w:val="000000" w:themeColor="text1"/>
          <w:sz w:val="24"/>
          <w:szCs w:val="24"/>
        </w:rPr>
      </w:pPr>
    </w:p>
    <w:p w14:paraId="3ADAE6FC" w14:textId="1CE4A469" w:rsidR="00FF7482" w:rsidRPr="00B06642" w:rsidRDefault="00FF7482" w:rsidP="00ED25A2">
      <w:pPr>
        <w:pStyle w:val="Heading2"/>
        <w:rPr>
          <w:rFonts w:ascii="Times New Roman" w:hAnsi="Times New Roman" w:cs="Times New Roman"/>
          <w:b/>
          <w:color w:val="auto"/>
        </w:rPr>
      </w:pPr>
      <w:bookmarkStart w:id="300" w:name="_Toc75269371"/>
      <w:r w:rsidRPr="00B06642">
        <w:rPr>
          <w:rFonts w:ascii="Times New Roman" w:hAnsi="Times New Roman" w:cs="Times New Roman"/>
          <w:b/>
          <w:color w:val="auto"/>
        </w:rPr>
        <w:t xml:space="preserve">Injuries </w:t>
      </w:r>
      <w:r>
        <w:rPr>
          <w:rFonts w:ascii="Times New Roman" w:hAnsi="Times New Roman" w:cs="Times New Roman"/>
          <w:b/>
          <w:color w:val="auto"/>
        </w:rPr>
        <w:t>W</w:t>
      </w:r>
      <w:r w:rsidRPr="00B06642">
        <w:rPr>
          <w:rFonts w:ascii="Times New Roman" w:hAnsi="Times New Roman" w:cs="Times New Roman"/>
          <w:b/>
          <w:color w:val="auto"/>
        </w:rPr>
        <w:t xml:space="preserve">hich </w:t>
      </w:r>
      <w:r>
        <w:rPr>
          <w:rFonts w:ascii="Times New Roman" w:hAnsi="Times New Roman" w:cs="Times New Roman"/>
          <w:b/>
          <w:color w:val="auto"/>
        </w:rPr>
        <w:t>O</w:t>
      </w:r>
      <w:r w:rsidRPr="00B06642">
        <w:rPr>
          <w:rFonts w:ascii="Times New Roman" w:hAnsi="Times New Roman" w:cs="Times New Roman"/>
          <w:b/>
          <w:color w:val="auto"/>
        </w:rPr>
        <w:t xml:space="preserve">ccur </w:t>
      </w:r>
      <w:r>
        <w:rPr>
          <w:rFonts w:ascii="Times New Roman" w:hAnsi="Times New Roman" w:cs="Times New Roman"/>
          <w:b/>
          <w:color w:val="auto"/>
        </w:rPr>
        <w:t>“O</w:t>
      </w:r>
      <w:r w:rsidRPr="00B06642">
        <w:rPr>
          <w:rFonts w:ascii="Times New Roman" w:hAnsi="Times New Roman" w:cs="Times New Roman"/>
          <w:b/>
          <w:color w:val="auto"/>
        </w:rPr>
        <w:t xml:space="preserve">ver a </w:t>
      </w:r>
      <w:r>
        <w:rPr>
          <w:rFonts w:ascii="Times New Roman" w:hAnsi="Times New Roman" w:cs="Times New Roman"/>
          <w:b/>
          <w:color w:val="auto"/>
        </w:rPr>
        <w:t>S</w:t>
      </w:r>
      <w:r w:rsidRPr="00B06642">
        <w:rPr>
          <w:rFonts w:ascii="Times New Roman" w:hAnsi="Times New Roman" w:cs="Times New Roman"/>
          <w:b/>
          <w:color w:val="auto"/>
        </w:rPr>
        <w:t xml:space="preserve">ubstantial </w:t>
      </w:r>
      <w:r>
        <w:rPr>
          <w:rFonts w:ascii="Times New Roman" w:hAnsi="Times New Roman" w:cs="Times New Roman"/>
          <w:b/>
          <w:color w:val="auto"/>
        </w:rPr>
        <w:t>P</w:t>
      </w:r>
      <w:r w:rsidRPr="00B06642">
        <w:rPr>
          <w:rFonts w:ascii="Times New Roman" w:hAnsi="Times New Roman" w:cs="Times New Roman"/>
          <w:b/>
          <w:color w:val="auto"/>
        </w:rPr>
        <w:t xml:space="preserve">eriod of </w:t>
      </w:r>
      <w:r>
        <w:rPr>
          <w:rFonts w:ascii="Times New Roman" w:hAnsi="Times New Roman" w:cs="Times New Roman"/>
          <w:b/>
          <w:color w:val="auto"/>
        </w:rPr>
        <w:t>T</w:t>
      </w:r>
      <w:r w:rsidRPr="00B06642">
        <w:rPr>
          <w:rFonts w:ascii="Times New Roman" w:hAnsi="Times New Roman" w:cs="Times New Roman"/>
          <w:b/>
          <w:color w:val="auto"/>
        </w:rPr>
        <w:t>ime</w:t>
      </w:r>
      <w:r>
        <w:rPr>
          <w:rFonts w:ascii="Times New Roman" w:hAnsi="Times New Roman" w:cs="Times New Roman"/>
          <w:b/>
          <w:color w:val="auto"/>
        </w:rPr>
        <w:t>”</w:t>
      </w:r>
      <w:bookmarkEnd w:id="300"/>
      <w:r w:rsidRPr="00B06642">
        <w:rPr>
          <w:rFonts w:ascii="Times New Roman" w:hAnsi="Times New Roman" w:cs="Times New Roman"/>
          <w:b/>
          <w:color w:val="auto"/>
        </w:rPr>
        <w:t xml:space="preserve"> </w:t>
      </w:r>
    </w:p>
    <w:p w14:paraId="5A17ACF1" w14:textId="0084D54A" w:rsidR="000A07F0" w:rsidRDefault="00D0503E" w:rsidP="000A07F0">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br/>
      </w:r>
      <w:bookmarkStart w:id="301" w:name="_Hlk26188459"/>
      <w:r w:rsidR="00FF7482" w:rsidRPr="00D0503E">
        <w:rPr>
          <w:rFonts w:ascii="Times New Roman" w:hAnsi="Times New Roman" w:cs="Times New Roman"/>
          <w:sz w:val="24"/>
          <w:szCs w:val="24"/>
        </w:rPr>
        <w:t>W.S</w:t>
      </w:r>
      <w:bookmarkStart w:id="302" w:name="_Hlk518111739"/>
      <w:r w:rsidR="00FF7482" w:rsidRPr="00D0503E">
        <w:rPr>
          <w:rFonts w:ascii="Times New Roman" w:hAnsi="Times New Roman" w:cs="Times New Roman"/>
          <w:sz w:val="24"/>
          <w:szCs w:val="24"/>
        </w:rPr>
        <w:t xml:space="preserve">. § </w:t>
      </w:r>
      <w:hyperlink r:id="rId63" w:history="1">
        <w:r w:rsidR="00FF7482" w:rsidRPr="00D0503E">
          <w:rPr>
            <w:rStyle w:val="Hyperlink"/>
            <w:rFonts w:ascii="Times New Roman" w:hAnsi="Times New Roman" w:cs="Times New Roman"/>
            <w:sz w:val="24"/>
            <w:szCs w:val="24"/>
          </w:rPr>
          <w:t>27-14-603</w:t>
        </w:r>
      </w:hyperlink>
      <w:r w:rsidR="00FF7482" w:rsidRPr="00D0503E">
        <w:rPr>
          <w:rFonts w:ascii="Times New Roman" w:hAnsi="Times New Roman" w:cs="Times New Roman"/>
          <w:sz w:val="24"/>
          <w:szCs w:val="24"/>
        </w:rPr>
        <w:t>(a)</w:t>
      </w:r>
      <w:bookmarkEnd w:id="302"/>
      <w:r w:rsidR="00FF7482" w:rsidRPr="00D0503E">
        <w:rPr>
          <w:rFonts w:ascii="Times New Roman" w:hAnsi="Times New Roman" w:cs="Times New Roman"/>
          <w:color w:val="000000" w:themeColor="text1"/>
          <w:sz w:val="24"/>
          <w:szCs w:val="24"/>
        </w:rPr>
        <w:t xml:space="preserve"> states:</w:t>
      </w:r>
    </w:p>
    <w:p w14:paraId="02F717CE" w14:textId="77777777" w:rsidR="000A07F0" w:rsidRDefault="000A07F0" w:rsidP="000A07F0">
      <w:pPr>
        <w:spacing w:after="0"/>
        <w:jc w:val="both"/>
        <w:rPr>
          <w:rFonts w:ascii="Times New Roman" w:hAnsi="Times New Roman" w:cs="Times New Roman"/>
          <w:color w:val="000000" w:themeColor="text1"/>
          <w:sz w:val="24"/>
          <w:szCs w:val="24"/>
        </w:rPr>
      </w:pPr>
    </w:p>
    <w:p w14:paraId="59E3DA95" w14:textId="56DC4629" w:rsidR="00E3008F" w:rsidRPr="009207B3" w:rsidRDefault="00FF7482" w:rsidP="00E3008F">
      <w:pPr>
        <w:ind w:left="720" w:right="720"/>
        <w:jc w:val="both"/>
        <w:rPr>
          <w:rFonts w:ascii="Times New Roman" w:hAnsi="Times New Roman" w:cs="Times New Roman"/>
          <w:color w:val="000000" w:themeColor="text1"/>
          <w:sz w:val="24"/>
          <w:szCs w:val="24"/>
        </w:rPr>
      </w:pPr>
      <w:r w:rsidRPr="000A07F0">
        <w:rPr>
          <w:rFonts w:ascii="Times New Roman" w:hAnsi="Times New Roman" w:cs="Times New Roman"/>
          <w:color w:val="000000" w:themeColor="text1"/>
          <w:sz w:val="24"/>
          <w:szCs w:val="24"/>
        </w:rPr>
        <w:t xml:space="preserve">(a) The burden of proof in contested cases </w:t>
      </w:r>
      <w:r w:rsidR="004F5E2C">
        <w:rPr>
          <w:rFonts w:ascii="Times New Roman" w:hAnsi="Times New Roman" w:cs="Times New Roman"/>
          <w:color w:val="000000" w:themeColor="text1"/>
          <w:sz w:val="24"/>
          <w:szCs w:val="24"/>
        </w:rPr>
        <w:t>involving</w:t>
      </w:r>
      <w:r w:rsidRPr="000A07F0">
        <w:rPr>
          <w:rFonts w:ascii="Times New Roman" w:hAnsi="Times New Roman" w:cs="Times New Roman"/>
          <w:color w:val="000000" w:themeColor="text1"/>
          <w:sz w:val="24"/>
          <w:szCs w:val="24"/>
        </w:rPr>
        <w:t xml:space="preserve"> </w:t>
      </w:r>
      <w:r w:rsidRPr="000A07F0">
        <w:rPr>
          <w:rFonts w:ascii="Times New Roman" w:hAnsi="Times New Roman" w:cs="Times New Roman"/>
          <w:b/>
          <w:color w:val="000000" w:themeColor="text1"/>
          <w:sz w:val="24"/>
          <w:szCs w:val="24"/>
        </w:rPr>
        <w:t xml:space="preserve">injuries which occur over a substantial period of time </w:t>
      </w:r>
      <w:r w:rsidRPr="000A07F0">
        <w:rPr>
          <w:rFonts w:ascii="Times New Roman" w:hAnsi="Times New Roman" w:cs="Times New Roman"/>
          <w:color w:val="000000" w:themeColor="text1"/>
          <w:sz w:val="24"/>
          <w:szCs w:val="24"/>
        </w:rPr>
        <w:t>is on the employee to prove by competent medical authority that his claim arose out of and in the course of his employment and to prove by a preponderance of evidence that:</w:t>
      </w:r>
    </w:p>
    <w:p w14:paraId="50664732" w14:textId="7EC627B9" w:rsidR="00E3008F" w:rsidRPr="009207B3" w:rsidRDefault="00FF7482" w:rsidP="00E3008F">
      <w:pPr>
        <w:ind w:left="1440" w:right="720"/>
        <w:jc w:val="both"/>
        <w:rPr>
          <w:rFonts w:ascii="Times New Roman" w:hAnsi="Times New Roman" w:cs="Times New Roman"/>
          <w:color w:val="000000" w:themeColor="text1"/>
          <w:sz w:val="24"/>
          <w:szCs w:val="24"/>
        </w:rPr>
      </w:pPr>
      <w:r w:rsidRPr="009207B3">
        <w:rPr>
          <w:rFonts w:ascii="Times New Roman" w:hAnsi="Times New Roman" w:cs="Times New Roman"/>
          <w:color w:val="000000" w:themeColor="text1"/>
          <w:sz w:val="24"/>
          <w:szCs w:val="24"/>
        </w:rPr>
        <w:t xml:space="preserve">(i) There is a </w:t>
      </w:r>
      <w:r w:rsidRPr="009207B3">
        <w:rPr>
          <w:rFonts w:ascii="Times New Roman" w:hAnsi="Times New Roman" w:cs="Times New Roman"/>
          <w:b/>
          <w:color w:val="000000" w:themeColor="text1"/>
          <w:sz w:val="24"/>
          <w:szCs w:val="24"/>
        </w:rPr>
        <w:t>direct causal connection</w:t>
      </w:r>
      <w:r w:rsidRPr="009207B3">
        <w:rPr>
          <w:rFonts w:ascii="Times New Roman" w:hAnsi="Times New Roman" w:cs="Times New Roman"/>
          <w:color w:val="000000" w:themeColor="text1"/>
          <w:sz w:val="24"/>
          <w:szCs w:val="24"/>
        </w:rPr>
        <w:t xml:space="preserve"> between the condition or circumstances under which the work is performed and the injury;</w:t>
      </w:r>
    </w:p>
    <w:p w14:paraId="7CCF623A" w14:textId="79AD93B5" w:rsidR="00FF7482" w:rsidRPr="00D134B8" w:rsidRDefault="00FF7482" w:rsidP="009207B3">
      <w:pPr>
        <w:pStyle w:val="ListParagraph"/>
        <w:ind w:left="1440" w:right="720"/>
        <w:contextualSpacing w:val="0"/>
        <w:jc w:val="both"/>
        <w:rPr>
          <w:rFonts w:ascii="Times New Roman" w:hAnsi="Times New Roman" w:cs="Times New Roman"/>
          <w:color w:val="000000" w:themeColor="text1"/>
          <w:sz w:val="24"/>
          <w:szCs w:val="24"/>
        </w:rPr>
      </w:pPr>
      <w:r w:rsidRPr="00D134B8">
        <w:rPr>
          <w:rFonts w:ascii="Times New Roman" w:hAnsi="Times New Roman" w:cs="Times New Roman"/>
          <w:color w:val="000000" w:themeColor="text1"/>
          <w:sz w:val="24"/>
          <w:szCs w:val="24"/>
        </w:rPr>
        <w:t xml:space="preserve">(ii) The </w:t>
      </w:r>
      <w:r w:rsidRPr="00D134B8">
        <w:rPr>
          <w:rFonts w:ascii="Times New Roman" w:hAnsi="Times New Roman" w:cs="Times New Roman"/>
          <w:b/>
          <w:color w:val="000000" w:themeColor="text1"/>
          <w:sz w:val="24"/>
          <w:szCs w:val="24"/>
        </w:rPr>
        <w:t>injury can be seen to have followed as a natural incident of the work</w:t>
      </w:r>
      <w:r w:rsidRPr="00D134B8">
        <w:rPr>
          <w:rFonts w:ascii="Times New Roman" w:hAnsi="Times New Roman" w:cs="Times New Roman"/>
          <w:color w:val="000000" w:themeColor="text1"/>
          <w:sz w:val="24"/>
          <w:szCs w:val="24"/>
        </w:rPr>
        <w:t xml:space="preserve"> as a result of the employment;</w:t>
      </w:r>
    </w:p>
    <w:p w14:paraId="3AF847AD" w14:textId="6CA6273D" w:rsidR="00FF7482" w:rsidRPr="00D134B8" w:rsidRDefault="00FF7482" w:rsidP="009207B3">
      <w:pPr>
        <w:pStyle w:val="ListParagraph"/>
        <w:ind w:left="1440" w:right="720"/>
        <w:contextualSpacing w:val="0"/>
        <w:jc w:val="both"/>
        <w:rPr>
          <w:rFonts w:ascii="Times New Roman" w:hAnsi="Times New Roman" w:cs="Times New Roman"/>
          <w:color w:val="000000" w:themeColor="text1"/>
          <w:sz w:val="24"/>
          <w:szCs w:val="24"/>
        </w:rPr>
      </w:pPr>
      <w:r w:rsidRPr="00D134B8">
        <w:rPr>
          <w:rFonts w:ascii="Times New Roman" w:hAnsi="Times New Roman" w:cs="Times New Roman"/>
          <w:color w:val="000000" w:themeColor="text1"/>
          <w:sz w:val="24"/>
          <w:szCs w:val="24"/>
        </w:rPr>
        <w:t xml:space="preserve">(iii) The injury can </w:t>
      </w:r>
      <w:r w:rsidRPr="00D134B8">
        <w:rPr>
          <w:rFonts w:ascii="Times New Roman" w:hAnsi="Times New Roman" w:cs="Times New Roman"/>
          <w:b/>
          <w:color w:val="000000" w:themeColor="text1"/>
          <w:sz w:val="24"/>
          <w:szCs w:val="24"/>
        </w:rPr>
        <w:t>fairly be traced to the employment as a proximate cause</w:t>
      </w:r>
      <w:r w:rsidRPr="00D134B8">
        <w:rPr>
          <w:rFonts w:ascii="Times New Roman" w:hAnsi="Times New Roman" w:cs="Times New Roman"/>
          <w:color w:val="000000" w:themeColor="text1"/>
          <w:sz w:val="24"/>
          <w:szCs w:val="24"/>
        </w:rPr>
        <w:t>;</w:t>
      </w:r>
    </w:p>
    <w:p w14:paraId="61E29462" w14:textId="3D3C43D3" w:rsidR="00FF7482" w:rsidRPr="00D134B8" w:rsidRDefault="00FF7482" w:rsidP="009207B3">
      <w:pPr>
        <w:pStyle w:val="ListParagraph"/>
        <w:ind w:left="1440" w:right="720"/>
        <w:contextualSpacing w:val="0"/>
        <w:jc w:val="both"/>
        <w:rPr>
          <w:rFonts w:ascii="Times New Roman" w:hAnsi="Times New Roman" w:cs="Times New Roman"/>
          <w:color w:val="000000" w:themeColor="text1"/>
          <w:sz w:val="24"/>
          <w:szCs w:val="24"/>
        </w:rPr>
      </w:pPr>
      <w:r w:rsidRPr="00D134B8">
        <w:rPr>
          <w:rFonts w:ascii="Times New Roman" w:hAnsi="Times New Roman" w:cs="Times New Roman"/>
          <w:color w:val="000000" w:themeColor="text1"/>
          <w:sz w:val="24"/>
          <w:szCs w:val="24"/>
        </w:rPr>
        <w:lastRenderedPageBreak/>
        <w:t xml:space="preserve">(iv) The </w:t>
      </w:r>
      <w:r w:rsidRPr="00D134B8">
        <w:rPr>
          <w:rFonts w:ascii="Times New Roman" w:hAnsi="Times New Roman" w:cs="Times New Roman"/>
          <w:b/>
          <w:color w:val="000000" w:themeColor="text1"/>
          <w:sz w:val="24"/>
          <w:szCs w:val="24"/>
        </w:rPr>
        <w:t>injury does not come from a hazard to which employees would have been equally exposed outside of the employment</w:t>
      </w:r>
      <w:r w:rsidRPr="00D134B8">
        <w:rPr>
          <w:rFonts w:ascii="Times New Roman" w:hAnsi="Times New Roman" w:cs="Times New Roman"/>
          <w:color w:val="000000" w:themeColor="text1"/>
          <w:sz w:val="24"/>
          <w:szCs w:val="24"/>
        </w:rPr>
        <w:t>; and</w:t>
      </w:r>
    </w:p>
    <w:p w14:paraId="76864D3A" w14:textId="2F196D7F" w:rsidR="00FF7482" w:rsidRDefault="00FF7482" w:rsidP="009207B3">
      <w:pPr>
        <w:pStyle w:val="ListParagraph"/>
        <w:spacing w:after="0"/>
        <w:ind w:left="1440" w:right="720"/>
        <w:contextualSpacing w:val="0"/>
        <w:jc w:val="both"/>
        <w:rPr>
          <w:rFonts w:ascii="Times New Roman" w:hAnsi="Times New Roman" w:cs="Times New Roman"/>
          <w:color w:val="000000" w:themeColor="text1"/>
          <w:sz w:val="24"/>
          <w:szCs w:val="24"/>
        </w:rPr>
      </w:pPr>
      <w:r w:rsidRPr="00D134B8">
        <w:rPr>
          <w:rFonts w:ascii="Times New Roman" w:hAnsi="Times New Roman" w:cs="Times New Roman"/>
          <w:color w:val="000000" w:themeColor="text1"/>
          <w:sz w:val="24"/>
          <w:szCs w:val="24"/>
        </w:rPr>
        <w:t xml:space="preserve">(v) The injury is </w:t>
      </w:r>
      <w:r w:rsidRPr="00D134B8">
        <w:rPr>
          <w:rFonts w:ascii="Times New Roman" w:hAnsi="Times New Roman" w:cs="Times New Roman"/>
          <w:b/>
          <w:color w:val="000000" w:themeColor="text1"/>
          <w:sz w:val="24"/>
          <w:szCs w:val="24"/>
        </w:rPr>
        <w:t>incidental to the character of the business</w:t>
      </w:r>
      <w:r w:rsidRPr="00D134B8">
        <w:rPr>
          <w:rFonts w:ascii="Times New Roman" w:hAnsi="Times New Roman" w:cs="Times New Roman"/>
          <w:color w:val="000000" w:themeColor="text1"/>
          <w:sz w:val="24"/>
          <w:szCs w:val="24"/>
        </w:rPr>
        <w:t xml:space="preserve"> and not independent of the relation of employer and employee.</w:t>
      </w:r>
    </w:p>
    <w:bookmarkEnd w:id="301"/>
    <w:p w14:paraId="7D8A6EAF" w14:textId="77777777" w:rsidR="000E29EB" w:rsidRPr="000E29EB" w:rsidRDefault="000E29EB" w:rsidP="000E29EB">
      <w:pPr>
        <w:pStyle w:val="ListParagraph"/>
        <w:spacing w:after="0"/>
        <w:ind w:left="1080" w:right="720"/>
        <w:contextualSpacing w:val="0"/>
        <w:jc w:val="both"/>
        <w:rPr>
          <w:rFonts w:ascii="Times New Roman" w:hAnsi="Times New Roman" w:cs="Times New Roman"/>
          <w:color w:val="000000" w:themeColor="text1"/>
          <w:sz w:val="24"/>
          <w:szCs w:val="24"/>
        </w:rPr>
      </w:pPr>
    </w:p>
    <w:p w14:paraId="502B9853" w14:textId="2F701DE8" w:rsidR="00FF7482" w:rsidRDefault="00FF7482" w:rsidP="000E29EB">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entire language of the subsection is </w:t>
      </w:r>
      <w:r w:rsidRPr="00267155">
        <w:rPr>
          <w:rFonts w:ascii="Times New Roman" w:hAnsi="Times New Roman" w:cs="Times New Roman"/>
          <w:b/>
          <w:color w:val="000000" w:themeColor="text1"/>
          <w:sz w:val="24"/>
          <w:szCs w:val="24"/>
          <w:u w:val="single"/>
        </w:rPr>
        <w:t>evocative of the increased risk test</w:t>
      </w:r>
      <w:r>
        <w:rPr>
          <w:rFonts w:ascii="Times New Roman" w:hAnsi="Times New Roman" w:cs="Times New Roman"/>
          <w:color w:val="000000" w:themeColor="text1"/>
          <w:sz w:val="24"/>
          <w:szCs w:val="24"/>
        </w:rPr>
        <w:t xml:space="preserve"> previously discussed. </w:t>
      </w:r>
      <w:r w:rsidRPr="00262FB4">
        <w:rPr>
          <w:rFonts w:ascii="Times New Roman" w:hAnsi="Times New Roman" w:cs="Times New Roman"/>
          <w:b/>
          <w:bCs/>
          <w:color w:val="000000" w:themeColor="text1"/>
          <w:sz w:val="24"/>
          <w:szCs w:val="24"/>
        </w:rPr>
        <w:t>“</w:t>
      </w:r>
      <w:r w:rsidRPr="009D630C">
        <w:rPr>
          <w:rFonts w:ascii="Times New Roman" w:hAnsi="Times New Roman" w:cs="Times New Roman"/>
          <w:b/>
          <w:color w:val="000000" w:themeColor="text1"/>
          <w:sz w:val="24"/>
          <w:szCs w:val="24"/>
        </w:rPr>
        <w:t>When an injury arises over time, a claimant's burden of proof is enhanced</w:t>
      </w:r>
      <w:r w:rsidRPr="00836445">
        <w:rPr>
          <w:rFonts w:ascii="Times New Roman" w:hAnsi="Times New Roman" w:cs="Times New Roman"/>
          <w:b/>
          <w:color w:val="000000" w:themeColor="text1"/>
          <w:sz w:val="24"/>
          <w:szCs w:val="24"/>
        </w:rPr>
        <w:t>.”</w:t>
      </w:r>
      <w:r w:rsidRPr="00112C9C">
        <w:rPr>
          <w:rFonts w:ascii="Times New Roman" w:hAnsi="Times New Roman" w:cs="Times New Roman"/>
          <w:bCs/>
          <w:sz w:val="24"/>
          <w:szCs w:val="24"/>
          <w:vertAlign w:val="superscript"/>
        </w:rPr>
        <w:footnoteReference w:id="211"/>
      </w:r>
      <w:r w:rsidRPr="003A6FE6">
        <w:rPr>
          <w:rFonts w:ascii="Times New Roman" w:hAnsi="Times New Roman" w:cs="Times New Roman"/>
          <w:bCs/>
          <w:color w:val="000000" w:themeColor="text1"/>
          <w:sz w:val="24"/>
          <w:szCs w:val="24"/>
        </w:rPr>
        <w:t xml:space="preserve"> </w:t>
      </w:r>
      <w:r w:rsidRPr="00836445">
        <w:rPr>
          <w:rFonts w:ascii="Times New Roman" w:hAnsi="Times New Roman" w:cs="Times New Roman"/>
          <w:b/>
          <w:color w:val="000000" w:themeColor="text1"/>
          <w:sz w:val="24"/>
          <w:szCs w:val="24"/>
        </w:rPr>
        <w:t>Although the statute specifically enumerates five elements, “they are closely related because each contributes to indicate whether the employment environment caused the injury. Therefore, the same evidence will often offer support to several of the elements.”</w:t>
      </w:r>
      <w:r w:rsidRPr="00112C9C">
        <w:rPr>
          <w:rFonts w:ascii="Times New Roman" w:hAnsi="Times New Roman" w:cs="Times New Roman"/>
          <w:sz w:val="24"/>
          <w:szCs w:val="24"/>
          <w:vertAlign w:val="superscript"/>
        </w:rPr>
        <w:footnoteReference w:id="212"/>
      </w:r>
      <w:r w:rsidRPr="00354EDA">
        <w:rPr>
          <w:rFonts w:ascii="Times New Roman" w:hAnsi="Times New Roman" w:cs="Times New Roman"/>
          <w:color w:val="000000" w:themeColor="text1"/>
          <w:sz w:val="24"/>
          <w:szCs w:val="24"/>
        </w:rPr>
        <w:t xml:space="preserve"> </w:t>
      </w:r>
    </w:p>
    <w:p w14:paraId="747DDB18" w14:textId="49339258" w:rsidR="00FF7482" w:rsidRDefault="00262FB4" w:rsidP="000E29EB">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00FF7482">
        <w:rPr>
          <w:rFonts w:ascii="Times New Roman" w:hAnsi="Times New Roman" w:cs="Times New Roman"/>
          <w:color w:val="000000" w:themeColor="text1"/>
          <w:sz w:val="24"/>
          <w:szCs w:val="24"/>
        </w:rPr>
        <w:t xml:space="preserve">For example, in </w:t>
      </w:r>
      <w:r w:rsidR="00FF7482" w:rsidRPr="00BD6E88">
        <w:rPr>
          <w:rFonts w:ascii="Times New Roman" w:hAnsi="Times New Roman" w:cs="Times New Roman"/>
          <w:i/>
          <w:color w:val="000000" w:themeColor="text1"/>
          <w:sz w:val="24"/>
          <w:szCs w:val="24"/>
        </w:rPr>
        <w:t xml:space="preserve">Sanchez v. Workers’ Safety </w:t>
      </w:r>
      <w:r w:rsidR="00FF7482">
        <w:rPr>
          <w:rFonts w:ascii="Times New Roman" w:hAnsi="Times New Roman" w:cs="Times New Roman"/>
          <w:i/>
          <w:color w:val="000000" w:themeColor="text1"/>
          <w:sz w:val="24"/>
          <w:szCs w:val="24"/>
        </w:rPr>
        <w:t>&amp;</w:t>
      </w:r>
      <w:r w:rsidR="00FF7482" w:rsidRPr="00BD6E88">
        <w:rPr>
          <w:rFonts w:ascii="Times New Roman" w:hAnsi="Times New Roman" w:cs="Times New Roman"/>
          <w:i/>
          <w:color w:val="000000" w:themeColor="text1"/>
          <w:sz w:val="24"/>
          <w:szCs w:val="24"/>
        </w:rPr>
        <w:t xml:space="preserve"> Compensation Div</w:t>
      </w:r>
      <w:r w:rsidR="00FF7482">
        <w:rPr>
          <w:rFonts w:ascii="Times New Roman" w:hAnsi="Times New Roman" w:cs="Times New Roman"/>
          <w:i/>
          <w:color w:val="000000" w:themeColor="text1"/>
          <w:sz w:val="24"/>
          <w:szCs w:val="24"/>
        </w:rPr>
        <w:t>.</w:t>
      </w:r>
      <w:r w:rsidR="00FF7482">
        <w:rPr>
          <w:rFonts w:ascii="Times New Roman" w:hAnsi="Times New Roman" w:cs="Times New Roman"/>
          <w:color w:val="000000" w:themeColor="text1"/>
          <w:sz w:val="24"/>
          <w:szCs w:val="24"/>
        </w:rPr>
        <w:t>,</w:t>
      </w:r>
      <w:r w:rsidR="00FF7482" w:rsidRPr="00112C9C">
        <w:rPr>
          <w:rFonts w:ascii="Times New Roman" w:hAnsi="Times New Roman" w:cs="Times New Roman"/>
          <w:sz w:val="24"/>
          <w:szCs w:val="24"/>
          <w:vertAlign w:val="superscript"/>
        </w:rPr>
        <w:footnoteReference w:id="213"/>
      </w:r>
      <w:r w:rsidR="00FF7482">
        <w:rPr>
          <w:rFonts w:ascii="Times New Roman" w:hAnsi="Times New Roman" w:cs="Times New Roman"/>
          <w:color w:val="000000" w:themeColor="text1"/>
          <w:sz w:val="24"/>
          <w:szCs w:val="24"/>
        </w:rPr>
        <w:t xml:space="preserve"> </w:t>
      </w:r>
      <w:r w:rsidR="00FF7482" w:rsidRPr="00354EDA">
        <w:rPr>
          <w:rFonts w:ascii="Times New Roman" w:hAnsi="Times New Roman" w:cs="Times New Roman"/>
          <w:color w:val="000000" w:themeColor="text1"/>
          <w:sz w:val="24"/>
          <w:szCs w:val="24"/>
        </w:rPr>
        <w:t>Elsie Sanchez sought workers</w:t>
      </w:r>
      <w:r w:rsidR="00FF7482">
        <w:rPr>
          <w:rFonts w:ascii="Times New Roman" w:hAnsi="Times New Roman" w:cs="Times New Roman"/>
          <w:color w:val="000000" w:themeColor="text1"/>
          <w:sz w:val="24"/>
          <w:szCs w:val="24"/>
        </w:rPr>
        <w:t>’</w:t>
      </w:r>
      <w:r w:rsidR="00FF7482" w:rsidRPr="00354EDA">
        <w:rPr>
          <w:rFonts w:ascii="Times New Roman" w:hAnsi="Times New Roman" w:cs="Times New Roman"/>
          <w:color w:val="000000" w:themeColor="text1"/>
          <w:sz w:val="24"/>
          <w:szCs w:val="24"/>
        </w:rPr>
        <w:t xml:space="preserve"> compensation benefits alleging that she developed thoracic outlet syndrome during her employment with Carbon County School District # 1. The Division denied </w:t>
      </w:r>
      <w:r w:rsidR="00FF7482">
        <w:rPr>
          <w:rFonts w:ascii="Times New Roman" w:hAnsi="Times New Roman" w:cs="Times New Roman"/>
          <w:color w:val="000000" w:themeColor="text1"/>
          <w:sz w:val="24"/>
          <w:szCs w:val="24"/>
        </w:rPr>
        <w:t xml:space="preserve">Sanchez </w:t>
      </w:r>
      <w:r w:rsidR="00FF7482" w:rsidRPr="00354EDA">
        <w:rPr>
          <w:rFonts w:ascii="Times New Roman" w:hAnsi="Times New Roman" w:cs="Times New Roman"/>
          <w:color w:val="000000" w:themeColor="text1"/>
          <w:sz w:val="24"/>
          <w:szCs w:val="24"/>
        </w:rPr>
        <w:t xml:space="preserve">benefits, and, after a contested case hearing, the Medical Commission determined that </w:t>
      </w:r>
      <w:r w:rsidR="00FF7482">
        <w:rPr>
          <w:rFonts w:ascii="Times New Roman" w:hAnsi="Times New Roman" w:cs="Times New Roman"/>
          <w:color w:val="000000" w:themeColor="text1"/>
          <w:sz w:val="24"/>
          <w:szCs w:val="24"/>
        </w:rPr>
        <w:t>Sanchez’s</w:t>
      </w:r>
      <w:r w:rsidR="00FF7482" w:rsidRPr="00354EDA">
        <w:rPr>
          <w:rFonts w:ascii="Times New Roman" w:hAnsi="Times New Roman" w:cs="Times New Roman"/>
          <w:color w:val="000000" w:themeColor="text1"/>
          <w:sz w:val="24"/>
          <w:szCs w:val="24"/>
        </w:rPr>
        <w:t xml:space="preserve"> symptoms were not compensable. On appeal, the district court affirmed the Commission's decision.</w:t>
      </w:r>
      <w:r w:rsidR="00FF7482" w:rsidRPr="00112C9C">
        <w:rPr>
          <w:rFonts w:ascii="Times New Roman" w:hAnsi="Times New Roman" w:cs="Times New Roman"/>
          <w:sz w:val="24"/>
          <w:szCs w:val="24"/>
          <w:vertAlign w:val="superscript"/>
        </w:rPr>
        <w:footnoteReference w:id="214"/>
      </w:r>
      <w:r w:rsidR="00FF7482">
        <w:rPr>
          <w:rFonts w:ascii="Times New Roman" w:hAnsi="Times New Roman" w:cs="Times New Roman"/>
          <w:color w:val="000000" w:themeColor="text1"/>
          <w:sz w:val="24"/>
          <w:szCs w:val="24"/>
        </w:rPr>
        <w:t xml:space="preserve"> The Wyoming Supreme Court, in upholding the denial, explained that the medical evidence in the case was conflicting and that in connection with the medical evidence credited by the Medical Commission—that based on “</w:t>
      </w:r>
      <w:r w:rsidR="00FF7482" w:rsidRPr="004B03BB">
        <w:rPr>
          <w:rFonts w:ascii="Times New Roman" w:hAnsi="Times New Roman" w:cs="Times New Roman"/>
          <w:color w:val="000000" w:themeColor="text1"/>
          <w:sz w:val="24"/>
          <w:szCs w:val="24"/>
        </w:rPr>
        <w:t>the claimant's entire medical history, that evidence did not exist to support a finding of occupational TOS</w:t>
      </w:r>
      <w:r w:rsidR="00FF7482">
        <w:rPr>
          <w:rFonts w:ascii="Times New Roman" w:hAnsi="Times New Roman" w:cs="Times New Roman"/>
          <w:color w:val="000000" w:themeColor="text1"/>
          <w:sz w:val="24"/>
          <w:szCs w:val="24"/>
        </w:rPr>
        <w:t>”—the Medical Commission was justified in denying the claim because the claimant had failed to prove the claim through competent medical authority and especially in light of the enhanced burden of proof</w:t>
      </w:r>
      <w:r w:rsidR="00FF7482" w:rsidRPr="004B03BB">
        <w:rPr>
          <w:rFonts w:ascii="Times New Roman" w:hAnsi="Times New Roman" w:cs="Times New Roman"/>
          <w:color w:val="000000" w:themeColor="text1"/>
          <w:sz w:val="24"/>
          <w:szCs w:val="24"/>
        </w:rPr>
        <w:t>.</w:t>
      </w:r>
      <w:r w:rsidR="00FF7482" w:rsidRPr="00112C9C">
        <w:rPr>
          <w:rFonts w:ascii="Times New Roman" w:hAnsi="Times New Roman" w:cs="Times New Roman"/>
          <w:sz w:val="24"/>
          <w:szCs w:val="24"/>
          <w:vertAlign w:val="superscript"/>
        </w:rPr>
        <w:footnoteReference w:id="215"/>
      </w:r>
    </w:p>
    <w:p w14:paraId="0D241C69" w14:textId="77777777" w:rsidR="00FF7482" w:rsidRDefault="00FF7482" w:rsidP="000E29EB">
      <w:pPr>
        <w:pStyle w:val="ListParagraph"/>
        <w:ind w:left="0" w:firstLine="720"/>
        <w:jc w:val="both"/>
        <w:rPr>
          <w:rFonts w:ascii="Times New Roman" w:hAnsi="Times New Roman" w:cs="Times New Roman"/>
          <w:color w:val="000000" w:themeColor="text1"/>
          <w:sz w:val="24"/>
          <w:szCs w:val="24"/>
        </w:rPr>
      </w:pPr>
    </w:p>
    <w:p w14:paraId="78C016B4" w14:textId="4CFE42B9" w:rsidR="00FF7482" w:rsidRPr="00C3704A" w:rsidRDefault="00FF7482" w:rsidP="000E29EB">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Pr="00BD6E88">
        <w:rPr>
          <w:rFonts w:ascii="Times New Roman" w:hAnsi="Times New Roman" w:cs="Times New Roman"/>
          <w:i/>
          <w:color w:val="000000" w:themeColor="text1"/>
          <w:sz w:val="24"/>
          <w:szCs w:val="24"/>
        </w:rPr>
        <w:t>Baxter v. Sinclair Oil Corp</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16"/>
      </w:r>
      <w:r>
        <w:rPr>
          <w:rFonts w:ascii="Times New Roman" w:hAnsi="Times New Roman" w:cs="Times New Roman"/>
          <w:color w:val="000000" w:themeColor="text1"/>
          <w:sz w:val="24"/>
          <w:szCs w:val="24"/>
        </w:rPr>
        <w:t xml:space="preserve"> on the other hand, the Wyoming Supreme Court reversed a decision of a hearing officer finding that Baxter was </w:t>
      </w:r>
      <w:r w:rsidRPr="00023303">
        <w:rPr>
          <w:rFonts w:ascii="Times New Roman" w:hAnsi="Times New Roman" w:cs="Times New Roman"/>
          <w:i/>
          <w:iCs/>
          <w:color w:val="000000" w:themeColor="text1"/>
          <w:sz w:val="24"/>
          <w:szCs w:val="24"/>
        </w:rPr>
        <w:t>not</w:t>
      </w:r>
      <w:r>
        <w:rPr>
          <w:rFonts w:ascii="Times New Roman" w:hAnsi="Times New Roman" w:cs="Times New Roman"/>
          <w:color w:val="000000" w:themeColor="text1"/>
          <w:sz w:val="24"/>
          <w:szCs w:val="24"/>
        </w:rPr>
        <w:t xml:space="preserve"> entitled to benefits for a back condition. The hearing officer decided upon the denial, at least in part, because none of the medical evidence stated that “</w:t>
      </w:r>
      <w:r w:rsidRPr="00BD6E88">
        <w:rPr>
          <w:rFonts w:ascii="Times New Roman" w:hAnsi="Times New Roman" w:cs="Times New Roman"/>
          <w:color w:val="000000" w:themeColor="text1"/>
          <w:sz w:val="24"/>
          <w:szCs w:val="24"/>
        </w:rPr>
        <w:t xml:space="preserve">the injury did not come from a hazard outside employment and that the condition was incidental to Baxter's </w:t>
      </w:r>
      <w:r w:rsidRPr="00BD6E88">
        <w:rPr>
          <w:rFonts w:ascii="Times New Roman" w:hAnsi="Times New Roman" w:cs="Times New Roman"/>
          <w:color w:val="000000" w:themeColor="text1"/>
          <w:sz w:val="24"/>
          <w:szCs w:val="24"/>
        </w:rPr>
        <w:lastRenderedPageBreak/>
        <w:t>employment as a mechanic.”</w:t>
      </w:r>
      <w:r w:rsidRPr="00112C9C">
        <w:rPr>
          <w:rFonts w:ascii="Times New Roman" w:hAnsi="Times New Roman" w:cs="Times New Roman"/>
          <w:sz w:val="24"/>
          <w:szCs w:val="24"/>
          <w:vertAlign w:val="superscript"/>
        </w:rPr>
        <w:footnoteReference w:id="217"/>
      </w:r>
      <w:r>
        <w:rPr>
          <w:rFonts w:ascii="Times New Roman" w:hAnsi="Times New Roman" w:cs="Times New Roman"/>
          <w:color w:val="000000" w:themeColor="text1"/>
          <w:sz w:val="24"/>
          <w:szCs w:val="24"/>
        </w:rPr>
        <w:t xml:space="preserve"> The Wyoming Supreme Court found, contrary to the hearing officer, that medical testimony in the record supported the view that </w:t>
      </w:r>
      <w:r w:rsidRPr="00C3704A">
        <w:rPr>
          <w:rFonts w:ascii="Times New Roman" w:hAnsi="Times New Roman" w:cs="Times New Roman"/>
          <w:color w:val="000000" w:themeColor="text1"/>
          <w:sz w:val="24"/>
          <w:szCs w:val="24"/>
        </w:rPr>
        <w:t xml:space="preserve">it was </w:t>
      </w:r>
      <w:r>
        <w:rPr>
          <w:rFonts w:ascii="Times New Roman" w:hAnsi="Times New Roman" w:cs="Times New Roman"/>
          <w:color w:val="000000" w:themeColor="text1"/>
          <w:sz w:val="24"/>
          <w:szCs w:val="24"/>
        </w:rPr>
        <w:t>Baxter’s</w:t>
      </w:r>
      <w:r w:rsidRPr="00C3704A">
        <w:rPr>
          <w:rFonts w:ascii="Times New Roman" w:hAnsi="Times New Roman" w:cs="Times New Roman"/>
          <w:color w:val="000000" w:themeColor="text1"/>
          <w:sz w:val="24"/>
          <w:szCs w:val="24"/>
        </w:rPr>
        <w:t xml:space="preserve"> work-related activities that caused his lower back pain</w:t>
      </w:r>
      <w:r>
        <w:rPr>
          <w:rFonts w:ascii="Times New Roman" w:hAnsi="Times New Roman" w:cs="Times New Roman"/>
          <w:color w:val="000000" w:themeColor="text1"/>
          <w:sz w:val="24"/>
          <w:szCs w:val="24"/>
        </w:rPr>
        <w:t xml:space="preserve"> </w:t>
      </w:r>
      <w:r w:rsidRPr="00C3704A">
        <w:rPr>
          <w:rFonts w:ascii="Times New Roman" w:hAnsi="Times New Roman" w:cs="Times New Roman"/>
          <w:color w:val="000000" w:themeColor="text1"/>
          <w:sz w:val="24"/>
          <w:szCs w:val="24"/>
        </w:rPr>
        <w:t>over time</w:t>
      </w:r>
      <w:r>
        <w:rPr>
          <w:rFonts w:ascii="Times New Roman" w:hAnsi="Times New Roman" w:cs="Times New Roman"/>
          <w:color w:val="000000" w:themeColor="text1"/>
          <w:sz w:val="24"/>
          <w:szCs w:val="24"/>
        </w:rPr>
        <w:t>. In addition to proving by competent evidence that his back condition arose out of and in the course of employment,  the Court’s review revealed</w:t>
      </w:r>
      <w:r w:rsidRPr="00C3704A">
        <w:rPr>
          <w:rFonts w:ascii="Times New Roman" w:hAnsi="Times New Roman" w:cs="Times New Roman"/>
          <w:color w:val="000000" w:themeColor="text1"/>
          <w:sz w:val="24"/>
          <w:szCs w:val="24"/>
        </w:rPr>
        <w:t xml:space="preserve"> that</w:t>
      </w:r>
      <w:r>
        <w:rPr>
          <w:rFonts w:ascii="Times New Roman" w:hAnsi="Times New Roman" w:cs="Times New Roman"/>
          <w:color w:val="000000" w:themeColor="text1"/>
          <w:sz w:val="24"/>
          <w:szCs w:val="24"/>
        </w:rPr>
        <w:t xml:space="preserve"> one of the deposed physicians</w:t>
      </w:r>
      <w:r w:rsidRPr="00C3704A">
        <w:rPr>
          <w:rFonts w:ascii="Times New Roman" w:hAnsi="Times New Roman" w:cs="Times New Roman"/>
          <w:color w:val="000000" w:themeColor="text1"/>
          <w:sz w:val="24"/>
          <w:szCs w:val="24"/>
        </w:rPr>
        <w:t xml:space="preserve"> had considered whether Baxter's condition was caused by aging or natural progression of his preexisting condition and had rejected those factors because of Baxter</w:t>
      </w:r>
      <w:r>
        <w:rPr>
          <w:rFonts w:ascii="Times New Roman" w:hAnsi="Times New Roman" w:cs="Times New Roman"/>
          <w:color w:val="000000" w:themeColor="text1"/>
          <w:sz w:val="24"/>
          <w:szCs w:val="24"/>
        </w:rPr>
        <w:t>’</w:t>
      </w:r>
      <w:r w:rsidRPr="00C3704A">
        <w:rPr>
          <w:rFonts w:ascii="Times New Roman" w:hAnsi="Times New Roman" w:cs="Times New Roman"/>
          <w:color w:val="000000" w:themeColor="text1"/>
          <w:sz w:val="24"/>
          <w:szCs w:val="24"/>
        </w:rPr>
        <w:t xml:space="preserve">s </w:t>
      </w:r>
      <w:r>
        <w:rPr>
          <w:rFonts w:ascii="Times New Roman" w:hAnsi="Times New Roman" w:cs="Times New Roman"/>
          <w:color w:val="000000" w:themeColor="text1"/>
          <w:sz w:val="24"/>
          <w:szCs w:val="24"/>
        </w:rPr>
        <w:t xml:space="preserve">relative </w:t>
      </w:r>
      <w:r w:rsidRPr="00C3704A">
        <w:rPr>
          <w:rFonts w:ascii="Times New Roman" w:hAnsi="Times New Roman" w:cs="Times New Roman"/>
          <w:color w:val="000000" w:themeColor="text1"/>
          <w:sz w:val="24"/>
          <w:szCs w:val="24"/>
        </w:rPr>
        <w:t>youth</w:t>
      </w:r>
      <w:r>
        <w:rPr>
          <w:rFonts w:ascii="Times New Roman" w:hAnsi="Times New Roman" w:cs="Times New Roman"/>
          <w:color w:val="000000" w:themeColor="text1"/>
          <w:sz w:val="24"/>
          <w:szCs w:val="24"/>
        </w:rPr>
        <w:t xml:space="preserve"> (he was thirty-eight)</w:t>
      </w:r>
      <w:r w:rsidRPr="00C3704A">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heavy </w:t>
      </w:r>
      <w:r w:rsidRPr="00C3704A">
        <w:rPr>
          <w:rFonts w:ascii="Times New Roman" w:hAnsi="Times New Roman" w:cs="Times New Roman"/>
          <w:color w:val="000000" w:themeColor="text1"/>
          <w:sz w:val="24"/>
          <w:szCs w:val="24"/>
        </w:rPr>
        <w:t xml:space="preserve">working conditions. </w:t>
      </w:r>
      <w:r>
        <w:rPr>
          <w:rFonts w:ascii="Times New Roman" w:hAnsi="Times New Roman" w:cs="Times New Roman"/>
          <w:color w:val="000000" w:themeColor="text1"/>
          <w:sz w:val="24"/>
          <w:szCs w:val="24"/>
        </w:rPr>
        <w:t>At hearing</w:t>
      </w:r>
      <w:r w:rsidRPr="00C3704A">
        <w:rPr>
          <w:rFonts w:ascii="Times New Roman" w:hAnsi="Times New Roman" w:cs="Times New Roman"/>
          <w:color w:val="000000" w:themeColor="text1"/>
          <w:sz w:val="24"/>
          <w:szCs w:val="24"/>
        </w:rPr>
        <w:t>, Baxter</w:t>
      </w:r>
      <w:r>
        <w:rPr>
          <w:rFonts w:ascii="Times New Roman" w:hAnsi="Times New Roman" w:cs="Times New Roman"/>
          <w:color w:val="000000" w:themeColor="text1"/>
          <w:sz w:val="24"/>
          <w:szCs w:val="24"/>
        </w:rPr>
        <w:t xml:space="preserve"> denied, without contradiction, having</w:t>
      </w:r>
      <w:r w:rsidRPr="00C3704A">
        <w:rPr>
          <w:rFonts w:ascii="Times New Roman" w:hAnsi="Times New Roman" w:cs="Times New Roman"/>
          <w:color w:val="000000" w:themeColor="text1"/>
          <w:sz w:val="24"/>
          <w:szCs w:val="24"/>
        </w:rPr>
        <w:t xml:space="preserve"> engaged in </w:t>
      </w:r>
      <w:r>
        <w:rPr>
          <w:rFonts w:ascii="Times New Roman" w:hAnsi="Times New Roman" w:cs="Times New Roman"/>
          <w:color w:val="000000" w:themeColor="text1"/>
          <w:sz w:val="24"/>
          <w:szCs w:val="24"/>
        </w:rPr>
        <w:t xml:space="preserve">physically demanding outside </w:t>
      </w:r>
      <w:r w:rsidRPr="00C3704A">
        <w:rPr>
          <w:rFonts w:ascii="Times New Roman" w:hAnsi="Times New Roman" w:cs="Times New Roman"/>
          <w:color w:val="000000" w:themeColor="text1"/>
          <w:sz w:val="24"/>
          <w:szCs w:val="24"/>
        </w:rPr>
        <w:t>activities</w:t>
      </w:r>
      <w:r>
        <w:rPr>
          <w:rFonts w:ascii="Times New Roman" w:hAnsi="Times New Roman" w:cs="Times New Roman"/>
          <w:color w:val="000000" w:themeColor="text1"/>
          <w:sz w:val="24"/>
          <w:szCs w:val="24"/>
        </w:rPr>
        <w:t>, satisfying element four of the “substantial period of time” test. The Court concluded he satisfied the heightened proof requirements of Section 603(a)</w:t>
      </w:r>
      <w:r w:rsidR="00F611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7204A8F0" w14:textId="77777777" w:rsidR="00FF7482" w:rsidRDefault="00FF7482" w:rsidP="002B621D">
      <w:pPr>
        <w:pStyle w:val="ListParagraph"/>
        <w:ind w:left="0" w:firstLine="720"/>
        <w:jc w:val="both"/>
        <w:rPr>
          <w:rFonts w:ascii="Times New Roman" w:hAnsi="Times New Roman" w:cs="Times New Roman"/>
          <w:i/>
          <w:color w:val="000000" w:themeColor="text1"/>
          <w:sz w:val="24"/>
          <w:szCs w:val="24"/>
        </w:rPr>
      </w:pPr>
    </w:p>
    <w:p w14:paraId="00315FF2" w14:textId="7B222BE5" w:rsidR="00FF7482" w:rsidRDefault="00FF7482" w:rsidP="000E29EB">
      <w:pPr>
        <w:pStyle w:val="ListParagraph"/>
        <w:spacing w:after="0"/>
        <w:ind w:left="0"/>
        <w:jc w:val="both"/>
        <w:rPr>
          <w:rFonts w:ascii="Times New Roman" w:hAnsi="Times New Roman" w:cs="Times New Roman"/>
          <w:color w:val="000000" w:themeColor="text1"/>
          <w:sz w:val="24"/>
          <w:szCs w:val="24"/>
        </w:rPr>
      </w:pPr>
      <w:r w:rsidRPr="00641113">
        <w:rPr>
          <w:rFonts w:ascii="Times New Roman" w:hAnsi="Times New Roman" w:cs="Times New Roman"/>
          <w:i/>
          <w:color w:val="000000" w:themeColor="text1"/>
          <w:sz w:val="24"/>
          <w:szCs w:val="24"/>
        </w:rPr>
        <w:t>Baxter</w:t>
      </w:r>
      <w:r>
        <w:rPr>
          <w:rFonts w:ascii="Times New Roman" w:hAnsi="Times New Roman" w:cs="Times New Roman"/>
          <w:color w:val="000000" w:themeColor="text1"/>
          <w:sz w:val="24"/>
          <w:szCs w:val="24"/>
        </w:rPr>
        <w:t xml:space="preserve"> highlights an interesting evidentiary and doctrinal problem with the fourth (“substantial period of time”) element. How can a plaintiff affirmatively prove that an injury “</w:t>
      </w:r>
      <w:r w:rsidRPr="00023303">
        <w:rPr>
          <w:rFonts w:ascii="Times New Roman" w:hAnsi="Times New Roman" w:cs="Times New Roman"/>
          <w:i/>
          <w:iCs/>
          <w:color w:val="000000" w:themeColor="text1"/>
          <w:sz w:val="24"/>
          <w:szCs w:val="24"/>
        </w:rPr>
        <w:t>does not come from</w:t>
      </w:r>
      <w:r w:rsidRPr="004E4D08">
        <w:rPr>
          <w:rFonts w:ascii="Times New Roman" w:hAnsi="Times New Roman" w:cs="Times New Roman"/>
          <w:color w:val="000000" w:themeColor="text1"/>
          <w:sz w:val="24"/>
          <w:szCs w:val="24"/>
        </w:rPr>
        <w:t xml:space="preserve"> a hazard to which employees would have been equally exposed outside of the employment</w:t>
      </w:r>
      <w:r>
        <w:rPr>
          <w:rFonts w:ascii="Times New Roman" w:hAnsi="Times New Roman" w:cs="Times New Roman"/>
          <w:color w:val="000000" w:themeColor="text1"/>
          <w:sz w:val="24"/>
          <w:szCs w:val="24"/>
        </w:rPr>
        <w:t xml:space="preserve">?” </w:t>
      </w:r>
      <w:bookmarkStart w:id="311" w:name="_Hlk24631891"/>
      <w:r>
        <w:rPr>
          <w:rFonts w:ascii="Times New Roman" w:hAnsi="Times New Roman" w:cs="Times New Roman"/>
          <w:color w:val="000000" w:themeColor="text1"/>
          <w:sz w:val="24"/>
          <w:szCs w:val="24"/>
        </w:rPr>
        <w:t xml:space="preserve">Since there are presumably a very large number of hazards that fit the bill, it is hard to know when a claimant will have eliminated enough possibilities to have satisfied the element. </w:t>
      </w:r>
      <w:bookmarkEnd w:id="311"/>
      <w:r>
        <w:rPr>
          <w:rFonts w:ascii="Times New Roman" w:hAnsi="Times New Roman" w:cs="Times New Roman"/>
          <w:color w:val="000000" w:themeColor="text1"/>
          <w:sz w:val="24"/>
          <w:szCs w:val="24"/>
        </w:rPr>
        <w:t xml:space="preserve">The claimant prevailed in </w:t>
      </w:r>
      <w:r w:rsidRPr="00C20F09">
        <w:rPr>
          <w:rFonts w:ascii="Times New Roman" w:hAnsi="Times New Roman" w:cs="Times New Roman"/>
          <w:i/>
          <w:iCs/>
          <w:color w:val="000000" w:themeColor="text1"/>
          <w:sz w:val="24"/>
          <w:szCs w:val="24"/>
        </w:rPr>
        <w:t>Baxter</w:t>
      </w:r>
      <w:r>
        <w:rPr>
          <w:rFonts w:ascii="Times New Roman" w:hAnsi="Times New Roman" w:cs="Times New Roman"/>
          <w:color w:val="000000" w:themeColor="text1"/>
          <w:sz w:val="24"/>
          <w:szCs w:val="24"/>
        </w:rPr>
        <w:t xml:space="preserve">, but </w:t>
      </w:r>
      <w:r w:rsidRPr="00C20F09">
        <w:rPr>
          <w:rFonts w:ascii="Times New Roman" w:hAnsi="Times New Roman" w:cs="Times New Roman"/>
          <w:i/>
          <w:iCs/>
          <w:color w:val="000000" w:themeColor="text1"/>
          <w:sz w:val="24"/>
          <w:szCs w:val="24"/>
        </w:rPr>
        <w:t>proving the negative</w:t>
      </w:r>
      <w:r>
        <w:rPr>
          <w:rFonts w:ascii="Times New Roman" w:hAnsi="Times New Roman" w:cs="Times New Roman"/>
          <w:color w:val="000000" w:themeColor="text1"/>
          <w:sz w:val="24"/>
          <w:szCs w:val="24"/>
        </w:rPr>
        <w:t xml:space="preserve"> seems a daunting proof problem.</w:t>
      </w:r>
    </w:p>
    <w:p w14:paraId="75F75B3E" w14:textId="77777777" w:rsidR="00FF7482" w:rsidRDefault="00FF7482" w:rsidP="006A3226">
      <w:pPr>
        <w:pStyle w:val="ListParagraph"/>
        <w:spacing w:after="0"/>
        <w:ind w:left="0" w:firstLine="720"/>
        <w:jc w:val="both"/>
        <w:rPr>
          <w:rFonts w:ascii="Times New Roman" w:hAnsi="Times New Roman" w:cs="Times New Roman"/>
          <w:color w:val="000000" w:themeColor="text1"/>
          <w:sz w:val="24"/>
          <w:szCs w:val="24"/>
        </w:rPr>
      </w:pPr>
    </w:p>
    <w:p w14:paraId="757958A9" w14:textId="6D3E7B89" w:rsidR="00FF7482" w:rsidRPr="00B06642" w:rsidRDefault="00FF7482" w:rsidP="009207B3">
      <w:pPr>
        <w:pStyle w:val="Heading2"/>
        <w:rPr>
          <w:rFonts w:ascii="Times New Roman" w:hAnsi="Times New Roman" w:cs="Times New Roman"/>
          <w:b/>
          <w:color w:val="auto"/>
        </w:rPr>
      </w:pPr>
      <w:bookmarkStart w:id="312" w:name="_Toc75269372"/>
      <w:r w:rsidRPr="00B06642">
        <w:rPr>
          <w:rFonts w:ascii="Times New Roman" w:hAnsi="Times New Roman" w:cs="Times New Roman"/>
          <w:b/>
          <w:color w:val="auto"/>
        </w:rPr>
        <w:t>Coronary</w:t>
      </w:r>
      <w:r>
        <w:rPr>
          <w:rFonts w:ascii="Times New Roman" w:hAnsi="Times New Roman" w:cs="Times New Roman"/>
          <w:b/>
          <w:color w:val="auto"/>
        </w:rPr>
        <w:t xml:space="preserve"> Conditions</w:t>
      </w:r>
      <w:r w:rsidRPr="00B06642">
        <w:rPr>
          <w:rFonts w:ascii="Times New Roman" w:hAnsi="Times New Roman" w:cs="Times New Roman"/>
          <w:b/>
          <w:color w:val="auto"/>
        </w:rPr>
        <w:t xml:space="preserve"> </w:t>
      </w:r>
      <w:r>
        <w:rPr>
          <w:rFonts w:ascii="Times New Roman" w:hAnsi="Times New Roman" w:cs="Times New Roman"/>
          <w:b/>
          <w:color w:val="auto"/>
        </w:rPr>
        <w:t>in Wyoming</w:t>
      </w:r>
      <w:bookmarkEnd w:id="312"/>
    </w:p>
    <w:p w14:paraId="053F4364" w14:textId="77777777" w:rsidR="00B81026" w:rsidRDefault="00B81026" w:rsidP="003638DD">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br/>
      </w:r>
      <w:r w:rsidRPr="00B81026">
        <w:rPr>
          <w:rFonts w:ascii="Times New Roman" w:hAnsi="Times New Roman" w:cs="Times New Roman"/>
          <w:sz w:val="24"/>
          <w:szCs w:val="24"/>
        </w:rPr>
        <w:t xml:space="preserve">W.S. § </w:t>
      </w:r>
      <w:hyperlink r:id="rId64" w:history="1">
        <w:r w:rsidRPr="00B81026">
          <w:rPr>
            <w:rStyle w:val="Hyperlink"/>
            <w:rFonts w:ascii="Times New Roman" w:hAnsi="Times New Roman" w:cs="Times New Roman"/>
            <w:sz w:val="24"/>
            <w:szCs w:val="24"/>
          </w:rPr>
          <w:t>27-14-603</w:t>
        </w:r>
      </w:hyperlink>
      <w:r w:rsidRPr="00B81026">
        <w:rPr>
          <w:rFonts w:ascii="Times New Roman" w:hAnsi="Times New Roman" w:cs="Times New Roman"/>
          <w:color w:val="000000" w:themeColor="text1"/>
          <w:sz w:val="24"/>
          <w:szCs w:val="24"/>
        </w:rPr>
        <w:t>(b) states:</w:t>
      </w:r>
    </w:p>
    <w:p w14:paraId="1D82A807" w14:textId="77777777" w:rsidR="003638DD" w:rsidRDefault="00B81026" w:rsidP="000E29EB">
      <w:pPr>
        <w:spacing w:after="0"/>
        <w:ind w:left="720" w:righ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C9C97B6" w14:textId="5EF23E5F" w:rsidR="00FF7482" w:rsidRPr="00E3008F" w:rsidRDefault="00FF7482" w:rsidP="00E3008F">
      <w:pPr>
        <w:ind w:left="720" w:right="720"/>
        <w:jc w:val="both"/>
        <w:rPr>
          <w:rFonts w:ascii="Times New Roman" w:hAnsi="Times New Roman" w:cs="Times New Roman"/>
          <w:color w:val="000000" w:themeColor="text1"/>
          <w:sz w:val="24"/>
          <w:szCs w:val="24"/>
        </w:rPr>
      </w:pPr>
      <w:r w:rsidRPr="000C1A69">
        <w:rPr>
          <w:rFonts w:ascii="Times New Roman" w:hAnsi="Times New Roman" w:cs="Times New Roman"/>
          <w:color w:val="000000" w:themeColor="text1"/>
          <w:sz w:val="24"/>
          <w:szCs w:val="24"/>
        </w:rPr>
        <w:t>Benefits for employment-related coronary conditions</w:t>
      </w:r>
      <w:r>
        <w:rPr>
          <w:rFonts w:ascii="Times New Roman" w:hAnsi="Times New Roman" w:cs="Times New Roman"/>
          <w:color w:val="000000" w:themeColor="text1"/>
          <w:sz w:val="24"/>
          <w:szCs w:val="24"/>
        </w:rPr>
        <w:t>,</w:t>
      </w:r>
      <w:r w:rsidRPr="000C1A69">
        <w:rPr>
          <w:rFonts w:ascii="Times New Roman" w:hAnsi="Times New Roman" w:cs="Times New Roman"/>
          <w:color w:val="000000" w:themeColor="text1"/>
          <w:sz w:val="24"/>
          <w:szCs w:val="24"/>
        </w:rPr>
        <w:t xml:space="preserve"> except those </w:t>
      </w:r>
      <w:r w:rsidRPr="00C20F09">
        <w:rPr>
          <w:rFonts w:ascii="Times New Roman" w:hAnsi="Times New Roman" w:cs="Times New Roman"/>
          <w:b/>
          <w:bCs/>
          <w:color w:val="000000" w:themeColor="text1"/>
          <w:sz w:val="24"/>
          <w:szCs w:val="24"/>
        </w:rPr>
        <w:t>directly and solely</w:t>
      </w:r>
      <w:r w:rsidRPr="000C1A69">
        <w:rPr>
          <w:rFonts w:ascii="Times New Roman" w:hAnsi="Times New Roman" w:cs="Times New Roman"/>
          <w:color w:val="000000" w:themeColor="text1"/>
          <w:sz w:val="24"/>
          <w:szCs w:val="24"/>
        </w:rPr>
        <w:t xml:space="preserve"> caused by an injury, are not payable unless the employee establishes by competent medical authority that:</w:t>
      </w:r>
    </w:p>
    <w:p w14:paraId="0FFD8CB9" w14:textId="033CF31E" w:rsidR="00FF7482" w:rsidRPr="000C1A69" w:rsidRDefault="00FF7482" w:rsidP="00E3008F">
      <w:pPr>
        <w:pStyle w:val="ListParagraph"/>
        <w:ind w:left="1440" w:right="720"/>
        <w:contextualSpacing w:val="0"/>
        <w:jc w:val="both"/>
        <w:rPr>
          <w:rFonts w:ascii="Times New Roman" w:hAnsi="Times New Roman" w:cs="Times New Roman"/>
          <w:color w:val="000000" w:themeColor="text1"/>
          <w:sz w:val="24"/>
          <w:szCs w:val="24"/>
        </w:rPr>
      </w:pPr>
      <w:r w:rsidRPr="000C1A69">
        <w:rPr>
          <w:rFonts w:ascii="Times New Roman" w:hAnsi="Times New Roman" w:cs="Times New Roman"/>
          <w:color w:val="000000" w:themeColor="text1"/>
          <w:sz w:val="24"/>
          <w:szCs w:val="24"/>
        </w:rPr>
        <w:t xml:space="preserve">(i) There is a </w:t>
      </w:r>
      <w:r w:rsidRPr="00B65807">
        <w:rPr>
          <w:rFonts w:ascii="Times New Roman" w:hAnsi="Times New Roman" w:cs="Times New Roman"/>
          <w:b/>
          <w:color w:val="000000" w:themeColor="text1"/>
          <w:sz w:val="24"/>
          <w:szCs w:val="24"/>
        </w:rPr>
        <w:t>direct causal connection between the condition under which the work was performed and the cardiac condition</w:t>
      </w:r>
      <w:r w:rsidRPr="000C1A69">
        <w:rPr>
          <w:rFonts w:ascii="Times New Roman" w:hAnsi="Times New Roman" w:cs="Times New Roman"/>
          <w:color w:val="000000" w:themeColor="text1"/>
          <w:sz w:val="24"/>
          <w:szCs w:val="24"/>
        </w:rPr>
        <w:t>; and</w:t>
      </w:r>
    </w:p>
    <w:p w14:paraId="0D0C4E15" w14:textId="46AA2C26" w:rsidR="00FF7482" w:rsidRPr="000C1A69" w:rsidRDefault="00FF7482" w:rsidP="003638DD">
      <w:pPr>
        <w:pStyle w:val="ListParagraph"/>
        <w:ind w:left="1440" w:right="720"/>
        <w:contextualSpacing w:val="0"/>
        <w:jc w:val="both"/>
        <w:rPr>
          <w:rFonts w:ascii="Times New Roman" w:hAnsi="Times New Roman" w:cs="Times New Roman"/>
          <w:color w:val="000000" w:themeColor="text1"/>
          <w:sz w:val="24"/>
          <w:szCs w:val="24"/>
        </w:rPr>
      </w:pPr>
      <w:r w:rsidRPr="000C1A69">
        <w:rPr>
          <w:rFonts w:ascii="Times New Roman" w:hAnsi="Times New Roman" w:cs="Times New Roman"/>
          <w:color w:val="000000" w:themeColor="text1"/>
          <w:sz w:val="24"/>
          <w:szCs w:val="24"/>
        </w:rPr>
        <w:t xml:space="preserve">(ii) The </w:t>
      </w:r>
      <w:r w:rsidRPr="00B65807">
        <w:rPr>
          <w:rFonts w:ascii="Times New Roman" w:hAnsi="Times New Roman" w:cs="Times New Roman"/>
          <w:b/>
          <w:color w:val="000000" w:themeColor="text1"/>
          <w:sz w:val="24"/>
          <w:szCs w:val="24"/>
        </w:rPr>
        <w:t>causative exertion occurs during the actual period of employment stress clearly unusual to or abnormal for employees in that particular employment</w:t>
      </w:r>
      <w:r w:rsidRPr="000C1A69">
        <w:rPr>
          <w:rFonts w:ascii="Times New Roman" w:hAnsi="Times New Roman" w:cs="Times New Roman"/>
          <w:color w:val="000000" w:themeColor="text1"/>
          <w:sz w:val="24"/>
          <w:szCs w:val="24"/>
        </w:rPr>
        <w:t>, irrespective of whether the employment stress is unusual to or abnormal for the individual employee; and</w:t>
      </w:r>
    </w:p>
    <w:p w14:paraId="0E7B526A" w14:textId="24084B26" w:rsidR="00FF7482" w:rsidRDefault="00FF7482" w:rsidP="003638DD">
      <w:pPr>
        <w:pStyle w:val="ListParagraph"/>
        <w:spacing w:after="0"/>
        <w:ind w:left="1440" w:right="720"/>
        <w:contextualSpacing w:val="0"/>
        <w:jc w:val="both"/>
        <w:rPr>
          <w:rFonts w:ascii="Times New Roman" w:hAnsi="Times New Roman" w:cs="Times New Roman"/>
          <w:color w:val="000000" w:themeColor="text1"/>
          <w:sz w:val="24"/>
          <w:szCs w:val="24"/>
        </w:rPr>
      </w:pPr>
      <w:r w:rsidRPr="000C1A69">
        <w:rPr>
          <w:rFonts w:ascii="Times New Roman" w:hAnsi="Times New Roman" w:cs="Times New Roman"/>
          <w:color w:val="000000" w:themeColor="text1"/>
          <w:sz w:val="24"/>
          <w:szCs w:val="24"/>
        </w:rPr>
        <w:t xml:space="preserve">(iii) The </w:t>
      </w:r>
      <w:r w:rsidRPr="00B65807">
        <w:rPr>
          <w:rFonts w:ascii="Times New Roman" w:hAnsi="Times New Roman" w:cs="Times New Roman"/>
          <w:b/>
          <w:color w:val="000000" w:themeColor="text1"/>
          <w:sz w:val="24"/>
          <w:szCs w:val="24"/>
        </w:rPr>
        <w:t>acute symptoms of the cardiac condition are clearly manifested not later than four (4) hours after</w:t>
      </w:r>
      <w:r w:rsidRPr="000C1A69">
        <w:rPr>
          <w:rFonts w:ascii="Times New Roman" w:hAnsi="Times New Roman" w:cs="Times New Roman"/>
          <w:color w:val="000000" w:themeColor="text1"/>
          <w:sz w:val="24"/>
          <w:szCs w:val="24"/>
        </w:rPr>
        <w:t xml:space="preserve"> the alleged causative exertion.</w:t>
      </w:r>
    </w:p>
    <w:p w14:paraId="6D37BC41" w14:textId="77777777" w:rsidR="000E29EB" w:rsidRPr="000E29EB" w:rsidRDefault="000E29EB" w:rsidP="000E29EB">
      <w:pPr>
        <w:pStyle w:val="ListParagraph"/>
        <w:spacing w:after="0"/>
        <w:ind w:left="1080" w:right="720"/>
        <w:contextualSpacing w:val="0"/>
        <w:jc w:val="both"/>
        <w:rPr>
          <w:rFonts w:ascii="Times New Roman" w:hAnsi="Times New Roman" w:cs="Times New Roman"/>
          <w:color w:val="000000" w:themeColor="text1"/>
          <w:sz w:val="24"/>
          <w:szCs w:val="24"/>
        </w:rPr>
      </w:pPr>
    </w:p>
    <w:p w14:paraId="35DF0966" w14:textId="68D88916" w:rsidR="00FF7482" w:rsidRDefault="00FF7482" w:rsidP="000E29EB">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first point to make is that </w:t>
      </w:r>
      <w:r w:rsidRPr="002315AB">
        <w:rPr>
          <w:rFonts w:ascii="Times New Roman" w:hAnsi="Times New Roman" w:cs="Times New Roman"/>
          <w:b/>
          <w:color w:val="000000" w:themeColor="text1"/>
          <w:sz w:val="24"/>
          <w:szCs w:val="24"/>
        </w:rPr>
        <w:t xml:space="preserve">this provision applies </w:t>
      </w:r>
      <w:r w:rsidRPr="00267155">
        <w:rPr>
          <w:rFonts w:ascii="Times New Roman" w:hAnsi="Times New Roman" w:cs="Times New Roman"/>
          <w:b/>
          <w:color w:val="000000" w:themeColor="text1"/>
          <w:sz w:val="24"/>
          <w:szCs w:val="24"/>
          <w:u w:val="single"/>
        </w:rPr>
        <w:t>only</w:t>
      </w:r>
      <w:r w:rsidRPr="002315AB">
        <w:rPr>
          <w:rFonts w:ascii="Times New Roman" w:hAnsi="Times New Roman" w:cs="Times New Roman"/>
          <w:b/>
          <w:color w:val="000000" w:themeColor="text1"/>
          <w:sz w:val="24"/>
          <w:szCs w:val="24"/>
        </w:rPr>
        <w:t xml:space="preserve"> where a coronary condition is </w:t>
      </w:r>
      <w:r w:rsidRPr="00267155">
        <w:rPr>
          <w:rFonts w:ascii="Times New Roman" w:hAnsi="Times New Roman" w:cs="Times New Roman"/>
          <w:b/>
          <w:i/>
          <w:color w:val="000000" w:themeColor="text1"/>
          <w:sz w:val="24"/>
          <w:szCs w:val="24"/>
          <w:u w:val="single"/>
        </w:rPr>
        <w:t>not</w:t>
      </w:r>
      <w:r w:rsidRPr="002315AB">
        <w:rPr>
          <w:rFonts w:ascii="Times New Roman" w:hAnsi="Times New Roman" w:cs="Times New Roman"/>
          <w:b/>
          <w:color w:val="000000" w:themeColor="text1"/>
          <w:sz w:val="24"/>
          <w:szCs w:val="24"/>
        </w:rPr>
        <w:t xml:space="preserve"> directly and solely caused by a work-related injury</w:t>
      </w:r>
      <w:r w:rsidRPr="004F5E2C">
        <w:rPr>
          <w:rFonts w:ascii="Times New Roman" w:hAnsi="Times New Roman" w:cs="Times New Roman"/>
          <w:bCs/>
          <w:color w:val="000000" w:themeColor="text1"/>
          <w:sz w:val="24"/>
          <w:szCs w:val="24"/>
        </w:rPr>
        <w:t>.</w:t>
      </w:r>
      <w:r w:rsidRPr="002315AB">
        <w:rPr>
          <w:rFonts w:ascii="Times New Roman" w:hAnsi="Times New Roman" w:cs="Times New Roman"/>
          <w:b/>
          <w:color w:val="000000" w:themeColor="text1"/>
          <w:sz w:val="24"/>
          <w:szCs w:val="24"/>
        </w:rPr>
        <w:t xml:space="preserve"> Where </w:t>
      </w:r>
      <w:r w:rsidRPr="00B65807">
        <w:rPr>
          <w:rFonts w:ascii="Times New Roman" w:hAnsi="Times New Roman" w:cs="Times New Roman"/>
          <w:b/>
          <w:color w:val="000000" w:themeColor="text1"/>
          <w:sz w:val="24"/>
          <w:szCs w:val="24"/>
          <w:u w:val="single"/>
        </w:rPr>
        <w:t>direct and sole</w:t>
      </w:r>
      <w:r w:rsidRPr="002315AB">
        <w:rPr>
          <w:rFonts w:ascii="Times New Roman" w:hAnsi="Times New Roman" w:cs="Times New Roman"/>
          <w:b/>
          <w:color w:val="000000" w:themeColor="text1"/>
          <w:sz w:val="24"/>
          <w:szCs w:val="24"/>
        </w:rPr>
        <w:t xml:space="preserve"> causation is established</w:t>
      </w:r>
      <w:r>
        <w:rPr>
          <w:rFonts w:ascii="Times New Roman" w:hAnsi="Times New Roman" w:cs="Times New Roman"/>
          <w:b/>
          <w:color w:val="000000" w:themeColor="text1"/>
          <w:sz w:val="24"/>
          <w:szCs w:val="24"/>
        </w:rPr>
        <w:t>,</w:t>
      </w:r>
      <w:r w:rsidRPr="002315AB">
        <w:rPr>
          <w:rFonts w:ascii="Times New Roman" w:hAnsi="Times New Roman" w:cs="Times New Roman"/>
          <w:b/>
          <w:color w:val="000000" w:themeColor="text1"/>
          <w:sz w:val="24"/>
          <w:szCs w:val="24"/>
        </w:rPr>
        <w:t xml:space="preserve"> the coronary condition is compensable</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18"/>
      </w:r>
      <w:r>
        <w:rPr>
          <w:rFonts w:ascii="Times New Roman" w:hAnsi="Times New Roman" w:cs="Times New Roman"/>
          <w:color w:val="000000" w:themeColor="text1"/>
          <w:sz w:val="24"/>
          <w:szCs w:val="24"/>
        </w:rPr>
        <w:t xml:space="preserve"> Under this provision it is not enough, for purposes of compensation, that a causal connection between work and the cardiac condition </w:t>
      </w:r>
      <w:r w:rsidRPr="00992B13">
        <w:rPr>
          <w:rFonts w:ascii="Times New Roman" w:hAnsi="Times New Roman" w:cs="Times New Roman"/>
          <w:b/>
          <w:color w:val="000000" w:themeColor="text1"/>
          <w:sz w:val="24"/>
          <w:szCs w:val="24"/>
          <w:u w:val="single"/>
        </w:rPr>
        <w:t>is</w:t>
      </w:r>
      <w:r>
        <w:rPr>
          <w:rFonts w:ascii="Times New Roman" w:hAnsi="Times New Roman" w:cs="Times New Roman"/>
          <w:color w:val="000000" w:themeColor="text1"/>
          <w:sz w:val="24"/>
          <w:szCs w:val="24"/>
        </w:rPr>
        <w:t xml:space="preserve"> made out. The language effectively creates an increased risk standard by </w:t>
      </w:r>
      <w:r w:rsidRPr="003E6463">
        <w:rPr>
          <w:rFonts w:ascii="Times New Roman" w:hAnsi="Times New Roman" w:cs="Times New Roman"/>
          <w:i/>
          <w:color w:val="000000" w:themeColor="text1"/>
          <w:sz w:val="24"/>
          <w:szCs w:val="24"/>
        </w:rPr>
        <w:t>also</w:t>
      </w:r>
      <w:r>
        <w:rPr>
          <w:rFonts w:ascii="Times New Roman" w:hAnsi="Times New Roman" w:cs="Times New Roman"/>
          <w:color w:val="000000" w:themeColor="text1"/>
          <w:sz w:val="24"/>
          <w:szCs w:val="24"/>
        </w:rPr>
        <w:t xml:space="preserve"> requiring that the exertion causing the coronary condition arises from work </w:t>
      </w:r>
      <w:r w:rsidRPr="002315AB">
        <w:rPr>
          <w:rFonts w:ascii="Times New Roman" w:hAnsi="Times New Roman" w:cs="Times New Roman"/>
          <w:b/>
          <w:color w:val="000000" w:themeColor="text1"/>
          <w:sz w:val="24"/>
          <w:szCs w:val="24"/>
        </w:rPr>
        <w:t>considered unusual for employees in a particular employment (and not just for the particular, stricken employee)</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19"/>
      </w:r>
      <w:r>
        <w:rPr>
          <w:rFonts w:ascii="Times New Roman" w:hAnsi="Times New Roman" w:cs="Times New Roman"/>
          <w:color w:val="000000" w:themeColor="text1"/>
          <w:sz w:val="24"/>
          <w:szCs w:val="24"/>
        </w:rPr>
        <w:t xml:space="preserve"> Obviously, symptoms must also manifest within four hours.</w:t>
      </w:r>
    </w:p>
    <w:p w14:paraId="7C8A0E90" w14:textId="77777777" w:rsidR="000E29EB" w:rsidRDefault="000E29EB" w:rsidP="000E29EB">
      <w:pPr>
        <w:pStyle w:val="ListParagraph"/>
        <w:spacing w:after="0"/>
        <w:ind w:left="0"/>
        <w:jc w:val="both"/>
        <w:rPr>
          <w:rFonts w:ascii="Times New Roman" w:hAnsi="Times New Roman" w:cs="Times New Roman"/>
          <w:color w:val="000000" w:themeColor="text1"/>
          <w:sz w:val="24"/>
          <w:szCs w:val="24"/>
        </w:rPr>
      </w:pPr>
    </w:p>
    <w:p w14:paraId="1FD39AFD" w14:textId="47EC92FC" w:rsidR="00FF7482" w:rsidRDefault="00FF7482" w:rsidP="00D57F28">
      <w:pPr>
        <w:spacing w:after="0"/>
        <w:jc w:val="both"/>
        <w:rPr>
          <w:rStyle w:val="Hyperlink"/>
          <w:rFonts w:ascii="Times New Roman" w:hAnsi="Times New Roman" w:cs="Times New Roman"/>
          <w:sz w:val="24"/>
          <w:szCs w:val="24"/>
          <w:vertAlign w:val="superscript"/>
        </w:rPr>
      </w:pPr>
      <w:r>
        <w:rPr>
          <w:rFonts w:ascii="Times New Roman" w:hAnsi="Times New Roman" w:cs="Times New Roman"/>
          <w:color w:val="000000" w:themeColor="text1"/>
          <w:sz w:val="24"/>
          <w:szCs w:val="24"/>
        </w:rPr>
        <w:t xml:space="preserve">A good example of how this analysis is applied by Wyoming courts is the Wyoming Supreme Court’s opinion in  </w:t>
      </w:r>
      <w:r w:rsidRPr="00383085">
        <w:rPr>
          <w:rFonts w:ascii="Times New Roman" w:hAnsi="Times New Roman" w:cs="Times New Roman"/>
          <w:i/>
          <w:color w:val="000000" w:themeColor="text1"/>
          <w:sz w:val="24"/>
          <w:szCs w:val="24"/>
        </w:rPr>
        <w:t>In re Worker's Compensation Benefits ex rel. Scherf</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20"/>
      </w:r>
      <w:r>
        <w:rPr>
          <w:rFonts w:ascii="Times New Roman" w:hAnsi="Times New Roman" w:cs="Times New Roman"/>
          <w:color w:val="000000" w:themeColor="text1"/>
          <w:sz w:val="24"/>
          <w:szCs w:val="24"/>
        </w:rPr>
        <w:t xml:space="preserve"> In </w:t>
      </w:r>
      <w:r w:rsidRPr="00383085">
        <w:rPr>
          <w:rFonts w:ascii="Times New Roman" w:hAnsi="Times New Roman" w:cs="Times New Roman"/>
          <w:i/>
          <w:color w:val="000000" w:themeColor="text1"/>
          <w:sz w:val="24"/>
          <w:szCs w:val="24"/>
        </w:rPr>
        <w:t>Scherf</w:t>
      </w:r>
      <w:r>
        <w:rPr>
          <w:rFonts w:ascii="Times New Roman" w:hAnsi="Times New Roman" w:cs="Times New Roman"/>
          <w:color w:val="000000" w:themeColor="text1"/>
          <w:sz w:val="24"/>
          <w:szCs w:val="24"/>
        </w:rPr>
        <w:t xml:space="preserve">, an employee </w:t>
      </w:r>
      <w:r w:rsidRPr="00383085">
        <w:rPr>
          <w:rFonts w:ascii="Times New Roman" w:hAnsi="Times New Roman" w:cs="Times New Roman"/>
          <w:color w:val="000000" w:themeColor="text1"/>
          <w:sz w:val="24"/>
          <w:szCs w:val="24"/>
        </w:rPr>
        <w:t>died from a heart attack he suffered at work while servicing a front</w:t>
      </w:r>
      <w:r>
        <w:rPr>
          <w:rFonts w:ascii="Times New Roman" w:hAnsi="Times New Roman" w:cs="Times New Roman"/>
          <w:color w:val="000000" w:themeColor="text1"/>
          <w:sz w:val="24"/>
          <w:szCs w:val="24"/>
        </w:rPr>
        <w:t>-</w:t>
      </w:r>
      <w:r w:rsidRPr="00383085">
        <w:rPr>
          <w:rFonts w:ascii="Times New Roman" w:hAnsi="Times New Roman" w:cs="Times New Roman"/>
          <w:color w:val="000000" w:themeColor="text1"/>
          <w:sz w:val="24"/>
          <w:szCs w:val="24"/>
        </w:rPr>
        <w:t>end loader</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21"/>
      </w:r>
      <w:r>
        <w:rPr>
          <w:rFonts w:ascii="Times New Roman" w:hAnsi="Times New Roman" w:cs="Times New Roman"/>
          <w:color w:val="000000" w:themeColor="text1"/>
          <w:sz w:val="24"/>
          <w:szCs w:val="24"/>
        </w:rPr>
        <w:t xml:space="preserve"> A subsequent claim for workers’ compensation death benefits filed by his surviving spouse was denied in administrative proceedings.</w:t>
      </w:r>
      <w:r w:rsidRPr="00112C9C">
        <w:rPr>
          <w:rFonts w:ascii="Times New Roman" w:hAnsi="Times New Roman" w:cs="Times New Roman"/>
          <w:sz w:val="24"/>
          <w:szCs w:val="24"/>
          <w:vertAlign w:val="superscript"/>
        </w:rPr>
        <w:footnoteReference w:id="222"/>
      </w:r>
      <w:r>
        <w:rPr>
          <w:rFonts w:ascii="Times New Roman" w:hAnsi="Times New Roman" w:cs="Times New Roman"/>
          <w:color w:val="000000" w:themeColor="text1"/>
          <w:sz w:val="24"/>
          <w:szCs w:val="24"/>
        </w:rPr>
        <w:t xml:space="preserve"> The Office of Administrative Hearings, in a decision affirmed by a district court, concluded that “</w:t>
      </w:r>
      <w:r w:rsidRPr="00D86135">
        <w:rPr>
          <w:rFonts w:ascii="Times New Roman" w:hAnsi="Times New Roman" w:cs="Times New Roman"/>
          <w:color w:val="000000" w:themeColor="text1"/>
          <w:sz w:val="24"/>
          <w:szCs w:val="24"/>
        </w:rPr>
        <w:t xml:space="preserve">although the Claimant had proved the required causal link between the work exertion and the heart attack, </w:t>
      </w:r>
      <w:r>
        <w:rPr>
          <w:rFonts w:ascii="Times New Roman" w:hAnsi="Times New Roman" w:cs="Times New Roman"/>
          <w:color w:val="000000" w:themeColor="text1"/>
          <w:sz w:val="24"/>
          <w:szCs w:val="24"/>
        </w:rPr>
        <w:t>s</w:t>
      </w:r>
      <w:r w:rsidRPr="00D86135">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[the death benefits claimant-spouse]</w:t>
      </w:r>
      <w:r w:rsidRPr="00D86135">
        <w:rPr>
          <w:rFonts w:ascii="Times New Roman" w:hAnsi="Times New Roman" w:cs="Times New Roman"/>
          <w:color w:val="000000" w:themeColor="text1"/>
          <w:sz w:val="24"/>
          <w:szCs w:val="24"/>
        </w:rPr>
        <w:t xml:space="preserve"> had failed to prove that the exertion itself was unusual or abnormal for an employee servicing heavy equipment.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23"/>
      </w:r>
      <w:r>
        <w:rPr>
          <w:rFonts w:ascii="Times New Roman" w:hAnsi="Times New Roman" w:cs="Times New Roman"/>
          <w:color w:val="000000" w:themeColor="text1"/>
          <w:sz w:val="24"/>
          <w:szCs w:val="24"/>
        </w:rPr>
        <w:t xml:space="preserve"> The employee’s condition came on while changing the oil of a front end loader requiring access through a panel that was crusted over with mud, making the work more difficult than would otherwise be the case.</w:t>
      </w:r>
      <w:r w:rsidRPr="00112C9C">
        <w:rPr>
          <w:rFonts w:ascii="Times New Roman" w:hAnsi="Times New Roman" w:cs="Times New Roman"/>
          <w:sz w:val="24"/>
          <w:szCs w:val="24"/>
          <w:vertAlign w:val="superscript"/>
        </w:rPr>
        <w:footnoteReference w:id="224"/>
      </w:r>
      <w:r>
        <w:rPr>
          <w:rFonts w:ascii="Times New Roman" w:hAnsi="Times New Roman" w:cs="Times New Roman"/>
          <w:color w:val="000000" w:themeColor="text1"/>
          <w:sz w:val="24"/>
          <w:szCs w:val="24"/>
        </w:rPr>
        <w:t xml:space="preserve">  The Office of Administrative Hearings concluded, “[e]</w:t>
      </w:r>
      <w:r w:rsidRPr="007E031C">
        <w:rPr>
          <w:rFonts w:ascii="Times New Roman" w:hAnsi="Times New Roman" w:cs="Times New Roman"/>
          <w:color w:val="000000" w:themeColor="text1"/>
          <w:sz w:val="24"/>
          <w:szCs w:val="24"/>
        </w:rPr>
        <w:t>ven if Mr. Scherf had to exert himself more than usual in opening and closing the panel to access the loader's engine oil on the day in question, while it may have been an employment stress unusual or abnormal for him, the Office is not convinced that it was clearly unusual or abnormal for oilers in this industry.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25"/>
      </w:r>
      <w:r>
        <w:rPr>
          <w:rFonts w:ascii="Times New Roman" w:hAnsi="Times New Roman" w:cs="Times New Roman"/>
          <w:color w:val="000000" w:themeColor="text1"/>
          <w:sz w:val="24"/>
          <w:szCs w:val="24"/>
        </w:rPr>
        <w:t xml:space="preserve"> In reversing the Office of Administrative Hearings finding (as affirmed by the district court), the Wyoming Supreme Court recounted that it was </w:t>
      </w:r>
      <w:r w:rsidRPr="00F54AFB">
        <w:rPr>
          <w:rFonts w:ascii="Times New Roman" w:hAnsi="Times New Roman" w:cs="Times New Roman"/>
          <w:b/>
          <w:color w:val="000000" w:themeColor="text1"/>
          <w:sz w:val="24"/>
          <w:szCs w:val="24"/>
        </w:rPr>
        <w:t>necessary to apply an “objective test for determining</w:t>
      </w:r>
      <w:r w:rsidRPr="00F54AFB">
        <w:rPr>
          <w:rFonts w:ascii="Times New Roman" w:hAnsi="Times New Roman" w:cs="Times New Roman"/>
          <w:color w:val="000000" w:themeColor="text1"/>
          <w:sz w:val="24"/>
          <w:szCs w:val="24"/>
        </w:rPr>
        <w:t xml:space="preserve"> </w:t>
      </w:r>
      <w:r w:rsidRPr="00F54AFB">
        <w:rPr>
          <w:rFonts w:ascii="Times New Roman" w:hAnsi="Times New Roman" w:cs="Times New Roman"/>
          <w:b/>
          <w:color w:val="000000" w:themeColor="text1"/>
          <w:sz w:val="24"/>
          <w:szCs w:val="24"/>
        </w:rPr>
        <w:t>whether</w:t>
      </w:r>
      <w:r w:rsidRPr="00F54AFB">
        <w:rPr>
          <w:rFonts w:ascii="Times New Roman" w:hAnsi="Times New Roman" w:cs="Times New Roman"/>
          <w:color w:val="000000" w:themeColor="text1"/>
          <w:sz w:val="24"/>
          <w:szCs w:val="24"/>
        </w:rPr>
        <w:t xml:space="preserve"> Mr. Scherf's </w:t>
      </w:r>
      <w:r w:rsidRPr="00F54AFB">
        <w:rPr>
          <w:rFonts w:ascii="Times New Roman" w:hAnsi="Times New Roman" w:cs="Times New Roman"/>
          <w:b/>
          <w:color w:val="000000" w:themeColor="text1"/>
          <w:sz w:val="24"/>
          <w:szCs w:val="24"/>
        </w:rPr>
        <w:t>exertion was unusual to or abnormal</w:t>
      </w:r>
      <w:r w:rsidRPr="00F54AFB">
        <w:rPr>
          <w:rFonts w:ascii="Times New Roman" w:hAnsi="Times New Roman" w:cs="Times New Roman"/>
          <w:color w:val="000000" w:themeColor="text1"/>
          <w:sz w:val="24"/>
          <w:szCs w:val="24"/>
        </w:rPr>
        <w:t xml:space="preserve"> for an oiler, which we apply by </w:t>
      </w:r>
      <w:r w:rsidRPr="00F54AFB">
        <w:rPr>
          <w:rFonts w:ascii="Times New Roman" w:hAnsi="Times New Roman" w:cs="Times New Roman"/>
          <w:b/>
          <w:color w:val="000000" w:themeColor="text1"/>
          <w:sz w:val="24"/>
          <w:szCs w:val="24"/>
        </w:rPr>
        <w:t>comparing</w:t>
      </w:r>
      <w:r w:rsidRPr="00F54AFB">
        <w:rPr>
          <w:rFonts w:ascii="Times New Roman" w:hAnsi="Times New Roman" w:cs="Times New Roman"/>
          <w:color w:val="000000" w:themeColor="text1"/>
          <w:sz w:val="24"/>
          <w:szCs w:val="24"/>
        </w:rPr>
        <w:t xml:space="preserve"> Mr. Scherf's specific exertion </w:t>
      </w:r>
      <w:r w:rsidRPr="00F54AFB">
        <w:rPr>
          <w:rFonts w:ascii="Times New Roman" w:hAnsi="Times New Roman" w:cs="Times New Roman"/>
          <w:b/>
          <w:color w:val="000000" w:themeColor="text1"/>
          <w:sz w:val="24"/>
          <w:szCs w:val="24"/>
        </w:rPr>
        <w:t>to the usual exertion of the other employees engaged in that same or a similar activity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26"/>
      </w:r>
      <w:r>
        <w:rPr>
          <w:rFonts w:ascii="Times New Roman" w:hAnsi="Times New Roman" w:cs="Times New Roman"/>
          <w:color w:val="000000" w:themeColor="text1"/>
          <w:sz w:val="24"/>
          <w:szCs w:val="24"/>
        </w:rPr>
        <w:t xml:space="preserve"> The Court noted that e</w:t>
      </w:r>
      <w:r w:rsidRPr="00F54AFB">
        <w:rPr>
          <w:rFonts w:ascii="Times New Roman" w:hAnsi="Times New Roman" w:cs="Times New Roman"/>
          <w:color w:val="000000" w:themeColor="text1"/>
          <w:sz w:val="24"/>
          <w:szCs w:val="24"/>
        </w:rPr>
        <w:t>very</w:t>
      </w:r>
      <w:r>
        <w:rPr>
          <w:rFonts w:ascii="Times New Roman" w:hAnsi="Times New Roman" w:cs="Times New Roman"/>
          <w:color w:val="000000" w:themeColor="text1"/>
          <w:sz w:val="24"/>
          <w:szCs w:val="24"/>
        </w:rPr>
        <w:t xml:space="preserve"> one of the employer’s employees testifying confirmed that the oiler’s job </w:t>
      </w:r>
      <w:r>
        <w:rPr>
          <w:rFonts w:ascii="Times New Roman" w:hAnsi="Times New Roman" w:cs="Times New Roman"/>
          <w:color w:val="000000" w:themeColor="text1"/>
          <w:sz w:val="24"/>
          <w:szCs w:val="24"/>
        </w:rPr>
        <w:lastRenderedPageBreak/>
        <w:t>was</w:t>
      </w:r>
      <w:r w:rsidRPr="00F54AFB">
        <w:rPr>
          <w:rFonts w:ascii="Times New Roman" w:hAnsi="Times New Roman" w:cs="Times New Roman"/>
          <w:color w:val="000000" w:themeColor="text1"/>
          <w:sz w:val="24"/>
          <w:szCs w:val="24"/>
        </w:rPr>
        <w:t xml:space="preserve"> not generally a physically demanding or difficult task.</w:t>
      </w:r>
      <w:r w:rsidRPr="00112C9C">
        <w:rPr>
          <w:rFonts w:ascii="Times New Roman" w:hAnsi="Times New Roman" w:cs="Times New Roman"/>
          <w:sz w:val="24"/>
          <w:szCs w:val="24"/>
          <w:vertAlign w:val="superscript"/>
        </w:rPr>
        <w:footnoteReference w:id="227"/>
      </w:r>
      <w:r>
        <w:rPr>
          <w:rFonts w:ascii="Times New Roman" w:hAnsi="Times New Roman" w:cs="Times New Roman"/>
          <w:color w:val="000000" w:themeColor="text1"/>
          <w:sz w:val="24"/>
          <w:szCs w:val="24"/>
        </w:rPr>
        <w:t xml:space="preserve"> Thus, “[t]</w:t>
      </w:r>
      <w:r w:rsidRPr="00702522">
        <w:rPr>
          <w:rFonts w:ascii="Times New Roman" w:hAnsi="Times New Roman" w:cs="Times New Roman"/>
          <w:color w:val="000000" w:themeColor="text1"/>
          <w:sz w:val="24"/>
          <w:szCs w:val="24"/>
        </w:rPr>
        <w:t xml:space="preserve">he overwhelming weight of the evidence establishes that it was unusual or abnormal to encounter an access panel that is stuck or physically </w:t>
      </w:r>
      <w:r>
        <w:rPr>
          <w:rFonts w:ascii="Times New Roman" w:hAnsi="Times New Roman" w:cs="Times New Roman"/>
          <w:color w:val="000000" w:themeColor="text1"/>
          <w:sz w:val="24"/>
          <w:szCs w:val="24"/>
        </w:rPr>
        <w:t>‘</w:t>
      </w:r>
      <w:r w:rsidRPr="00702522">
        <w:rPr>
          <w:rFonts w:ascii="Times New Roman" w:hAnsi="Times New Roman" w:cs="Times New Roman"/>
          <w:color w:val="000000" w:themeColor="text1"/>
          <w:sz w:val="24"/>
          <w:szCs w:val="24"/>
        </w:rPr>
        <w:t>very hard</w:t>
      </w:r>
      <w:r>
        <w:rPr>
          <w:rFonts w:ascii="Times New Roman" w:hAnsi="Times New Roman" w:cs="Times New Roman"/>
          <w:color w:val="000000" w:themeColor="text1"/>
          <w:sz w:val="24"/>
          <w:szCs w:val="24"/>
        </w:rPr>
        <w:t>’</w:t>
      </w:r>
      <w:r w:rsidRPr="00702522">
        <w:rPr>
          <w:rFonts w:ascii="Times New Roman" w:hAnsi="Times New Roman" w:cs="Times New Roman"/>
          <w:color w:val="000000" w:themeColor="text1"/>
          <w:sz w:val="24"/>
          <w:szCs w:val="24"/>
        </w:rPr>
        <w:t xml:space="preserve"> to open or close.</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28"/>
      </w:r>
      <w:r>
        <w:rPr>
          <w:rFonts w:ascii="Times New Roman" w:hAnsi="Times New Roman" w:cs="Times New Roman"/>
          <w:color w:val="000000" w:themeColor="text1"/>
          <w:sz w:val="24"/>
          <w:szCs w:val="24"/>
        </w:rPr>
        <w:t xml:space="preserve"> Accordingly, the Court remanded the case to the district court </w:t>
      </w:r>
      <w:r w:rsidRPr="00702522">
        <w:rPr>
          <w:rFonts w:ascii="Times New Roman" w:hAnsi="Times New Roman" w:cs="Times New Roman"/>
          <w:color w:val="000000" w:themeColor="text1"/>
          <w:sz w:val="24"/>
          <w:szCs w:val="24"/>
        </w:rPr>
        <w:t>for entry of an order remanding to the O</w:t>
      </w:r>
      <w:r>
        <w:rPr>
          <w:rFonts w:ascii="Times New Roman" w:hAnsi="Times New Roman" w:cs="Times New Roman"/>
          <w:color w:val="000000" w:themeColor="text1"/>
          <w:sz w:val="24"/>
          <w:szCs w:val="24"/>
        </w:rPr>
        <w:t xml:space="preserve">ffice of </w:t>
      </w:r>
      <w:r w:rsidRPr="0070252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dministrative </w:t>
      </w:r>
      <w:r w:rsidRPr="00702522">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earings</w:t>
      </w:r>
      <w:r w:rsidRPr="00702522">
        <w:rPr>
          <w:rFonts w:ascii="Times New Roman" w:hAnsi="Times New Roman" w:cs="Times New Roman"/>
          <w:color w:val="000000" w:themeColor="text1"/>
          <w:sz w:val="24"/>
          <w:szCs w:val="24"/>
        </w:rPr>
        <w:t xml:space="preserve"> for entry of an order awarding benefits.</w:t>
      </w:r>
      <w:r w:rsidRPr="00112C9C">
        <w:rPr>
          <w:rFonts w:ascii="Times New Roman" w:hAnsi="Times New Roman" w:cs="Times New Roman"/>
          <w:sz w:val="24"/>
          <w:szCs w:val="24"/>
          <w:vertAlign w:val="superscript"/>
        </w:rPr>
        <w:footnoteReference w:id="229"/>
      </w:r>
    </w:p>
    <w:p w14:paraId="0E0FA3E4" w14:textId="77777777" w:rsidR="000E29EB" w:rsidRDefault="000E29EB" w:rsidP="000E29EB">
      <w:pPr>
        <w:spacing w:after="0"/>
        <w:jc w:val="both"/>
        <w:rPr>
          <w:rFonts w:ascii="Times New Roman" w:hAnsi="Times New Roman" w:cs="Times New Roman"/>
          <w:color w:val="000000" w:themeColor="text1"/>
          <w:sz w:val="24"/>
          <w:szCs w:val="24"/>
        </w:rPr>
      </w:pPr>
    </w:p>
    <w:p w14:paraId="718B1309" w14:textId="18D9DC91" w:rsidR="00FF7482" w:rsidRDefault="00FF7482" w:rsidP="000E29EB">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sound analysis of the compensability of coronary conditions under current Wyoming law, as set out in </w:t>
      </w:r>
      <w:r w:rsidRPr="009A2D59">
        <w:rPr>
          <w:rFonts w:ascii="Times New Roman" w:hAnsi="Times New Roman" w:cs="Times New Roman"/>
          <w:i/>
          <w:color w:val="000000" w:themeColor="text1"/>
          <w:sz w:val="24"/>
          <w:szCs w:val="24"/>
        </w:rPr>
        <w:t>Matter of Desotell</w:t>
      </w:r>
      <w:r w:rsidRPr="00112C9C">
        <w:rPr>
          <w:rFonts w:ascii="Times New Roman" w:hAnsi="Times New Roman" w:cs="Times New Roman"/>
          <w:iCs/>
          <w:sz w:val="24"/>
          <w:szCs w:val="24"/>
          <w:vertAlign w:val="superscript"/>
        </w:rPr>
        <w:footnoteReference w:id="230"/>
      </w:r>
      <w:r>
        <w:rPr>
          <w:rFonts w:ascii="Times New Roman" w:hAnsi="Times New Roman" w:cs="Times New Roman"/>
          <w:color w:val="000000" w:themeColor="text1"/>
          <w:sz w:val="24"/>
          <w:szCs w:val="24"/>
        </w:rPr>
        <w:t xml:space="preserve"> and reaffirmed in </w:t>
      </w:r>
      <w:r w:rsidRPr="009A2D59">
        <w:rPr>
          <w:rFonts w:ascii="Times New Roman" w:hAnsi="Times New Roman" w:cs="Times New Roman"/>
          <w:i/>
          <w:color w:val="000000" w:themeColor="text1"/>
          <w:sz w:val="24"/>
          <w:szCs w:val="24"/>
        </w:rPr>
        <w:t>Workers’ Compensation Div. v. Harris</w:t>
      </w:r>
      <w:r w:rsidRPr="00112C9C">
        <w:rPr>
          <w:rFonts w:ascii="Times New Roman" w:hAnsi="Times New Roman" w:cs="Times New Roman"/>
          <w:iCs/>
          <w:sz w:val="24"/>
          <w:szCs w:val="24"/>
          <w:vertAlign w:val="superscript"/>
        </w:rPr>
        <w:footnoteReference w:id="231"/>
      </w:r>
      <w:r w:rsidRPr="003D0AEE">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 xml:space="preserve">is that, </w:t>
      </w:r>
    </w:p>
    <w:p w14:paraId="256BA395" w14:textId="77777777" w:rsidR="000E29EB" w:rsidRDefault="000E29EB" w:rsidP="000E29EB">
      <w:pPr>
        <w:spacing w:after="0"/>
        <w:rPr>
          <w:rFonts w:ascii="Times New Roman" w:hAnsi="Times New Roman" w:cs="Times New Roman"/>
          <w:color w:val="000000" w:themeColor="text1"/>
          <w:sz w:val="24"/>
          <w:szCs w:val="24"/>
        </w:rPr>
      </w:pPr>
    </w:p>
    <w:p w14:paraId="00C703E3" w14:textId="5DD3E266" w:rsidR="00FF7482" w:rsidRDefault="00FF7482" w:rsidP="00D57F28">
      <w:pPr>
        <w:spacing w:after="0"/>
        <w:ind w:left="720" w:right="720"/>
        <w:jc w:val="both"/>
        <w:rPr>
          <w:rFonts w:ascii="Times New Roman" w:hAnsi="Times New Roman" w:cs="Times New Roman"/>
          <w:color w:val="000000" w:themeColor="text1"/>
          <w:sz w:val="24"/>
          <w:szCs w:val="24"/>
        </w:rPr>
      </w:pPr>
      <w:r w:rsidRPr="009A2D59">
        <w:rPr>
          <w:rFonts w:ascii="Times New Roman" w:hAnsi="Times New Roman" w:cs="Times New Roman"/>
          <w:color w:val="000000" w:themeColor="text1"/>
          <w:sz w:val="24"/>
          <w:szCs w:val="24"/>
        </w:rPr>
        <w:t xml:space="preserve">Given the way the statute is phrased, the </w:t>
      </w:r>
      <w:r w:rsidRPr="009A2D59">
        <w:rPr>
          <w:rFonts w:ascii="Times New Roman" w:hAnsi="Times New Roman" w:cs="Times New Roman"/>
          <w:b/>
          <w:color w:val="000000" w:themeColor="text1"/>
          <w:sz w:val="24"/>
          <w:szCs w:val="24"/>
        </w:rPr>
        <w:t>claimant must first prove that the injured employee experienced an “actual period of employment stress clearly unusual to, or abnormal for, employees in that particular employment</w:t>
      </w:r>
      <w:r>
        <w:rPr>
          <w:rFonts w:ascii="Times New Roman" w:hAnsi="Times New Roman" w:cs="Times New Roman"/>
          <w:color w:val="000000" w:themeColor="text1"/>
          <w:sz w:val="24"/>
          <w:szCs w:val="24"/>
        </w:rPr>
        <w:t xml:space="preserve"> . . .</w:t>
      </w:r>
      <w:r w:rsidRPr="009A2D59">
        <w:rPr>
          <w:rFonts w:ascii="Times New Roman" w:hAnsi="Times New Roman" w:cs="Times New Roman"/>
          <w:color w:val="000000" w:themeColor="text1"/>
          <w:sz w:val="24"/>
          <w:szCs w:val="24"/>
        </w:rPr>
        <w:t xml:space="preserve">” Next, and only after proof of the first requirement, </w:t>
      </w:r>
      <w:r w:rsidRPr="009A2D59">
        <w:rPr>
          <w:rFonts w:ascii="Times New Roman" w:hAnsi="Times New Roman" w:cs="Times New Roman"/>
          <w:b/>
          <w:color w:val="000000" w:themeColor="text1"/>
          <w:sz w:val="24"/>
          <w:szCs w:val="24"/>
        </w:rPr>
        <w:t>the claimant must establish legal causation, by proving a “causative exertion” during the proven period of actual unusual or abnormal stress</w:t>
      </w:r>
      <w:r w:rsidRPr="009A2D59">
        <w:rPr>
          <w:rFonts w:ascii="Times New Roman" w:hAnsi="Times New Roman" w:cs="Times New Roman"/>
          <w:color w:val="000000" w:themeColor="text1"/>
          <w:sz w:val="24"/>
          <w:szCs w:val="24"/>
        </w:rPr>
        <w:t xml:space="preserve">. Then, the claimant </w:t>
      </w:r>
      <w:r w:rsidRPr="009A2D59">
        <w:rPr>
          <w:rFonts w:ascii="Times New Roman" w:hAnsi="Times New Roman" w:cs="Times New Roman"/>
          <w:b/>
          <w:color w:val="000000" w:themeColor="text1"/>
          <w:sz w:val="24"/>
          <w:szCs w:val="24"/>
        </w:rPr>
        <w:t>must establish medical causation, by introducing competent medical testimony evidencing a direct causal connection between the causative exertion and the coronary condition</w:t>
      </w:r>
      <w:r w:rsidRPr="009A2D59">
        <w:rPr>
          <w:rFonts w:ascii="Times New Roman" w:hAnsi="Times New Roman" w:cs="Times New Roman"/>
          <w:color w:val="000000" w:themeColor="text1"/>
          <w:sz w:val="24"/>
          <w:szCs w:val="24"/>
        </w:rPr>
        <w:t xml:space="preserve">. Last, the </w:t>
      </w:r>
      <w:r w:rsidRPr="009A2D59">
        <w:rPr>
          <w:rFonts w:ascii="Times New Roman" w:hAnsi="Times New Roman" w:cs="Times New Roman"/>
          <w:b/>
          <w:color w:val="000000" w:themeColor="text1"/>
          <w:sz w:val="24"/>
          <w:szCs w:val="24"/>
        </w:rPr>
        <w:t>claimant must introduce evidence showing that the acute symptoms of that coronary condition were manifested within four hours of the causative exertion</w:t>
      </w:r>
      <w:r w:rsidRPr="009A2D59">
        <w:rPr>
          <w:rFonts w:ascii="Times New Roman" w:hAnsi="Times New Roman" w:cs="Times New Roman"/>
          <w:color w:val="000000" w:themeColor="text1"/>
          <w:sz w:val="24"/>
          <w:szCs w:val="24"/>
        </w:rPr>
        <w:t>.</w:t>
      </w:r>
    </w:p>
    <w:p w14:paraId="24A13A20" w14:textId="77777777" w:rsidR="000E29EB" w:rsidRPr="009A2D59" w:rsidRDefault="000E29EB" w:rsidP="000E29EB">
      <w:pPr>
        <w:spacing w:after="0"/>
        <w:ind w:left="720" w:right="720"/>
        <w:jc w:val="both"/>
        <w:rPr>
          <w:rFonts w:ascii="Times New Roman" w:hAnsi="Times New Roman" w:cs="Times New Roman"/>
          <w:color w:val="000000" w:themeColor="text1"/>
          <w:sz w:val="24"/>
          <w:szCs w:val="24"/>
        </w:rPr>
      </w:pPr>
    </w:p>
    <w:p w14:paraId="40350DA0" w14:textId="33C045C5" w:rsidR="00FF7482" w:rsidRDefault="00FF7482" w:rsidP="000E29E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“unusual exertion rule,” as it is termed in the </w:t>
      </w:r>
      <w:r w:rsidRPr="00981200">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w:t>
      </w:r>
      <w:r w:rsidRPr="00981200">
        <w:rPr>
          <w:rFonts w:ascii="Times New Roman" w:hAnsi="Times New Roman" w:cs="Times New Roman"/>
          <w:color w:val="000000" w:themeColor="text1"/>
          <w:sz w:val="24"/>
          <w:szCs w:val="24"/>
        </w:rPr>
        <w:t>assumes that there is a quantum of exertion or exposure in any occupation which is usual or normal—an assumption which is questionable at best, and certainly difficult to apply.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32"/>
      </w:r>
      <w:r>
        <w:rPr>
          <w:rFonts w:ascii="Times New Roman" w:hAnsi="Times New Roman" w:cs="Times New Roman"/>
          <w:color w:val="000000" w:themeColor="text1"/>
          <w:sz w:val="24"/>
          <w:szCs w:val="24"/>
        </w:rPr>
        <w:t xml:space="preserve"> However, because Wyoming is </w:t>
      </w:r>
      <w:r w:rsidRPr="00090E73">
        <w:rPr>
          <w:rFonts w:ascii="Times New Roman" w:hAnsi="Times New Roman" w:cs="Times New Roman"/>
          <w:i/>
          <w:iCs/>
          <w:color w:val="000000" w:themeColor="text1"/>
          <w:sz w:val="24"/>
          <w:szCs w:val="24"/>
        </w:rPr>
        <w:t>not</w:t>
      </w:r>
      <w:r>
        <w:rPr>
          <w:rFonts w:ascii="Times New Roman" w:hAnsi="Times New Roman" w:cs="Times New Roman"/>
          <w:color w:val="000000" w:themeColor="text1"/>
          <w:sz w:val="24"/>
          <w:szCs w:val="24"/>
        </w:rPr>
        <w:t xml:space="preserve"> an “accident” jurisdiction, the unusual exertion rule is not subject to the critique that unusual exertion is not necessarily “unexpected.”</w:t>
      </w:r>
      <w:r w:rsidRPr="00112C9C">
        <w:rPr>
          <w:rFonts w:ascii="Times New Roman" w:hAnsi="Times New Roman" w:cs="Times New Roman"/>
          <w:sz w:val="24"/>
          <w:szCs w:val="24"/>
          <w:vertAlign w:val="superscript"/>
        </w:rPr>
        <w:footnoteReference w:id="233"/>
      </w:r>
    </w:p>
    <w:p w14:paraId="49F676FE" w14:textId="77777777" w:rsidR="00FF7482" w:rsidRDefault="00FF7482" w:rsidP="006A3226">
      <w:pPr>
        <w:spacing w:after="0"/>
        <w:ind w:firstLine="720"/>
        <w:jc w:val="both"/>
        <w:rPr>
          <w:rFonts w:ascii="Times New Roman" w:hAnsi="Times New Roman" w:cs="Times New Roman"/>
          <w:b/>
        </w:rPr>
      </w:pPr>
    </w:p>
    <w:p w14:paraId="54287239" w14:textId="0ECD8396" w:rsidR="00FF7482" w:rsidRPr="009A2D59" w:rsidRDefault="00FF7482" w:rsidP="00D57F28">
      <w:pPr>
        <w:pStyle w:val="Heading2"/>
        <w:rPr>
          <w:rFonts w:ascii="Times New Roman" w:hAnsi="Times New Roman" w:cs="Times New Roman"/>
          <w:b/>
          <w:color w:val="auto"/>
        </w:rPr>
      </w:pPr>
      <w:bookmarkStart w:id="331" w:name="_Toc75269373"/>
      <w:r w:rsidRPr="009A2D59">
        <w:rPr>
          <w:rFonts w:ascii="Times New Roman" w:hAnsi="Times New Roman" w:cs="Times New Roman"/>
          <w:b/>
          <w:color w:val="auto"/>
        </w:rPr>
        <w:t>Hernia</w:t>
      </w:r>
      <w:r>
        <w:rPr>
          <w:rFonts w:ascii="Times New Roman" w:hAnsi="Times New Roman" w:cs="Times New Roman"/>
          <w:b/>
          <w:color w:val="auto"/>
        </w:rPr>
        <w:t xml:space="preserve"> Injuries in Wyoming</w:t>
      </w:r>
      <w:bookmarkEnd w:id="331"/>
    </w:p>
    <w:p w14:paraId="1B4E36EB" w14:textId="77777777" w:rsidR="00FF7482" w:rsidRDefault="00FF7482" w:rsidP="00AD1851">
      <w:pPr>
        <w:pStyle w:val="ListParagraph"/>
        <w:spacing w:after="0"/>
        <w:ind w:left="0" w:firstLine="720"/>
        <w:jc w:val="both"/>
        <w:rPr>
          <w:rFonts w:ascii="Times New Roman" w:hAnsi="Times New Roman" w:cs="Times New Roman"/>
          <w:color w:val="000000" w:themeColor="text1"/>
          <w:sz w:val="24"/>
          <w:szCs w:val="24"/>
        </w:rPr>
      </w:pPr>
    </w:p>
    <w:p w14:paraId="69BDF417" w14:textId="4521EB08" w:rsidR="00FF7482" w:rsidRDefault="00FF7482" w:rsidP="000A07F0">
      <w:pPr>
        <w:spacing w:after="0"/>
        <w:jc w:val="both"/>
        <w:rPr>
          <w:rFonts w:ascii="Times New Roman" w:hAnsi="Times New Roman" w:cs="Times New Roman"/>
          <w:color w:val="000000" w:themeColor="text1"/>
          <w:sz w:val="24"/>
          <w:szCs w:val="24"/>
        </w:rPr>
      </w:pPr>
      <w:bookmarkStart w:id="332" w:name="_Hlk518067375"/>
      <w:r w:rsidRPr="00CB2CB7">
        <w:rPr>
          <w:rFonts w:ascii="Times New Roman" w:hAnsi="Times New Roman" w:cs="Times New Roman"/>
          <w:color w:val="000000" w:themeColor="text1"/>
          <w:sz w:val="24"/>
          <w:szCs w:val="24"/>
        </w:rPr>
        <w:t xml:space="preserve">W.S. § </w:t>
      </w:r>
      <w:hyperlink r:id="rId65" w:history="1">
        <w:r w:rsidRPr="00CB2CB7">
          <w:rPr>
            <w:rStyle w:val="Hyperlink"/>
            <w:rFonts w:ascii="Times New Roman" w:hAnsi="Times New Roman" w:cs="Times New Roman"/>
            <w:sz w:val="24"/>
            <w:szCs w:val="24"/>
          </w:rPr>
          <w:t>27-14-603</w:t>
        </w:r>
      </w:hyperlink>
      <w:r w:rsidRPr="00CB2CB7">
        <w:rPr>
          <w:rFonts w:ascii="Times New Roman" w:hAnsi="Times New Roman" w:cs="Times New Roman"/>
          <w:color w:val="000000" w:themeColor="text1"/>
          <w:sz w:val="24"/>
          <w:szCs w:val="24"/>
        </w:rPr>
        <w:t>(c)</w:t>
      </w:r>
      <w:bookmarkEnd w:id="332"/>
      <w:r w:rsidRPr="00CB2CB7">
        <w:rPr>
          <w:rFonts w:ascii="Times New Roman" w:hAnsi="Times New Roman" w:cs="Times New Roman"/>
          <w:color w:val="000000" w:themeColor="text1"/>
          <w:sz w:val="24"/>
          <w:szCs w:val="24"/>
        </w:rPr>
        <w:t xml:space="preserve"> and (d) state: </w:t>
      </w:r>
    </w:p>
    <w:p w14:paraId="7F5EEA1F" w14:textId="77777777" w:rsidR="000A07F0" w:rsidRPr="000A07F0" w:rsidRDefault="000A07F0" w:rsidP="000A07F0">
      <w:pPr>
        <w:spacing w:after="0"/>
        <w:jc w:val="both"/>
        <w:rPr>
          <w:rFonts w:ascii="Times New Roman" w:hAnsi="Times New Roman" w:cs="Times New Roman"/>
          <w:color w:val="000000" w:themeColor="text1"/>
          <w:sz w:val="24"/>
          <w:szCs w:val="24"/>
        </w:rPr>
      </w:pPr>
    </w:p>
    <w:p w14:paraId="62303CF7" w14:textId="113989D4" w:rsidR="00FF7482" w:rsidRPr="001A2150" w:rsidRDefault="00FF7482" w:rsidP="001A2150">
      <w:pPr>
        <w:pStyle w:val="ListParagraph"/>
        <w:ind w:right="720"/>
        <w:contextualSpacing w:val="0"/>
        <w:jc w:val="both"/>
        <w:rPr>
          <w:rFonts w:ascii="Times New Roman" w:hAnsi="Times New Roman" w:cs="Times New Roman"/>
          <w:color w:val="000000" w:themeColor="text1"/>
          <w:sz w:val="24"/>
          <w:szCs w:val="24"/>
        </w:rPr>
      </w:pPr>
      <w:r w:rsidRPr="002B621D">
        <w:rPr>
          <w:rFonts w:ascii="Times New Roman" w:hAnsi="Times New Roman" w:cs="Times New Roman"/>
          <w:color w:val="000000" w:themeColor="text1"/>
          <w:sz w:val="24"/>
          <w:szCs w:val="24"/>
        </w:rPr>
        <w:lastRenderedPageBreak/>
        <w:t>(c) if an employee suffers a hernia, he is entitled to compensation if he clearly proves that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2CB1B62F" w14:textId="76375978" w:rsidR="00FF7482" w:rsidRPr="000E29EB" w:rsidRDefault="00FF7482" w:rsidP="001A2150">
      <w:pPr>
        <w:ind w:left="1440" w:right="720"/>
        <w:jc w:val="both"/>
        <w:rPr>
          <w:rFonts w:ascii="Times New Roman" w:hAnsi="Times New Roman" w:cs="Times New Roman"/>
          <w:color w:val="000000" w:themeColor="text1"/>
          <w:sz w:val="24"/>
          <w:szCs w:val="24"/>
        </w:rPr>
      </w:pPr>
      <w:r w:rsidRPr="000E29EB">
        <w:rPr>
          <w:rFonts w:ascii="Times New Roman" w:hAnsi="Times New Roman" w:cs="Times New Roman"/>
          <w:color w:val="000000" w:themeColor="text1"/>
          <w:sz w:val="24"/>
          <w:szCs w:val="24"/>
        </w:rPr>
        <w:t xml:space="preserve">(i) [t]he hernia is of </w:t>
      </w:r>
      <w:r w:rsidRPr="000E29EB">
        <w:rPr>
          <w:rFonts w:ascii="Times New Roman" w:hAnsi="Times New Roman" w:cs="Times New Roman"/>
          <w:b/>
          <w:bCs/>
          <w:color w:val="000000" w:themeColor="text1"/>
          <w:sz w:val="24"/>
          <w:szCs w:val="24"/>
        </w:rPr>
        <w:t>recent origin</w:t>
      </w:r>
      <w:r w:rsidRPr="000E29EB">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34"/>
      </w:r>
      <w:r w:rsidRPr="000E29EB">
        <w:rPr>
          <w:rFonts w:ascii="Times New Roman" w:hAnsi="Times New Roman" w:cs="Times New Roman"/>
          <w:color w:val="000000" w:themeColor="text1"/>
          <w:sz w:val="24"/>
          <w:szCs w:val="24"/>
        </w:rPr>
        <w:t xml:space="preserve"> </w:t>
      </w:r>
    </w:p>
    <w:p w14:paraId="4D9A9532" w14:textId="154AF3EB" w:rsidR="00FF7482" w:rsidRPr="000E29EB" w:rsidRDefault="00FF7482" w:rsidP="001A2150">
      <w:pPr>
        <w:ind w:left="1440" w:right="720"/>
        <w:jc w:val="both"/>
        <w:rPr>
          <w:rFonts w:ascii="Times New Roman" w:hAnsi="Times New Roman" w:cs="Times New Roman"/>
          <w:color w:val="000000" w:themeColor="text1"/>
          <w:sz w:val="24"/>
          <w:szCs w:val="24"/>
        </w:rPr>
      </w:pPr>
      <w:r w:rsidRPr="000E29EB">
        <w:rPr>
          <w:rFonts w:ascii="Times New Roman" w:hAnsi="Times New Roman" w:cs="Times New Roman"/>
          <w:color w:val="000000" w:themeColor="text1"/>
          <w:sz w:val="24"/>
          <w:szCs w:val="24"/>
        </w:rPr>
        <w:t xml:space="preserve">(ii) [i]ts </w:t>
      </w:r>
      <w:r w:rsidRPr="000E29EB">
        <w:rPr>
          <w:rFonts w:ascii="Times New Roman" w:hAnsi="Times New Roman" w:cs="Times New Roman"/>
          <w:b/>
          <w:bCs/>
          <w:color w:val="000000" w:themeColor="text1"/>
          <w:sz w:val="24"/>
          <w:szCs w:val="24"/>
        </w:rPr>
        <w:t>appearance</w:t>
      </w:r>
      <w:r w:rsidRPr="000E29EB">
        <w:rPr>
          <w:rFonts w:ascii="Times New Roman" w:hAnsi="Times New Roman" w:cs="Times New Roman"/>
          <w:color w:val="000000" w:themeColor="text1"/>
          <w:sz w:val="24"/>
          <w:szCs w:val="24"/>
        </w:rPr>
        <w:t xml:space="preserve"> was </w:t>
      </w:r>
      <w:r w:rsidRPr="000E29EB">
        <w:rPr>
          <w:rFonts w:ascii="Times New Roman" w:hAnsi="Times New Roman" w:cs="Times New Roman"/>
          <w:b/>
          <w:bCs/>
          <w:color w:val="000000" w:themeColor="text1"/>
          <w:sz w:val="24"/>
          <w:szCs w:val="24"/>
        </w:rPr>
        <w:t>accompanied by pain</w:t>
      </w:r>
      <w:r w:rsidRPr="000E29EB">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35"/>
      </w:r>
      <w:r w:rsidRPr="000E29EB">
        <w:rPr>
          <w:rFonts w:ascii="Times New Roman" w:hAnsi="Times New Roman" w:cs="Times New Roman"/>
          <w:color w:val="000000" w:themeColor="text1"/>
          <w:sz w:val="24"/>
          <w:szCs w:val="24"/>
        </w:rPr>
        <w:t xml:space="preserve"> </w:t>
      </w:r>
    </w:p>
    <w:p w14:paraId="06273DAB" w14:textId="2039C848" w:rsidR="00FF7482" w:rsidRDefault="00FF7482" w:rsidP="001A2150">
      <w:pPr>
        <w:pStyle w:val="ListParagraph"/>
        <w:ind w:left="1440" w:right="720"/>
        <w:contextualSpacing w:val="0"/>
        <w:jc w:val="both"/>
        <w:rPr>
          <w:rFonts w:ascii="Times New Roman" w:hAnsi="Times New Roman" w:cs="Times New Roman"/>
          <w:color w:val="000000" w:themeColor="text1"/>
          <w:sz w:val="24"/>
          <w:szCs w:val="24"/>
        </w:rPr>
      </w:pPr>
      <w:r w:rsidRPr="002B621D">
        <w:rPr>
          <w:rFonts w:ascii="Times New Roman" w:hAnsi="Times New Roman" w:cs="Times New Roman"/>
          <w:color w:val="000000" w:themeColor="text1"/>
          <w:sz w:val="24"/>
          <w:szCs w:val="24"/>
        </w:rPr>
        <w:t xml:space="preserve">(iii) </w:t>
      </w:r>
      <w:r>
        <w:rPr>
          <w:rFonts w:ascii="Times New Roman" w:hAnsi="Times New Roman" w:cs="Times New Roman"/>
          <w:color w:val="000000" w:themeColor="text1"/>
          <w:sz w:val="24"/>
          <w:szCs w:val="24"/>
        </w:rPr>
        <w:t>[i]</w:t>
      </w:r>
      <w:r w:rsidRPr="002B621D">
        <w:rPr>
          <w:rFonts w:ascii="Times New Roman" w:hAnsi="Times New Roman" w:cs="Times New Roman"/>
          <w:color w:val="000000" w:themeColor="text1"/>
          <w:sz w:val="24"/>
          <w:szCs w:val="24"/>
        </w:rPr>
        <w:t xml:space="preserve">t was </w:t>
      </w:r>
      <w:r w:rsidRPr="008F5698">
        <w:rPr>
          <w:rFonts w:ascii="Times New Roman" w:hAnsi="Times New Roman" w:cs="Times New Roman"/>
          <w:b/>
          <w:bCs/>
          <w:color w:val="000000" w:themeColor="text1"/>
          <w:sz w:val="24"/>
          <w:szCs w:val="24"/>
        </w:rPr>
        <w:t>immediately preceded</w:t>
      </w:r>
      <w:r w:rsidRPr="002B621D">
        <w:rPr>
          <w:rFonts w:ascii="Times New Roman" w:hAnsi="Times New Roman" w:cs="Times New Roman"/>
          <w:color w:val="000000" w:themeColor="text1"/>
          <w:sz w:val="24"/>
          <w:szCs w:val="24"/>
        </w:rPr>
        <w:t xml:space="preserve"> </w:t>
      </w:r>
      <w:r w:rsidRPr="008F5698">
        <w:rPr>
          <w:rFonts w:ascii="Times New Roman" w:hAnsi="Times New Roman" w:cs="Times New Roman"/>
          <w:b/>
          <w:bCs/>
          <w:color w:val="000000" w:themeColor="text1"/>
          <w:sz w:val="24"/>
          <w:szCs w:val="24"/>
        </w:rPr>
        <w:t>by</w:t>
      </w:r>
      <w:r w:rsidRPr="002B621D">
        <w:rPr>
          <w:rFonts w:ascii="Times New Roman" w:hAnsi="Times New Roman" w:cs="Times New Roman"/>
          <w:color w:val="000000" w:themeColor="text1"/>
          <w:sz w:val="24"/>
          <w:szCs w:val="24"/>
        </w:rPr>
        <w:t xml:space="preserve"> some </w:t>
      </w:r>
      <w:r w:rsidRPr="008F5698">
        <w:rPr>
          <w:rFonts w:ascii="Times New Roman" w:hAnsi="Times New Roman" w:cs="Times New Roman"/>
          <w:b/>
          <w:bCs/>
          <w:color w:val="000000" w:themeColor="text1"/>
          <w:sz w:val="24"/>
          <w:szCs w:val="24"/>
        </w:rPr>
        <w:t>accidental strain</w:t>
      </w:r>
      <w:r w:rsidRPr="002B621D">
        <w:rPr>
          <w:rFonts w:ascii="Times New Roman" w:hAnsi="Times New Roman" w:cs="Times New Roman"/>
          <w:color w:val="000000" w:themeColor="text1"/>
          <w:sz w:val="24"/>
          <w:szCs w:val="24"/>
        </w:rPr>
        <w:t xml:space="preserve"> suffered in the course of employment</w:t>
      </w:r>
      <w:r>
        <w:rPr>
          <w:rFonts w:ascii="Times New Roman" w:hAnsi="Times New Roman" w:cs="Times New Roman"/>
          <w:color w:val="000000" w:themeColor="text1"/>
          <w:sz w:val="24"/>
          <w:szCs w:val="24"/>
        </w:rPr>
        <w:t xml:space="preserve">; and </w:t>
      </w:r>
    </w:p>
    <w:p w14:paraId="68F825F7" w14:textId="426ABE2F" w:rsidR="000E29EB" w:rsidRPr="001A2150" w:rsidRDefault="00FF7482" w:rsidP="001A2150">
      <w:pPr>
        <w:pStyle w:val="ListParagraph"/>
        <w:ind w:left="1440" w:right="720"/>
        <w:contextualSpacing w:val="0"/>
        <w:jc w:val="both"/>
        <w:rPr>
          <w:rFonts w:ascii="Times New Roman" w:hAnsi="Times New Roman" w:cs="Times New Roman"/>
          <w:color w:val="000000" w:themeColor="text1"/>
          <w:sz w:val="24"/>
          <w:szCs w:val="24"/>
        </w:rPr>
      </w:pPr>
      <w:r w:rsidRPr="002B621D">
        <w:rPr>
          <w:rFonts w:ascii="Times New Roman" w:hAnsi="Times New Roman" w:cs="Times New Roman"/>
          <w:color w:val="000000" w:themeColor="text1"/>
          <w:sz w:val="24"/>
          <w:szCs w:val="24"/>
        </w:rPr>
        <w:t xml:space="preserve">(iv) </w:t>
      </w:r>
      <w:r>
        <w:rPr>
          <w:rFonts w:ascii="Times New Roman" w:hAnsi="Times New Roman" w:cs="Times New Roman"/>
          <w:color w:val="000000" w:themeColor="text1"/>
          <w:sz w:val="24"/>
          <w:szCs w:val="24"/>
        </w:rPr>
        <w:t>[i]</w:t>
      </w:r>
      <w:r w:rsidRPr="002B621D">
        <w:rPr>
          <w:rFonts w:ascii="Times New Roman" w:hAnsi="Times New Roman" w:cs="Times New Roman"/>
          <w:color w:val="000000" w:themeColor="text1"/>
          <w:sz w:val="24"/>
          <w:szCs w:val="24"/>
        </w:rPr>
        <w:t xml:space="preserve">t </w:t>
      </w:r>
      <w:r w:rsidRPr="008F5698">
        <w:rPr>
          <w:rFonts w:ascii="Times New Roman" w:hAnsi="Times New Roman" w:cs="Times New Roman"/>
          <w:b/>
          <w:bCs/>
          <w:color w:val="000000" w:themeColor="text1"/>
          <w:sz w:val="24"/>
          <w:szCs w:val="24"/>
        </w:rPr>
        <w:t>did not exist prior</w:t>
      </w:r>
      <w:r w:rsidRPr="002B621D">
        <w:rPr>
          <w:rFonts w:ascii="Times New Roman" w:hAnsi="Times New Roman" w:cs="Times New Roman"/>
          <w:color w:val="000000" w:themeColor="text1"/>
          <w:sz w:val="24"/>
          <w:szCs w:val="24"/>
        </w:rPr>
        <w:t xml:space="preserve"> to the date of the alleged injury.</w:t>
      </w:r>
    </w:p>
    <w:p w14:paraId="2602E69F" w14:textId="122E18DC" w:rsidR="001A2150" w:rsidRDefault="00FF7482" w:rsidP="001A2150">
      <w:pPr>
        <w:pStyle w:val="ListParagraph"/>
        <w:spacing w:after="0"/>
        <w:ind w:right="720"/>
        <w:contextualSpacing w:val="0"/>
        <w:jc w:val="both"/>
        <w:rPr>
          <w:rFonts w:ascii="Times New Roman" w:hAnsi="Times New Roman" w:cs="Times New Roman"/>
          <w:color w:val="000000" w:themeColor="text1"/>
          <w:sz w:val="24"/>
          <w:szCs w:val="24"/>
        </w:rPr>
      </w:pPr>
      <w:r w:rsidRPr="00E9749A">
        <w:rPr>
          <w:rFonts w:ascii="Times New Roman" w:hAnsi="Times New Roman" w:cs="Times New Roman"/>
          <w:color w:val="000000" w:themeColor="text1"/>
          <w:sz w:val="24"/>
          <w:szCs w:val="24"/>
        </w:rPr>
        <w:t>(d) If an employee establishes his right to compensation for a hernia as provided and elects not to be operated on, he shall not be compensated for the results of future strangulation of the hernia.</w:t>
      </w:r>
    </w:p>
    <w:p w14:paraId="0D7C5F34" w14:textId="77777777" w:rsidR="001A2150" w:rsidRPr="001A2150" w:rsidRDefault="001A2150" w:rsidP="001A2150">
      <w:pPr>
        <w:pStyle w:val="ListParagraph"/>
        <w:spacing w:after="0"/>
        <w:ind w:right="720"/>
        <w:contextualSpacing w:val="0"/>
        <w:jc w:val="both"/>
        <w:rPr>
          <w:rFonts w:ascii="Times New Roman" w:hAnsi="Times New Roman" w:cs="Times New Roman"/>
          <w:color w:val="000000" w:themeColor="text1"/>
          <w:sz w:val="24"/>
          <w:szCs w:val="24"/>
        </w:rPr>
      </w:pPr>
    </w:p>
    <w:p w14:paraId="2A6B572E" w14:textId="7A77387B" w:rsidR="00FF7482" w:rsidRDefault="00FF7482" w:rsidP="001A2150">
      <w:pPr>
        <w:pStyle w:val="ListParagraph"/>
        <w:spacing w:after="0"/>
        <w:ind w:left="0"/>
        <w:jc w:val="both"/>
        <w:rPr>
          <w:rFonts w:ascii="Times New Roman" w:hAnsi="Times New Roman" w:cs="Times New Roman"/>
          <w:color w:val="000000" w:themeColor="text1"/>
          <w:sz w:val="24"/>
          <w:szCs w:val="24"/>
        </w:rPr>
      </w:pPr>
      <w:r w:rsidRPr="00917657">
        <w:rPr>
          <w:rFonts w:ascii="Times New Roman" w:hAnsi="Times New Roman" w:cs="Times New Roman"/>
          <w:b/>
          <w:bCs/>
          <w:color w:val="000000" w:themeColor="text1"/>
          <w:sz w:val="24"/>
          <w:szCs w:val="24"/>
          <w:u w:val="single"/>
        </w:rPr>
        <w:t>The primary issue in hernia compensation cases appears to be the immediacy of the hernia’s appearance</w:t>
      </w:r>
      <w:r w:rsidRPr="00E9749A">
        <w:rPr>
          <w:rFonts w:ascii="Times New Roman" w:hAnsi="Times New Roman" w:cs="Times New Roman"/>
          <w:color w:val="000000" w:themeColor="text1"/>
          <w:sz w:val="24"/>
          <w:szCs w:val="24"/>
        </w:rPr>
        <w:t xml:space="preserve"> as a painful bulge after an accident in the course of employment. Originally, the requirements included the need for </w:t>
      </w:r>
      <w:r w:rsidRPr="00917657">
        <w:rPr>
          <w:rFonts w:ascii="Times New Roman" w:hAnsi="Times New Roman" w:cs="Times New Roman"/>
          <w:i/>
          <w:iCs/>
          <w:color w:val="000000" w:themeColor="text1"/>
          <w:sz w:val="24"/>
          <w:szCs w:val="24"/>
        </w:rPr>
        <w:t>discoloration</w:t>
      </w:r>
      <w:r w:rsidRPr="00E9749A">
        <w:rPr>
          <w:rFonts w:ascii="Times New Roman" w:hAnsi="Times New Roman" w:cs="Times New Roman"/>
          <w:color w:val="000000" w:themeColor="text1"/>
          <w:sz w:val="24"/>
          <w:szCs w:val="24"/>
        </w:rPr>
        <w:t xml:space="preserve">, but this was struck from </w:t>
      </w:r>
      <w:r>
        <w:rPr>
          <w:rFonts w:ascii="Times New Roman" w:hAnsi="Times New Roman" w:cs="Times New Roman"/>
          <w:color w:val="000000" w:themeColor="text1"/>
          <w:sz w:val="24"/>
          <w:szCs w:val="24"/>
        </w:rPr>
        <w:t>an</w:t>
      </w:r>
      <w:r w:rsidRPr="00E974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early version of the Wyoming Workers’ Compensation Act</w:t>
      </w:r>
      <w:r w:rsidRPr="00E974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E9749A">
        <w:rPr>
          <w:rFonts w:ascii="Times New Roman" w:hAnsi="Times New Roman" w:cs="Times New Roman"/>
          <w:color w:val="000000" w:themeColor="text1"/>
          <w:sz w:val="24"/>
          <w:szCs w:val="24"/>
        </w:rPr>
        <w:t xml:space="preserve"> 1935.</w:t>
      </w:r>
      <w:r w:rsidRPr="00112C9C">
        <w:rPr>
          <w:rFonts w:ascii="Times New Roman" w:hAnsi="Times New Roman" w:cs="Times New Roman"/>
          <w:sz w:val="24"/>
          <w:szCs w:val="24"/>
          <w:vertAlign w:val="superscript"/>
        </w:rPr>
        <w:footnoteReference w:id="236"/>
      </w:r>
      <w:r>
        <w:rPr>
          <w:rFonts w:ascii="Times New Roman" w:hAnsi="Times New Roman" w:cs="Times New Roman"/>
          <w:color w:val="000000" w:themeColor="text1"/>
          <w:sz w:val="24"/>
          <w:szCs w:val="24"/>
        </w:rPr>
        <w:t xml:space="preserve"> </w:t>
      </w:r>
      <w:r w:rsidRPr="00126784">
        <w:rPr>
          <w:rFonts w:ascii="Times New Roman" w:hAnsi="Times New Roman" w:cs="Times New Roman"/>
          <w:b/>
          <w:color w:val="000000" w:themeColor="text1"/>
          <w:sz w:val="24"/>
          <w:szCs w:val="24"/>
        </w:rPr>
        <w:t>Timely reporting requirements and the evidentiary burden showing the time of the hernia’s descent</w:t>
      </w:r>
      <w:r w:rsidRPr="00E974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apparently </w:t>
      </w:r>
      <w:r w:rsidRPr="00E9749A">
        <w:rPr>
          <w:rFonts w:ascii="Times New Roman" w:hAnsi="Times New Roman" w:cs="Times New Roman"/>
          <w:color w:val="000000" w:themeColor="text1"/>
          <w:sz w:val="24"/>
          <w:szCs w:val="24"/>
        </w:rPr>
        <w:t xml:space="preserve">exist to exclude </w:t>
      </w:r>
      <w:r w:rsidRPr="00917657">
        <w:rPr>
          <w:rFonts w:ascii="Times New Roman" w:hAnsi="Times New Roman" w:cs="Times New Roman"/>
          <w:i/>
          <w:iCs/>
          <w:color w:val="000000" w:themeColor="text1"/>
          <w:sz w:val="24"/>
          <w:szCs w:val="24"/>
        </w:rPr>
        <w:t>purely congenital</w:t>
      </w:r>
      <w:r w:rsidRPr="00E9749A">
        <w:rPr>
          <w:rFonts w:ascii="Times New Roman" w:hAnsi="Times New Roman" w:cs="Times New Roman"/>
          <w:color w:val="000000" w:themeColor="text1"/>
          <w:sz w:val="24"/>
          <w:szCs w:val="24"/>
        </w:rPr>
        <w:t xml:space="preserve"> (and therefore non-work related) herniation</w:t>
      </w:r>
      <w:r>
        <w:rPr>
          <w:rFonts w:ascii="Times New Roman" w:hAnsi="Times New Roman" w:cs="Times New Roman"/>
          <w:color w:val="000000" w:themeColor="text1"/>
          <w:sz w:val="24"/>
          <w:szCs w:val="24"/>
        </w:rPr>
        <w:t>.</w:t>
      </w:r>
      <w:r w:rsidRPr="00E974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E9749A">
        <w:rPr>
          <w:rFonts w:ascii="Times New Roman" w:hAnsi="Times New Roman" w:cs="Times New Roman"/>
          <w:color w:val="000000" w:themeColor="text1"/>
          <w:sz w:val="24"/>
          <w:szCs w:val="24"/>
        </w:rPr>
        <w:t>ut even if congenital propensity for hernia exists the</w:t>
      </w:r>
      <w:r>
        <w:rPr>
          <w:rFonts w:ascii="Times New Roman" w:hAnsi="Times New Roman" w:cs="Times New Roman"/>
          <w:color w:val="000000" w:themeColor="text1"/>
          <w:sz w:val="24"/>
          <w:szCs w:val="24"/>
        </w:rPr>
        <w:t xml:space="preserve"> condition</w:t>
      </w:r>
      <w:r w:rsidRPr="00E9749A">
        <w:rPr>
          <w:rFonts w:ascii="Times New Roman" w:hAnsi="Times New Roman" w:cs="Times New Roman"/>
          <w:color w:val="000000" w:themeColor="text1"/>
          <w:sz w:val="24"/>
          <w:szCs w:val="24"/>
        </w:rPr>
        <w:t xml:space="preserve"> may still be compensated as </w:t>
      </w:r>
      <w:r>
        <w:rPr>
          <w:rFonts w:ascii="Times New Roman" w:hAnsi="Times New Roman" w:cs="Times New Roman"/>
          <w:color w:val="000000" w:themeColor="text1"/>
          <w:sz w:val="24"/>
          <w:szCs w:val="24"/>
        </w:rPr>
        <w:t xml:space="preserve">an </w:t>
      </w:r>
      <w:r w:rsidRPr="00E9749A">
        <w:rPr>
          <w:rFonts w:ascii="Times New Roman" w:hAnsi="Times New Roman" w:cs="Times New Roman"/>
          <w:color w:val="000000" w:themeColor="text1"/>
          <w:sz w:val="24"/>
          <w:szCs w:val="24"/>
        </w:rPr>
        <w:t>accident.</w:t>
      </w:r>
      <w:r w:rsidRPr="00112C9C">
        <w:rPr>
          <w:rFonts w:ascii="Times New Roman" w:hAnsi="Times New Roman" w:cs="Times New Roman"/>
          <w:sz w:val="24"/>
          <w:szCs w:val="24"/>
          <w:vertAlign w:val="superscript"/>
        </w:rPr>
        <w:footnoteReference w:id="237"/>
      </w:r>
      <w:r>
        <w:rPr>
          <w:rFonts w:ascii="Times New Roman" w:hAnsi="Times New Roman" w:cs="Times New Roman"/>
          <w:color w:val="000000" w:themeColor="text1"/>
          <w:sz w:val="24"/>
          <w:szCs w:val="24"/>
        </w:rPr>
        <w:t xml:space="preserve"> Although Wyoming is </w:t>
      </w:r>
      <w:r w:rsidRPr="00917657">
        <w:rPr>
          <w:rFonts w:ascii="Times New Roman" w:hAnsi="Times New Roman" w:cs="Times New Roman"/>
          <w:i/>
          <w:iCs/>
          <w:color w:val="000000" w:themeColor="text1"/>
          <w:sz w:val="24"/>
          <w:szCs w:val="24"/>
        </w:rPr>
        <w:t>generally</w:t>
      </w:r>
      <w:r>
        <w:rPr>
          <w:rFonts w:ascii="Times New Roman" w:hAnsi="Times New Roman" w:cs="Times New Roman"/>
          <w:color w:val="000000" w:themeColor="text1"/>
          <w:sz w:val="24"/>
          <w:szCs w:val="24"/>
        </w:rPr>
        <w:t xml:space="preserve"> not an “accident” jurisdiction,</w:t>
      </w:r>
      <w:r w:rsidRPr="00112C9C">
        <w:rPr>
          <w:rFonts w:ascii="Times New Roman" w:hAnsi="Times New Roman" w:cs="Times New Roman"/>
          <w:sz w:val="24"/>
          <w:szCs w:val="24"/>
          <w:vertAlign w:val="superscript"/>
        </w:rPr>
        <w:footnoteReference w:id="238"/>
      </w:r>
      <w:r>
        <w:rPr>
          <w:rFonts w:ascii="Times New Roman" w:hAnsi="Times New Roman" w:cs="Times New Roman"/>
          <w:color w:val="000000" w:themeColor="text1"/>
          <w:sz w:val="24"/>
          <w:szCs w:val="24"/>
        </w:rPr>
        <w:t xml:space="preserve"> the hernia provision has historically required </w:t>
      </w:r>
      <w:r w:rsidRPr="00917657">
        <w:rPr>
          <w:rFonts w:ascii="Times New Roman" w:hAnsi="Times New Roman" w:cs="Times New Roman"/>
          <w:i/>
          <w:iCs/>
          <w:color w:val="000000" w:themeColor="text1"/>
          <w:sz w:val="24"/>
          <w:szCs w:val="24"/>
        </w:rPr>
        <w:t>an immediately preceding “accidental strain in the course of employment.”</w:t>
      </w:r>
      <w:r w:rsidRPr="00112C9C">
        <w:rPr>
          <w:rFonts w:ascii="Times New Roman" w:hAnsi="Times New Roman" w:cs="Times New Roman"/>
          <w:sz w:val="24"/>
          <w:szCs w:val="24"/>
          <w:vertAlign w:val="superscript"/>
        </w:rPr>
        <w:footnoteReference w:id="239"/>
      </w:r>
    </w:p>
    <w:p w14:paraId="3EF433B0" w14:textId="77777777" w:rsidR="00FF7482" w:rsidRDefault="00FF7482" w:rsidP="00F75A2B">
      <w:pPr>
        <w:pStyle w:val="ListParagraph"/>
        <w:ind w:left="0" w:firstLine="720"/>
        <w:jc w:val="both"/>
        <w:rPr>
          <w:rFonts w:ascii="Times New Roman" w:hAnsi="Times New Roman" w:cs="Times New Roman"/>
          <w:color w:val="000000" w:themeColor="text1"/>
          <w:sz w:val="24"/>
          <w:szCs w:val="24"/>
        </w:rPr>
      </w:pPr>
    </w:p>
    <w:p w14:paraId="5A777B59" w14:textId="05D52197" w:rsidR="00FF7482" w:rsidRDefault="00FF7482" w:rsidP="000E29EB">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one interesting case, </w:t>
      </w:r>
      <w:r w:rsidRPr="00855242">
        <w:rPr>
          <w:rFonts w:ascii="Times New Roman" w:hAnsi="Times New Roman" w:cs="Times New Roman"/>
          <w:i/>
          <w:color w:val="000000" w:themeColor="text1"/>
          <w:sz w:val="24"/>
          <w:szCs w:val="24"/>
        </w:rPr>
        <w:t>Workers’ Compensation Div</w:t>
      </w:r>
      <w:r>
        <w:rPr>
          <w:rFonts w:ascii="Times New Roman" w:hAnsi="Times New Roman" w:cs="Times New Roman"/>
          <w:i/>
          <w:color w:val="000000" w:themeColor="text1"/>
          <w:sz w:val="24"/>
          <w:szCs w:val="24"/>
        </w:rPr>
        <w:t>.</w:t>
      </w:r>
      <w:r w:rsidRPr="00855242">
        <w:rPr>
          <w:rFonts w:ascii="Times New Roman" w:hAnsi="Times New Roman" w:cs="Times New Roman"/>
          <w:i/>
          <w:color w:val="000000" w:themeColor="text1"/>
          <w:sz w:val="24"/>
          <w:szCs w:val="24"/>
        </w:rPr>
        <w:t xml:space="preserve"> v. Girardot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40"/>
      </w:r>
      <w:r>
        <w:rPr>
          <w:rFonts w:ascii="Times New Roman" w:hAnsi="Times New Roman" w:cs="Times New Roman"/>
          <w:color w:val="000000" w:themeColor="text1"/>
          <w:sz w:val="24"/>
          <w:szCs w:val="24"/>
        </w:rPr>
        <w:t xml:space="preserve"> a janitor slipped on a wet floor and sustained what was clearly a compensable hernia injury.</w:t>
      </w:r>
      <w:r w:rsidRPr="00112C9C">
        <w:rPr>
          <w:rFonts w:ascii="Times New Roman" w:hAnsi="Times New Roman" w:cs="Times New Roman"/>
          <w:sz w:val="24"/>
          <w:szCs w:val="24"/>
          <w:vertAlign w:val="superscript"/>
        </w:rPr>
        <w:footnoteReference w:id="241"/>
      </w:r>
      <w:r>
        <w:rPr>
          <w:rFonts w:ascii="Times New Roman" w:hAnsi="Times New Roman" w:cs="Times New Roman"/>
          <w:color w:val="000000" w:themeColor="text1"/>
          <w:sz w:val="24"/>
          <w:szCs w:val="24"/>
        </w:rPr>
        <w:t xml:space="preserve"> While being evaluated for an operation to correct the hernia, he was discovered to have a life-threatening coronary condition.</w:t>
      </w:r>
      <w:r w:rsidRPr="00112C9C">
        <w:rPr>
          <w:rFonts w:ascii="Times New Roman" w:hAnsi="Times New Roman" w:cs="Times New Roman"/>
          <w:sz w:val="24"/>
          <w:szCs w:val="24"/>
          <w:vertAlign w:val="superscript"/>
        </w:rPr>
        <w:footnoteReference w:id="242"/>
      </w:r>
      <w:r>
        <w:rPr>
          <w:rFonts w:ascii="Times New Roman" w:hAnsi="Times New Roman" w:cs="Times New Roman"/>
          <w:color w:val="000000" w:themeColor="text1"/>
          <w:sz w:val="24"/>
          <w:szCs w:val="24"/>
        </w:rPr>
        <w:t xml:space="preserve"> The coronary condition required immediate surgery before the hernia operation could be undertaken.</w:t>
      </w:r>
      <w:r w:rsidRPr="00112C9C">
        <w:rPr>
          <w:rFonts w:ascii="Times New Roman" w:hAnsi="Times New Roman" w:cs="Times New Roman"/>
          <w:sz w:val="24"/>
          <w:szCs w:val="24"/>
          <w:vertAlign w:val="superscript"/>
        </w:rPr>
        <w:footnoteReference w:id="243"/>
      </w:r>
      <w:r>
        <w:rPr>
          <w:rFonts w:ascii="Times New Roman" w:hAnsi="Times New Roman" w:cs="Times New Roman"/>
          <w:color w:val="000000" w:themeColor="text1"/>
          <w:sz w:val="24"/>
          <w:szCs w:val="24"/>
        </w:rPr>
        <w:t xml:space="preserve"> The employee underwent surgery for the coronary condition (an arterial blockage of the heart) and then underwent the hernia operation.</w:t>
      </w:r>
      <w:r w:rsidRPr="00112C9C">
        <w:rPr>
          <w:rFonts w:ascii="Times New Roman" w:hAnsi="Times New Roman" w:cs="Times New Roman"/>
          <w:sz w:val="24"/>
          <w:szCs w:val="24"/>
          <w:vertAlign w:val="superscript"/>
        </w:rPr>
        <w:footnoteReference w:id="244"/>
      </w:r>
      <w:r>
        <w:rPr>
          <w:rFonts w:ascii="Times New Roman" w:hAnsi="Times New Roman" w:cs="Times New Roman"/>
          <w:color w:val="000000" w:themeColor="text1"/>
          <w:sz w:val="24"/>
          <w:szCs w:val="24"/>
        </w:rPr>
        <w:t xml:space="preserve"> Temporary total disability </w:t>
      </w:r>
      <w:r>
        <w:rPr>
          <w:rFonts w:ascii="Times New Roman" w:hAnsi="Times New Roman" w:cs="Times New Roman"/>
          <w:color w:val="000000" w:themeColor="text1"/>
          <w:sz w:val="24"/>
          <w:szCs w:val="24"/>
        </w:rPr>
        <w:lastRenderedPageBreak/>
        <w:t>payments were paid without contest during the period of recovery from the hernia operation.</w:t>
      </w:r>
      <w:r w:rsidRPr="00112C9C">
        <w:rPr>
          <w:rFonts w:ascii="Times New Roman" w:hAnsi="Times New Roman" w:cs="Times New Roman"/>
          <w:sz w:val="24"/>
          <w:szCs w:val="24"/>
          <w:vertAlign w:val="superscript"/>
        </w:rPr>
        <w:footnoteReference w:id="245"/>
      </w:r>
      <w:r>
        <w:rPr>
          <w:rFonts w:ascii="Times New Roman" w:hAnsi="Times New Roman" w:cs="Times New Roman"/>
          <w:color w:val="000000" w:themeColor="text1"/>
          <w:sz w:val="24"/>
          <w:szCs w:val="24"/>
        </w:rPr>
        <w:t xml:space="preserve"> The employer and Division balked, however, when the employee submitted a $35,000 bill </w:t>
      </w:r>
      <w:r w:rsidRPr="00917657">
        <w:rPr>
          <w:rFonts w:ascii="Times New Roman" w:hAnsi="Times New Roman" w:cs="Times New Roman"/>
          <w:i/>
          <w:iCs/>
          <w:color w:val="000000" w:themeColor="text1"/>
          <w:sz w:val="24"/>
          <w:szCs w:val="24"/>
        </w:rPr>
        <w:t xml:space="preserve">from the coronary procedure </w:t>
      </w:r>
      <w:r>
        <w:rPr>
          <w:rFonts w:ascii="Times New Roman" w:hAnsi="Times New Roman" w:cs="Times New Roman"/>
          <w:color w:val="000000" w:themeColor="text1"/>
          <w:sz w:val="24"/>
          <w:szCs w:val="24"/>
        </w:rPr>
        <w:t>for reimbursement.</w:t>
      </w:r>
      <w:r w:rsidRPr="00112C9C">
        <w:rPr>
          <w:rFonts w:ascii="Times New Roman" w:hAnsi="Times New Roman" w:cs="Times New Roman"/>
          <w:sz w:val="24"/>
          <w:szCs w:val="24"/>
          <w:vertAlign w:val="superscript"/>
        </w:rPr>
        <w:footnoteReference w:id="246"/>
      </w:r>
      <w:r>
        <w:rPr>
          <w:rFonts w:ascii="Times New Roman" w:hAnsi="Times New Roman" w:cs="Times New Roman"/>
          <w:color w:val="000000" w:themeColor="text1"/>
          <w:sz w:val="24"/>
          <w:szCs w:val="24"/>
        </w:rPr>
        <w:t xml:space="preserve"> The claimant cited out of state authority, primarily in Arizona, for the proposition that an employer had a responsibility to compensate an injured employee for medical expense related to treatment of non-work-related conditions uncovered during the preoperative stage of a work-related condition.</w:t>
      </w:r>
      <w:r w:rsidRPr="00112C9C">
        <w:rPr>
          <w:rFonts w:ascii="Times New Roman" w:hAnsi="Times New Roman" w:cs="Times New Roman"/>
          <w:sz w:val="24"/>
          <w:szCs w:val="24"/>
          <w:vertAlign w:val="superscript"/>
        </w:rPr>
        <w:footnoteReference w:id="247"/>
      </w:r>
      <w:r>
        <w:rPr>
          <w:rFonts w:ascii="Times New Roman" w:hAnsi="Times New Roman" w:cs="Times New Roman"/>
          <w:color w:val="000000" w:themeColor="text1"/>
          <w:sz w:val="24"/>
          <w:szCs w:val="24"/>
        </w:rPr>
        <w:t xml:space="preserve">  Finding the cases not squarely on point—most of them seemed simply to stand for the proposition that, once a preoperative state </w:t>
      </w:r>
      <w:r w:rsidRPr="00917657">
        <w:rPr>
          <w:rFonts w:ascii="Times New Roman" w:hAnsi="Times New Roman" w:cs="Times New Roman"/>
          <w:i/>
          <w:iCs/>
          <w:color w:val="000000" w:themeColor="text1"/>
          <w:sz w:val="24"/>
          <w:szCs w:val="24"/>
        </w:rPr>
        <w:t>related to</w:t>
      </w:r>
      <w:r>
        <w:rPr>
          <w:rFonts w:ascii="Times New Roman" w:hAnsi="Times New Roman" w:cs="Times New Roman"/>
          <w:color w:val="000000" w:themeColor="text1"/>
          <w:sz w:val="24"/>
          <w:szCs w:val="24"/>
        </w:rPr>
        <w:t xml:space="preserve"> a work-related injury was underway, unexpected but related medical expenses encountered may be compensable—the Court simply said that preexisting conditions are not compensable in Wyoming.</w:t>
      </w:r>
      <w:r w:rsidRPr="00112C9C">
        <w:rPr>
          <w:rFonts w:ascii="Times New Roman" w:hAnsi="Times New Roman" w:cs="Times New Roman"/>
          <w:sz w:val="24"/>
          <w:szCs w:val="24"/>
          <w:vertAlign w:val="superscript"/>
        </w:rPr>
        <w:footnoteReference w:id="248"/>
      </w:r>
      <w:r>
        <w:rPr>
          <w:rFonts w:ascii="Times New Roman" w:hAnsi="Times New Roman" w:cs="Times New Roman"/>
          <w:color w:val="000000" w:themeColor="text1"/>
          <w:sz w:val="24"/>
          <w:szCs w:val="24"/>
        </w:rPr>
        <w:t xml:space="preserve"> “</w:t>
      </w:r>
      <w:r w:rsidRPr="00B83C69">
        <w:rPr>
          <w:rFonts w:ascii="Times New Roman" w:hAnsi="Times New Roman" w:cs="Times New Roman"/>
          <w:color w:val="000000" w:themeColor="text1"/>
          <w:sz w:val="24"/>
          <w:szCs w:val="24"/>
        </w:rPr>
        <w:t>There is no general Wyoming case law on this subject and, generally, these problems seem removed from mainstream litigation</w:t>
      </w:r>
      <w:r>
        <w:rPr>
          <w:rFonts w:ascii="Times New Roman" w:hAnsi="Times New Roman" w:cs="Times New Roman"/>
          <w:color w:val="000000" w:themeColor="text1"/>
          <w:sz w:val="24"/>
          <w:szCs w:val="24"/>
        </w:rPr>
        <w:t xml:space="preserve"> . . . </w:t>
      </w:r>
      <w:r w:rsidRPr="00B83C69">
        <w:rPr>
          <w:rFonts w:ascii="Times New Roman" w:hAnsi="Times New Roman" w:cs="Times New Roman"/>
          <w:color w:val="000000" w:themeColor="text1"/>
          <w:sz w:val="24"/>
          <w:szCs w:val="24"/>
        </w:rPr>
        <w:t xml:space="preserve">Following the thesis of </w:t>
      </w:r>
      <w:r w:rsidRPr="00CC46B2">
        <w:rPr>
          <w:rFonts w:ascii="Times New Roman" w:hAnsi="Times New Roman" w:cs="Times New Roman"/>
          <w:sz w:val="24"/>
          <w:szCs w:val="24"/>
        </w:rPr>
        <w:t xml:space="preserve">W.S. § </w:t>
      </w:r>
      <w:hyperlink r:id="rId66" w:history="1">
        <w:r w:rsidRPr="00CC46B2">
          <w:rPr>
            <w:rStyle w:val="Hyperlink"/>
            <w:rFonts w:ascii="Times New Roman" w:hAnsi="Times New Roman" w:cs="Times New Roman"/>
            <w:sz w:val="24"/>
            <w:szCs w:val="24"/>
          </w:rPr>
          <w:t>27-14-102</w:t>
        </w:r>
      </w:hyperlink>
      <w:r w:rsidRPr="00B83C69">
        <w:rPr>
          <w:rFonts w:ascii="Times New Roman" w:hAnsi="Times New Roman" w:cs="Times New Roman"/>
          <w:color w:val="000000" w:themeColor="text1"/>
          <w:sz w:val="24"/>
          <w:szCs w:val="24"/>
        </w:rPr>
        <w:t>(a)(xi)(F), a rule of reasonableness for fund obligation in case of a non-work-related physical ailment should be applied.</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49"/>
      </w:r>
      <w:r>
        <w:rPr>
          <w:rFonts w:ascii="Times New Roman" w:hAnsi="Times New Roman" w:cs="Times New Roman"/>
          <w:color w:val="000000" w:themeColor="text1"/>
          <w:sz w:val="24"/>
          <w:szCs w:val="24"/>
        </w:rPr>
        <w:t xml:space="preserve"> </w:t>
      </w:r>
    </w:p>
    <w:p w14:paraId="024229D2" w14:textId="77777777" w:rsidR="00FF7482" w:rsidRDefault="00FF7482" w:rsidP="00F75A2B">
      <w:pPr>
        <w:pStyle w:val="ListParagraph"/>
        <w:ind w:left="0" w:firstLine="720"/>
        <w:jc w:val="both"/>
        <w:rPr>
          <w:rFonts w:ascii="Times New Roman" w:hAnsi="Times New Roman" w:cs="Times New Roman"/>
          <w:color w:val="000000" w:themeColor="text1"/>
          <w:sz w:val="24"/>
          <w:szCs w:val="24"/>
        </w:rPr>
      </w:pPr>
    </w:p>
    <w:p w14:paraId="4D4C618A" w14:textId="244B6EAF" w:rsidR="00FF7482" w:rsidRDefault="00FF7482" w:rsidP="000E29EB">
      <w:pPr>
        <w:pStyle w:val="ListParagraph"/>
        <w:spacing w:after="0"/>
        <w:ind w:left="0"/>
        <w:jc w:val="both"/>
        <w:rPr>
          <w:rFonts w:ascii="Times New Roman" w:hAnsi="Times New Roman" w:cs="Times New Roman"/>
          <w:color w:val="000000" w:themeColor="text1"/>
          <w:sz w:val="24"/>
          <w:szCs w:val="24"/>
        </w:rPr>
      </w:pPr>
      <w:bookmarkStart w:id="349" w:name="_Hlk24632056"/>
      <w:r>
        <w:rPr>
          <w:rFonts w:ascii="Times New Roman" w:hAnsi="Times New Roman" w:cs="Times New Roman"/>
          <w:color w:val="000000" w:themeColor="text1"/>
          <w:sz w:val="24"/>
          <w:szCs w:val="24"/>
        </w:rPr>
        <w:t xml:space="preserve">One final point regarding hernias is that, </w:t>
      </w:r>
      <w:r w:rsidR="00A71DE6">
        <w:rPr>
          <w:rFonts w:ascii="Times New Roman" w:hAnsi="Times New Roman" w:cs="Times New Roman"/>
          <w:color w:val="000000" w:themeColor="text1"/>
          <w:sz w:val="24"/>
          <w:szCs w:val="24"/>
        </w:rPr>
        <w:t>although</w:t>
      </w:r>
      <w:r>
        <w:rPr>
          <w:rFonts w:ascii="Times New Roman" w:hAnsi="Times New Roman" w:cs="Times New Roman"/>
          <w:color w:val="000000" w:themeColor="text1"/>
          <w:sz w:val="24"/>
          <w:szCs w:val="24"/>
        </w:rPr>
        <w:t xml:space="preserve"> </w:t>
      </w:r>
      <w:r w:rsidRPr="00545F29">
        <w:rPr>
          <w:rFonts w:ascii="Times New Roman" w:hAnsi="Times New Roman" w:cs="Times New Roman"/>
          <w:i/>
          <w:color w:val="000000" w:themeColor="text1"/>
          <w:sz w:val="24"/>
          <w:szCs w:val="24"/>
        </w:rPr>
        <w:t>hernia</w:t>
      </w:r>
      <w:r>
        <w:rPr>
          <w:rFonts w:ascii="Times New Roman" w:hAnsi="Times New Roman" w:cs="Times New Roman"/>
          <w:color w:val="000000" w:themeColor="text1"/>
          <w:sz w:val="24"/>
          <w:szCs w:val="24"/>
        </w:rPr>
        <w:t xml:space="preserve"> generally refers to “</w:t>
      </w:r>
      <w:r w:rsidRPr="00474AC2">
        <w:rPr>
          <w:rFonts w:ascii="Times New Roman" w:hAnsi="Times New Roman" w:cs="Times New Roman"/>
          <w:color w:val="000000" w:themeColor="text1"/>
          <w:sz w:val="24"/>
          <w:szCs w:val="24"/>
        </w:rPr>
        <w:t>inguinal</w:t>
      </w:r>
      <w:r>
        <w:rPr>
          <w:rFonts w:ascii="Times New Roman" w:hAnsi="Times New Roman" w:cs="Times New Roman"/>
          <w:color w:val="000000" w:themeColor="text1"/>
          <w:sz w:val="24"/>
          <w:szCs w:val="24"/>
        </w:rPr>
        <w:t>”</w:t>
      </w:r>
      <w:r w:rsidRPr="00474AC2">
        <w:rPr>
          <w:rFonts w:ascii="Times New Roman" w:hAnsi="Times New Roman" w:cs="Times New Roman"/>
          <w:color w:val="000000" w:themeColor="text1"/>
          <w:sz w:val="24"/>
          <w:szCs w:val="24"/>
        </w:rPr>
        <w:t xml:space="preserve"> hernias</w:t>
      </w:r>
      <w:r>
        <w:rPr>
          <w:rFonts w:ascii="Times New Roman" w:hAnsi="Times New Roman" w:cs="Times New Roman"/>
          <w:color w:val="000000" w:themeColor="text1"/>
          <w:sz w:val="24"/>
          <w:szCs w:val="24"/>
        </w:rPr>
        <w:t xml:space="preserve">, </w:t>
      </w:r>
      <w:r w:rsidRPr="00545F29">
        <w:rPr>
          <w:rFonts w:ascii="Times New Roman" w:hAnsi="Times New Roman" w:cs="Times New Roman"/>
          <w:i/>
          <w:color w:val="000000" w:themeColor="text1"/>
          <w:sz w:val="24"/>
          <w:szCs w:val="24"/>
        </w:rPr>
        <w:t>non</w:t>
      </w:r>
      <w:r>
        <w:rPr>
          <w:rFonts w:ascii="Times New Roman" w:hAnsi="Times New Roman" w:cs="Times New Roman"/>
          <w:color w:val="000000" w:themeColor="text1"/>
          <w:sz w:val="24"/>
          <w:szCs w:val="24"/>
        </w:rPr>
        <w:t>-inguinal hernias have only rarely been discussed by Wyoming courts</w:t>
      </w:r>
      <w:r w:rsidR="00A71DE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but there is no suggestion</w:t>
      </w:r>
      <w:r w:rsidR="00A71DE6">
        <w:rPr>
          <w:rFonts w:ascii="Times New Roman" w:hAnsi="Times New Roman" w:cs="Times New Roman"/>
          <w:color w:val="000000" w:themeColor="text1"/>
          <w:sz w:val="24"/>
          <w:szCs w:val="24"/>
        </w:rPr>
        <w:t xml:space="preserve"> in the case law</w:t>
      </w:r>
      <w:r>
        <w:rPr>
          <w:rFonts w:ascii="Times New Roman" w:hAnsi="Times New Roman" w:cs="Times New Roman"/>
          <w:color w:val="000000" w:themeColor="text1"/>
          <w:sz w:val="24"/>
          <w:szCs w:val="24"/>
        </w:rPr>
        <w:t xml:space="preserve"> th</w:t>
      </w:r>
      <w:r w:rsidR="00A71DE6">
        <w:rPr>
          <w:rFonts w:ascii="Times New Roman" w:hAnsi="Times New Roman" w:cs="Times New Roman"/>
          <w:color w:val="000000" w:themeColor="text1"/>
          <w:sz w:val="24"/>
          <w:szCs w:val="24"/>
        </w:rPr>
        <w:t>at non-inguinal</w:t>
      </w:r>
      <w:r w:rsidR="00E63223">
        <w:rPr>
          <w:rFonts w:ascii="Times New Roman" w:hAnsi="Times New Roman" w:cs="Times New Roman"/>
          <w:color w:val="000000" w:themeColor="text1"/>
          <w:sz w:val="24"/>
          <w:szCs w:val="24"/>
        </w:rPr>
        <w:t xml:space="preserve"> hernias</w:t>
      </w:r>
      <w:r>
        <w:rPr>
          <w:rFonts w:ascii="Times New Roman" w:hAnsi="Times New Roman" w:cs="Times New Roman"/>
          <w:color w:val="000000" w:themeColor="text1"/>
          <w:sz w:val="24"/>
          <w:szCs w:val="24"/>
        </w:rPr>
        <w:t xml:space="preserve"> would be treated differently than inguinal hernias</w:t>
      </w:r>
      <w:bookmarkEnd w:id="349"/>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50"/>
      </w:r>
      <w:r w:rsidRPr="00474AC2">
        <w:rPr>
          <w:rFonts w:ascii="Times New Roman" w:hAnsi="Times New Roman" w:cs="Times New Roman"/>
          <w:color w:val="000000" w:themeColor="text1"/>
          <w:sz w:val="24"/>
          <w:szCs w:val="24"/>
        </w:rPr>
        <w:t xml:space="preserve">  </w:t>
      </w:r>
    </w:p>
    <w:p w14:paraId="61AF1E2F" w14:textId="77777777" w:rsidR="00077C31" w:rsidRPr="00077C31" w:rsidRDefault="00077C31" w:rsidP="00077C31">
      <w:pPr>
        <w:pStyle w:val="ListParagraph"/>
        <w:spacing w:after="0"/>
        <w:ind w:left="0"/>
        <w:jc w:val="both"/>
        <w:rPr>
          <w:rFonts w:ascii="Times New Roman" w:hAnsi="Times New Roman" w:cs="Times New Roman"/>
          <w:color w:val="000000" w:themeColor="text1"/>
          <w:sz w:val="24"/>
          <w:szCs w:val="24"/>
        </w:rPr>
      </w:pPr>
    </w:p>
    <w:p w14:paraId="0B527CFB" w14:textId="4E916EF7" w:rsidR="00FF7482" w:rsidRDefault="00FF7482" w:rsidP="00D57F28">
      <w:pPr>
        <w:pStyle w:val="Heading2"/>
        <w:rPr>
          <w:rFonts w:ascii="Times New Roman" w:hAnsi="Times New Roman" w:cs="Times New Roman"/>
          <w:b/>
          <w:color w:val="auto"/>
        </w:rPr>
      </w:pPr>
      <w:bookmarkStart w:id="351" w:name="_Toc75269374"/>
      <w:r>
        <w:rPr>
          <w:rFonts w:ascii="Times New Roman" w:hAnsi="Times New Roman" w:cs="Times New Roman"/>
          <w:b/>
          <w:color w:val="auto"/>
        </w:rPr>
        <w:t>Preexisting Conditions in Wyoming</w:t>
      </w:r>
      <w:bookmarkEnd w:id="351"/>
    </w:p>
    <w:p w14:paraId="51AF5F1A" w14:textId="103AD8A5" w:rsidR="00FF7482" w:rsidRDefault="00077C31" w:rsidP="00D57F28">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00FF7482">
        <w:rPr>
          <w:rFonts w:ascii="Times New Roman" w:hAnsi="Times New Roman" w:cs="Times New Roman"/>
          <w:color w:val="000000" w:themeColor="text1"/>
          <w:sz w:val="24"/>
          <w:szCs w:val="24"/>
        </w:rPr>
        <w:t>As was just seen, c</w:t>
      </w:r>
      <w:r w:rsidR="00FF7482" w:rsidRPr="007E490E">
        <w:rPr>
          <w:rFonts w:ascii="Times New Roman" w:hAnsi="Times New Roman" w:cs="Times New Roman"/>
          <w:color w:val="000000" w:themeColor="text1"/>
          <w:sz w:val="24"/>
          <w:szCs w:val="24"/>
        </w:rPr>
        <w:t>oronary conditions and hernia also implicate legal rules involving preexisting conditions</w:t>
      </w:r>
      <w:r w:rsidR="00FF7482">
        <w:rPr>
          <w:rFonts w:ascii="Times New Roman" w:hAnsi="Times New Roman" w:cs="Times New Roman"/>
          <w:color w:val="000000" w:themeColor="text1"/>
          <w:sz w:val="24"/>
          <w:szCs w:val="24"/>
        </w:rPr>
        <w:t xml:space="preserve">, </w:t>
      </w:r>
      <w:bookmarkStart w:id="352" w:name="_Hlk24632125"/>
      <w:r w:rsidR="00FF7482">
        <w:rPr>
          <w:rFonts w:ascii="Times New Roman" w:hAnsi="Times New Roman" w:cs="Times New Roman"/>
          <w:color w:val="000000" w:themeColor="text1"/>
          <w:sz w:val="24"/>
          <w:szCs w:val="24"/>
        </w:rPr>
        <w:t>which the Wyoming statute explicitly excludes</w:t>
      </w:r>
      <w:r w:rsidR="00FF7482" w:rsidRPr="007E490E">
        <w:rPr>
          <w:rFonts w:ascii="Times New Roman" w:hAnsi="Times New Roman" w:cs="Times New Roman"/>
          <w:color w:val="000000" w:themeColor="text1"/>
          <w:sz w:val="24"/>
          <w:szCs w:val="24"/>
        </w:rPr>
        <w:t>.</w:t>
      </w:r>
      <w:r w:rsidR="00FF7482">
        <w:rPr>
          <w:rFonts w:ascii="Times New Roman" w:hAnsi="Times New Roman" w:cs="Times New Roman"/>
          <w:color w:val="000000" w:themeColor="text1"/>
          <w:sz w:val="24"/>
          <w:szCs w:val="24"/>
        </w:rPr>
        <w:t xml:space="preserve"> </w:t>
      </w:r>
      <w:bookmarkEnd w:id="352"/>
      <w:r w:rsidR="00FF7482">
        <w:rPr>
          <w:rFonts w:ascii="Times New Roman" w:hAnsi="Times New Roman" w:cs="Times New Roman"/>
          <w:color w:val="000000" w:themeColor="text1"/>
          <w:sz w:val="24"/>
          <w:szCs w:val="24"/>
        </w:rPr>
        <w:t xml:space="preserve">Employing the logic of the “arising out of” phraseology, an injury cannot arise out of employment if it in fact has </w:t>
      </w:r>
      <w:r w:rsidR="00FF7482" w:rsidRPr="00917657">
        <w:rPr>
          <w:rFonts w:ascii="Times New Roman" w:hAnsi="Times New Roman" w:cs="Times New Roman"/>
          <w:i/>
          <w:iCs/>
          <w:color w:val="000000" w:themeColor="text1"/>
          <w:sz w:val="24"/>
          <w:szCs w:val="24"/>
        </w:rPr>
        <w:t xml:space="preserve">exclusively </w:t>
      </w:r>
      <w:r w:rsidR="00FF7482">
        <w:rPr>
          <w:rFonts w:ascii="Times New Roman" w:hAnsi="Times New Roman" w:cs="Times New Roman"/>
          <w:color w:val="000000" w:themeColor="text1"/>
          <w:sz w:val="24"/>
          <w:szCs w:val="24"/>
        </w:rPr>
        <w:t xml:space="preserve">arisen from some other physical condition or cause. Under </w:t>
      </w:r>
      <w:r w:rsidR="00FF7482" w:rsidRPr="00CC46B2">
        <w:rPr>
          <w:rFonts w:ascii="Times New Roman" w:hAnsi="Times New Roman" w:cs="Times New Roman"/>
          <w:sz w:val="24"/>
          <w:szCs w:val="24"/>
        </w:rPr>
        <w:t xml:space="preserve">W.S. § </w:t>
      </w:r>
      <w:hyperlink r:id="rId67" w:history="1">
        <w:r w:rsidR="00FF7482" w:rsidRPr="00CC46B2">
          <w:rPr>
            <w:rStyle w:val="Hyperlink"/>
            <w:rFonts w:ascii="Times New Roman" w:hAnsi="Times New Roman" w:cs="Times New Roman"/>
            <w:sz w:val="24"/>
            <w:szCs w:val="24"/>
          </w:rPr>
          <w:t>27-14-102</w:t>
        </w:r>
      </w:hyperlink>
      <w:r w:rsidR="00FF7482">
        <w:rPr>
          <w:rFonts w:ascii="Times New Roman" w:hAnsi="Times New Roman" w:cs="Times New Roman"/>
          <w:color w:val="000000" w:themeColor="text1"/>
          <w:sz w:val="24"/>
          <w:szCs w:val="24"/>
        </w:rPr>
        <w:t xml:space="preserve">(xi)(F), </w:t>
      </w:r>
      <w:r w:rsidR="00FF7482" w:rsidRPr="00EE31F1">
        <w:rPr>
          <w:rFonts w:ascii="Times New Roman" w:hAnsi="Times New Roman" w:cs="Times New Roman"/>
          <w:b/>
          <w:color w:val="000000" w:themeColor="text1"/>
          <w:sz w:val="24"/>
          <w:szCs w:val="24"/>
        </w:rPr>
        <w:t>“Injury does not include . . . Any injury or condition preexisting at the time of employment with the employer against whom a claim is made.”</w:t>
      </w:r>
      <w:r w:rsidR="00FF7482">
        <w:rPr>
          <w:rFonts w:ascii="Times New Roman" w:hAnsi="Times New Roman" w:cs="Times New Roman"/>
          <w:color w:val="000000" w:themeColor="text1"/>
          <w:sz w:val="24"/>
          <w:szCs w:val="24"/>
        </w:rPr>
        <w:t xml:space="preserve">  Yet, it has also long been Wyoming law that </w:t>
      </w:r>
      <w:r w:rsidR="00FF7482" w:rsidRPr="00EE31F1">
        <w:rPr>
          <w:rFonts w:ascii="Times New Roman" w:hAnsi="Times New Roman" w:cs="Times New Roman"/>
          <w:b/>
          <w:color w:val="000000" w:themeColor="text1"/>
          <w:sz w:val="24"/>
          <w:szCs w:val="24"/>
        </w:rPr>
        <w:t>“</w:t>
      </w:r>
      <w:r w:rsidR="00FF7482" w:rsidRPr="00917657">
        <w:rPr>
          <w:rFonts w:ascii="Times New Roman" w:hAnsi="Times New Roman" w:cs="Times New Roman"/>
          <w:b/>
          <w:color w:val="000000" w:themeColor="text1"/>
          <w:sz w:val="24"/>
          <w:szCs w:val="24"/>
          <w:u w:val="single"/>
        </w:rPr>
        <w:t>the employer must take the employee as he finds him” . . . Subsequent aggravation of a preexisting condition by employment is a compensable injury</w:t>
      </w:r>
      <w:r w:rsidR="00FF7482" w:rsidRPr="00EE31F1">
        <w:rPr>
          <w:rFonts w:ascii="Times New Roman" w:hAnsi="Times New Roman" w:cs="Times New Roman"/>
          <w:color w:val="000000" w:themeColor="text1"/>
          <w:sz w:val="24"/>
          <w:szCs w:val="24"/>
        </w:rPr>
        <w:t>.</w:t>
      </w:r>
      <w:r w:rsidR="00FF7482" w:rsidRPr="00112C9C">
        <w:rPr>
          <w:rFonts w:ascii="Times New Roman" w:hAnsi="Times New Roman" w:cs="Times New Roman"/>
          <w:sz w:val="24"/>
          <w:szCs w:val="24"/>
          <w:vertAlign w:val="superscript"/>
        </w:rPr>
        <w:footnoteReference w:id="251"/>
      </w:r>
    </w:p>
    <w:p w14:paraId="2E2AA339" w14:textId="34C48332" w:rsidR="00FF7482" w:rsidRDefault="00FF7482" w:rsidP="007E490E">
      <w:pPr>
        <w:pStyle w:val="ListParagraph"/>
        <w:ind w:left="0" w:firstLine="720"/>
        <w:jc w:val="both"/>
        <w:rPr>
          <w:rFonts w:ascii="Times New Roman" w:hAnsi="Times New Roman" w:cs="Times New Roman"/>
          <w:color w:val="000000" w:themeColor="text1"/>
          <w:sz w:val="24"/>
          <w:szCs w:val="24"/>
        </w:rPr>
      </w:pPr>
    </w:p>
    <w:p w14:paraId="1B19676A" w14:textId="1BDC1BD2" w:rsidR="00FF7482" w:rsidRDefault="00FF7482" w:rsidP="00802208">
      <w:pPr>
        <w:pStyle w:val="ListParagraph"/>
        <w:spacing w:after="0"/>
        <w:ind w:left="0"/>
        <w:jc w:val="both"/>
        <w:rPr>
          <w:rFonts w:ascii="Times New Roman" w:hAnsi="Times New Roman" w:cs="Times New Roman"/>
          <w:b/>
        </w:rPr>
      </w:pPr>
      <w:r w:rsidRPr="004475F1">
        <w:rPr>
          <w:rFonts w:ascii="Times New Roman" w:hAnsi="Times New Roman" w:cs="Times New Roman"/>
          <w:color w:val="000000" w:themeColor="text1"/>
          <w:sz w:val="24"/>
          <w:szCs w:val="24"/>
        </w:rPr>
        <w:t>To prove</w:t>
      </w:r>
      <w:r w:rsidRPr="004475F1">
        <w:rPr>
          <w:rFonts w:ascii="Times New Roman" w:hAnsi="Times New Roman" w:cs="Times New Roman"/>
          <w:b/>
          <w:color w:val="000000" w:themeColor="text1"/>
          <w:sz w:val="24"/>
          <w:szCs w:val="24"/>
        </w:rPr>
        <w:t xml:space="preserve"> </w:t>
      </w:r>
      <w:r w:rsidRPr="00917657">
        <w:rPr>
          <w:rFonts w:ascii="Times New Roman" w:hAnsi="Times New Roman" w:cs="Times New Roman"/>
          <w:b/>
          <w:color w:val="000000" w:themeColor="text1"/>
          <w:sz w:val="24"/>
          <w:szCs w:val="24"/>
          <w:u w:val="single"/>
        </w:rPr>
        <w:t>aggravation of a preexisting injury</w:t>
      </w:r>
      <w:r w:rsidRPr="00B74B43">
        <w:rPr>
          <w:rFonts w:ascii="Times New Roman" w:hAnsi="Times New Roman" w:cs="Times New Roman"/>
          <w:bCs/>
          <w:color w:val="000000" w:themeColor="text1"/>
          <w:sz w:val="24"/>
          <w:szCs w:val="24"/>
        </w:rPr>
        <w:t>,</w:t>
      </w:r>
      <w:r w:rsidRPr="004475F1">
        <w:rPr>
          <w:rFonts w:ascii="Times New Roman" w:hAnsi="Times New Roman" w:cs="Times New Roman"/>
          <w:b/>
          <w:color w:val="000000" w:themeColor="text1"/>
          <w:sz w:val="24"/>
          <w:szCs w:val="24"/>
        </w:rPr>
        <w:t xml:space="preserve"> </w:t>
      </w:r>
      <w:r w:rsidRPr="004475F1">
        <w:rPr>
          <w:rFonts w:ascii="Times New Roman" w:hAnsi="Times New Roman" w:cs="Times New Roman"/>
          <w:color w:val="000000" w:themeColor="text1"/>
          <w:sz w:val="24"/>
          <w:szCs w:val="24"/>
        </w:rPr>
        <w:t xml:space="preserve">a claimant must demonstrate by a </w:t>
      </w:r>
      <w:r w:rsidRPr="00917657">
        <w:rPr>
          <w:rFonts w:ascii="Times New Roman" w:hAnsi="Times New Roman" w:cs="Times New Roman"/>
          <w:i/>
          <w:iCs/>
          <w:color w:val="000000" w:themeColor="text1"/>
          <w:sz w:val="24"/>
          <w:szCs w:val="24"/>
        </w:rPr>
        <w:t>preponderance of the evidence</w:t>
      </w:r>
      <w:r w:rsidRPr="004475F1">
        <w:rPr>
          <w:rFonts w:ascii="Times New Roman" w:hAnsi="Times New Roman" w:cs="Times New Roman"/>
          <w:color w:val="000000" w:themeColor="text1"/>
          <w:sz w:val="24"/>
          <w:szCs w:val="24"/>
        </w:rPr>
        <w:t xml:space="preserve"> that the work contributed</w:t>
      </w:r>
      <w:r w:rsidRPr="004475F1">
        <w:rPr>
          <w:rFonts w:ascii="Times New Roman" w:hAnsi="Times New Roman" w:cs="Times New Roman"/>
          <w:b/>
          <w:color w:val="000000" w:themeColor="text1"/>
          <w:sz w:val="24"/>
          <w:szCs w:val="24"/>
        </w:rPr>
        <w:t xml:space="preserve"> to a </w:t>
      </w:r>
      <w:r w:rsidRPr="004475F1">
        <w:rPr>
          <w:rFonts w:ascii="Times New Roman" w:hAnsi="Times New Roman" w:cs="Times New Roman"/>
          <w:b/>
          <w:color w:val="000000" w:themeColor="text1"/>
          <w:sz w:val="24"/>
          <w:szCs w:val="24"/>
          <w:u w:val="single"/>
        </w:rPr>
        <w:t>material degree</w:t>
      </w:r>
      <w:r w:rsidRPr="004475F1">
        <w:rPr>
          <w:rFonts w:ascii="Times New Roman" w:hAnsi="Times New Roman" w:cs="Times New Roman"/>
          <w:b/>
          <w:color w:val="000000" w:themeColor="text1"/>
          <w:sz w:val="24"/>
          <w:szCs w:val="24"/>
        </w:rPr>
        <w:t xml:space="preserve"> to the aggravation of the preexisting condition</w:t>
      </w:r>
      <w:r w:rsidRPr="004475F1">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52"/>
      </w:r>
      <w:r>
        <w:rPr>
          <w:rFonts w:ascii="Times New Roman" w:hAnsi="Times New Roman" w:cs="Times New Roman"/>
          <w:color w:val="000000" w:themeColor="text1"/>
          <w:sz w:val="24"/>
          <w:szCs w:val="24"/>
        </w:rPr>
        <w:t xml:space="preserve"> In proving such an aggravation of a preexisting injury or condition, Wyoming law requires that a claimant prove a present </w:t>
      </w:r>
      <w:r w:rsidRPr="009932D8">
        <w:rPr>
          <w:rFonts w:ascii="Times New Roman" w:hAnsi="Times New Roman" w:cs="Times New Roman"/>
          <w:color w:val="000000" w:themeColor="text1"/>
          <w:sz w:val="24"/>
          <w:szCs w:val="24"/>
        </w:rPr>
        <w:t xml:space="preserve">injury </w:t>
      </w:r>
      <w:r w:rsidRPr="00776492">
        <w:rPr>
          <w:rFonts w:ascii="Times New Roman" w:hAnsi="Times New Roman" w:cs="Times New Roman"/>
          <w:b/>
          <w:color w:val="000000" w:themeColor="text1"/>
          <w:sz w:val="24"/>
          <w:szCs w:val="24"/>
        </w:rPr>
        <w:t>“most likely,” or “probably” is the product of the workplace</w:t>
      </w:r>
      <w:r w:rsidRPr="009932D8">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53"/>
      </w:r>
      <w:r>
        <w:rPr>
          <w:rFonts w:ascii="Times New Roman" w:hAnsi="Times New Roman" w:cs="Times New Roman"/>
          <w:color w:val="000000" w:themeColor="text1"/>
          <w:sz w:val="24"/>
          <w:szCs w:val="24"/>
        </w:rPr>
        <w:t xml:space="preserve"> </w:t>
      </w:r>
      <w:r w:rsidRPr="00DA7EF3">
        <w:rPr>
          <w:rFonts w:ascii="Times New Roman" w:hAnsi="Times New Roman" w:cs="Times New Roman"/>
          <w:b/>
          <w:color w:val="000000" w:themeColor="text1"/>
          <w:sz w:val="24"/>
          <w:szCs w:val="24"/>
          <w:u w:val="single"/>
        </w:rPr>
        <w:t>Wyoming courts</w:t>
      </w:r>
      <w:r>
        <w:rPr>
          <w:rFonts w:ascii="Times New Roman" w:hAnsi="Times New Roman" w:cs="Times New Roman"/>
          <w:b/>
          <w:color w:val="000000" w:themeColor="text1"/>
          <w:sz w:val="24"/>
          <w:szCs w:val="24"/>
          <w:u w:val="single"/>
        </w:rPr>
        <w:t xml:space="preserve"> generally</w:t>
      </w:r>
      <w:r w:rsidRPr="00DA7EF3">
        <w:rPr>
          <w:rFonts w:ascii="Times New Roman" w:hAnsi="Times New Roman" w:cs="Times New Roman"/>
          <w:b/>
          <w:color w:val="000000" w:themeColor="text1"/>
          <w:sz w:val="24"/>
          <w:szCs w:val="24"/>
          <w:u w:val="single"/>
        </w:rPr>
        <w:t xml:space="preserve"> do not invoke a standard of “reasonable medical certainty” with respect to such causal connection</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54"/>
      </w:r>
      <w:r>
        <w:rPr>
          <w:rFonts w:ascii="Times New Roman" w:hAnsi="Times New Roman" w:cs="Times New Roman"/>
          <w:color w:val="000000" w:themeColor="text1"/>
          <w:sz w:val="24"/>
          <w:szCs w:val="24"/>
        </w:rPr>
        <w:t xml:space="preserve"> It should be briefly mentioned that some older cases citing the immediately preceding rule sometimes involve coronary conditions. Caution should be exercised when analyzing preexisting conditions involving coronary conditions (Treatise Section 3.7) and hernias (Treatise Section 3.8) where more recent specialized causation standards apply.</w:t>
      </w:r>
      <w:r>
        <w:rPr>
          <w:rFonts w:ascii="Times New Roman" w:hAnsi="Times New Roman" w:cs="Times New Roman"/>
          <w:b/>
        </w:rPr>
        <w:t xml:space="preserve"> </w:t>
      </w:r>
    </w:p>
    <w:p w14:paraId="4D14867F" w14:textId="77777777" w:rsidR="00FF7482" w:rsidRDefault="00FF7482" w:rsidP="006A3226">
      <w:pPr>
        <w:pStyle w:val="ListParagraph"/>
        <w:spacing w:after="0"/>
        <w:ind w:left="0" w:firstLine="720"/>
        <w:jc w:val="both"/>
        <w:rPr>
          <w:rFonts w:ascii="Times New Roman" w:hAnsi="Times New Roman" w:cs="Times New Roman"/>
          <w:b/>
        </w:rPr>
      </w:pPr>
    </w:p>
    <w:p w14:paraId="650772DF" w14:textId="06DC4FC8" w:rsidR="00FF7482" w:rsidRDefault="00FF7482" w:rsidP="00D57F28">
      <w:pPr>
        <w:pStyle w:val="Heading2"/>
        <w:rPr>
          <w:rFonts w:ascii="Times New Roman" w:hAnsi="Times New Roman" w:cs="Times New Roman"/>
          <w:b/>
          <w:color w:val="auto"/>
        </w:rPr>
      </w:pPr>
      <w:bookmarkStart w:id="358" w:name="_Toc75269375"/>
      <w:r>
        <w:rPr>
          <w:rFonts w:ascii="Times New Roman" w:hAnsi="Times New Roman" w:cs="Times New Roman"/>
          <w:b/>
          <w:color w:val="auto"/>
        </w:rPr>
        <w:t>Second Compensable Injuries in Wyoming</w:t>
      </w:r>
      <w:bookmarkEnd w:id="358"/>
    </w:p>
    <w:p w14:paraId="0304D7D9" w14:textId="6BD94418" w:rsidR="00FF7482" w:rsidRDefault="00FF7482" w:rsidP="003D7EC4">
      <w:pPr>
        <w:spacing w:after="0"/>
      </w:pPr>
    </w:p>
    <w:p w14:paraId="4FB549C4" w14:textId="364C642C" w:rsidR="00FF7482" w:rsidRDefault="00FF7482" w:rsidP="00D57F28">
      <w:pPr>
        <w:pStyle w:val="ListParagraph"/>
        <w:ind w:left="0"/>
        <w:jc w:val="both"/>
        <w:rPr>
          <w:rFonts w:ascii="Times New Roman" w:hAnsi="Times New Roman" w:cs="Times New Roman"/>
          <w:b/>
          <w:color w:val="000000" w:themeColor="text1"/>
          <w:sz w:val="24"/>
          <w:szCs w:val="24"/>
        </w:rPr>
      </w:pPr>
      <w:r w:rsidRPr="007478CD">
        <w:rPr>
          <w:rFonts w:ascii="Times New Roman" w:hAnsi="Times New Roman" w:cs="Times New Roman"/>
          <w:color w:val="000000" w:themeColor="text1"/>
          <w:sz w:val="24"/>
          <w:szCs w:val="24"/>
        </w:rPr>
        <w:t>A perennial problem in workers’ compensation</w:t>
      </w:r>
      <w:r>
        <w:rPr>
          <w:rFonts w:ascii="Times New Roman" w:hAnsi="Times New Roman" w:cs="Times New Roman"/>
          <w:color w:val="000000" w:themeColor="text1"/>
          <w:sz w:val="24"/>
          <w:szCs w:val="24"/>
        </w:rPr>
        <w:t xml:space="preserve"> occurs when a prior work-related injury combines with a subsequent injury (of any type) to cause present incapacity for work.</w:t>
      </w:r>
      <w:r w:rsidRPr="00112C9C">
        <w:rPr>
          <w:rFonts w:ascii="Times New Roman" w:hAnsi="Times New Roman" w:cs="Times New Roman"/>
          <w:sz w:val="24"/>
          <w:szCs w:val="24"/>
          <w:vertAlign w:val="superscript"/>
        </w:rPr>
        <w:footnoteReference w:id="255"/>
      </w:r>
      <w:r>
        <w:rPr>
          <w:rFonts w:ascii="Times New Roman" w:hAnsi="Times New Roman" w:cs="Times New Roman"/>
          <w:color w:val="000000" w:themeColor="text1"/>
          <w:sz w:val="24"/>
          <w:szCs w:val="24"/>
        </w:rPr>
        <w:t xml:space="preserve"> As the </w:t>
      </w:r>
      <w:r w:rsidRPr="003A37AA">
        <w:rPr>
          <w:rFonts w:ascii="Times New Roman" w:hAnsi="Times New Roman" w:cs="Times New Roman"/>
          <w:i/>
          <w:color w:val="000000" w:themeColor="text1"/>
          <w:sz w:val="24"/>
          <w:szCs w:val="24"/>
        </w:rPr>
        <w:t>Larson</w:t>
      </w:r>
      <w:r>
        <w:rPr>
          <w:rFonts w:ascii="Times New Roman" w:hAnsi="Times New Roman" w:cs="Times New Roman"/>
          <w:color w:val="000000" w:themeColor="text1"/>
          <w:sz w:val="24"/>
          <w:szCs w:val="24"/>
        </w:rPr>
        <w:t>’s treatise explains, “</w:t>
      </w:r>
      <w:r w:rsidRPr="00DA7EF3">
        <w:rPr>
          <w:rFonts w:ascii="Times New Roman" w:hAnsi="Times New Roman" w:cs="Times New Roman"/>
          <w:b/>
          <w:bCs/>
          <w:color w:val="000000" w:themeColor="text1"/>
          <w:sz w:val="24"/>
          <w:szCs w:val="24"/>
          <w:u w:val="single"/>
        </w:rPr>
        <w:t>once the work-connected character of any injury . . . has been established, the subsequent progression of that condition remains compensable so long as the worsening is not shown to have been produced by an independent nonindustrial cause</w:t>
      </w:r>
      <w:r w:rsidRPr="004F5E2C">
        <w:rPr>
          <w:rFonts w:ascii="Times New Roman" w:hAnsi="Times New Roman" w:cs="Times New Roman"/>
          <w:b/>
          <w:bCs/>
          <w:color w:val="000000" w:themeColor="text1"/>
          <w:sz w:val="24"/>
          <w:szCs w:val="24"/>
        </w:rPr>
        <w:t>.”</w:t>
      </w:r>
      <w:r w:rsidRPr="00112C9C">
        <w:rPr>
          <w:rFonts w:ascii="Times New Roman" w:hAnsi="Times New Roman" w:cs="Times New Roman"/>
          <w:sz w:val="24"/>
          <w:szCs w:val="24"/>
          <w:vertAlign w:val="superscript"/>
        </w:rPr>
        <w:footnoteReference w:id="256"/>
      </w:r>
      <w:r>
        <w:rPr>
          <w:rFonts w:ascii="Times New Roman" w:hAnsi="Times New Roman" w:cs="Times New Roman"/>
          <w:color w:val="000000" w:themeColor="text1"/>
          <w:sz w:val="24"/>
          <w:szCs w:val="24"/>
        </w:rPr>
        <w:t xml:space="preserve"> Of course, proof of progression and “non-causation” by an </w:t>
      </w:r>
      <w:r w:rsidRPr="00CC5C1B">
        <w:rPr>
          <w:rFonts w:ascii="Times New Roman" w:hAnsi="Times New Roman" w:cs="Times New Roman"/>
          <w:i/>
          <w:iCs/>
          <w:color w:val="000000" w:themeColor="text1"/>
          <w:sz w:val="24"/>
          <w:szCs w:val="24"/>
        </w:rPr>
        <w:t>independent</w:t>
      </w:r>
      <w:r>
        <w:rPr>
          <w:rFonts w:ascii="Times New Roman" w:hAnsi="Times New Roman" w:cs="Times New Roman"/>
          <w:color w:val="000000" w:themeColor="text1"/>
          <w:sz w:val="24"/>
          <w:szCs w:val="24"/>
        </w:rPr>
        <w:t xml:space="preserve"> intervening cause is a medical question.</w:t>
      </w:r>
      <w:r w:rsidRPr="00112C9C">
        <w:rPr>
          <w:rFonts w:ascii="Times New Roman" w:hAnsi="Times New Roman" w:cs="Times New Roman"/>
          <w:sz w:val="24"/>
          <w:szCs w:val="24"/>
          <w:vertAlign w:val="superscript"/>
        </w:rPr>
        <w:footnoteReference w:id="257"/>
      </w:r>
      <w:r>
        <w:rPr>
          <w:rFonts w:ascii="Times New Roman" w:hAnsi="Times New Roman" w:cs="Times New Roman"/>
          <w:color w:val="000000" w:themeColor="text1"/>
          <w:sz w:val="24"/>
          <w:szCs w:val="24"/>
        </w:rPr>
        <w:t xml:space="preserve"> In Wyoming, this problem is analyzed under what has become known as the </w:t>
      </w:r>
      <w:r w:rsidRPr="00D06581">
        <w:rPr>
          <w:rFonts w:ascii="Times New Roman" w:hAnsi="Times New Roman" w:cs="Times New Roman"/>
          <w:b/>
          <w:color w:val="000000" w:themeColor="text1"/>
          <w:sz w:val="24"/>
          <w:szCs w:val="24"/>
        </w:rPr>
        <w:t>“</w:t>
      </w:r>
      <w:r w:rsidRPr="00142C9A">
        <w:rPr>
          <w:rFonts w:ascii="Times New Roman" w:hAnsi="Times New Roman" w:cs="Times New Roman"/>
          <w:b/>
          <w:color w:val="000000" w:themeColor="text1"/>
          <w:sz w:val="24"/>
          <w:szCs w:val="24"/>
          <w:u w:val="single"/>
        </w:rPr>
        <w:t>second compensable injury</w:t>
      </w:r>
      <w:r w:rsidRPr="00D06581">
        <w:rPr>
          <w:rFonts w:ascii="Times New Roman" w:hAnsi="Times New Roman" w:cs="Times New Roman"/>
          <w:b/>
          <w:color w:val="000000" w:themeColor="text1"/>
          <w:sz w:val="24"/>
          <w:szCs w:val="24"/>
        </w:rPr>
        <w:t>.”</w:t>
      </w:r>
    </w:p>
    <w:p w14:paraId="15D44C0E" w14:textId="77777777" w:rsidR="00FF7482" w:rsidRPr="00D06581" w:rsidRDefault="00FF7482" w:rsidP="007478CD">
      <w:pPr>
        <w:pStyle w:val="ListParagraph"/>
        <w:ind w:left="0" w:firstLine="720"/>
        <w:jc w:val="both"/>
        <w:rPr>
          <w:rFonts w:ascii="Times New Roman" w:hAnsi="Times New Roman" w:cs="Times New Roman"/>
          <w:b/>
          <w:color w:val="000000" w:themeColor="text1"/>
          <w:sz w:val="24"/>
          <w:szCs w:val="24"/>
        </w:rPr>
      </w:pPr>
    </w:p>
    <w:p w14:paraId="0B3D8256" w14:textId="450B93C9" w:rsidR="00FF7482" w:rsidRDefault="00FF7482" w:rsidP="00D57F28">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grasp Wyoming law in this area it is important to distinguish between two different situations. In </w:t>
      </w:r>
      <w:r w:rsidRPr="00964F02">
        <w:rPr>
          <w:rFonts w:ascii="Times New Roman" w:hAnsi="Times New Roman" w:cs="Times New Roman"/>
          <w:b/>
          <w:color w:val="000000" w:themeColor="text1"/>
          <w:sz w:val="24"/>
          <w:szCs w:val="24"/>
        </w:rPr>
        <w:t>the first situation</w:t>
      </w:r>
      <w:r>
        <w:rPr>
          <w:rFonts w:ascii="Times New Roman" w:hAnsi="Times New Roman" w:cs="Times New Roman"/>
          <w:color w:val="000000" w:themeColor="text1"/>
          <w:sz w:val="24"/>
          <w:szCs w:val="24"/>
        </w:rPr>
        <w:t xml:space="preserve">, an employee suffers a work-related injury and either the employee alleges that the injury has worsened and requests additional benefits, or the Workers’ Safety and Compensation Division asserts that the injury has improved and seeks to reduce the employee’s benefits. In </w:t>
      </w:r>
      <w:r w:rsidRPr="00964F02">
        <w:rPr>
          <w:rFonts w:ascii="Times New Roman" w:hAnsi="Times New Roman" w:cs="Times New Roman"/>
          <w:b/>
          <w:color w:val="000000" w:themeColor="text1"/>
          <w:sz w:val="24"/>
          <w:szCs w:val="24"/>
        </w:rPr>
        <w:t>the second situation</w:t>
      </w:r>
      <w:r w:rsidRPr="00964F02">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an employee suffers a work-related injury and is paid benefits. Later, the employee alleges that </w:t>
      </w:r>
      <w:r w:rsidRPr="00DA7EF3">
        <w:rPr>
          <w:rFonts w:ascii="Times New Roman" w:hAnsi="Times New Roman" w:cs="Times New Roman"/>
          <w:b/>
          <w:color w:val="000000" w:themeColor="text1"/>
          <w:sz w:val="24"/>
          <w:szCs w:val="24"/>
          <w:u w:val="single"/>
        </w:rPr>
        <w:t>an entirely separate injury</w:t>
      </w:r>
      <w:r>
        <w:rPr>
          <w:rFonts w:ascii="Times New Roman" w:hAnsi="Times New Roman" w:cs="Times New Roman"/>
          <w:b/>
          <w:color w:val="000000" w:themeColor="text1"/>
          <w:sz w:val="24"/>
          <w:szCs w:val="24"/>
        </w:rPr>
        <w:t xml:space="preserve">—a second compensable injury—has </w:t>
      </w:r>
      <w:r>
        <w:rPr>
          <w:rFonts w:ascii="Times New Roman" w:hAnsi="Times New Roman" w:cs="Times New Roman"/>
          <w:color w:val="000000" w:themeColor="text1"/>
          <w:sz w:val="24"/>
          <w:szCs w:val="24"/>
        </w:rPr>
        <w:lastRenderedPageBreak/>
        <w:t xml:space="preserve">been </w:t>
      </w:r>
      <w:r w:rsidRPr="00C95BBE">
        <w:rPr>
          <w:rFonts w:ascii="Times New Roman" w:hAnsi="Times New Roman" w:cs="Times New Roman"/>
          <w:b/>
          <w:color w:val="000000" w:themeColor="text1"/>
          <w:sz w:val="24"/>
          <w:szCs w:val="24"/>
        </w:rPr>
        <w:t>caused by the original injury</w:t>
      </w:r>
      <w:r>
        <w:rPr>
          <w:rFonts w:ascii="Times New Roman" w:hAnsi="Times New Roman" w:cs="Times New Roman"/>
          <w:color w:val="000000" w:themeColor="text1"/>
          <w:sz w:val="24"/>
          <w:szCs w:val="24"/>
        </w:rPr>
        <w:t xml:space="preserve">. In other words, </w:t>
      </w:r>
      <w:r w:rsidRPr="00C95BB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C469D5">
        <w:rPr>
          <w:rFonts w:ascii="Times New Roman" w:hAnsi="Times New Roman" w:cs="Times New Roman"/>
          <w:b/>
          <w:color w:val="000000" w:themeColor="text1"/>
          <w:sz w:val="24"/>
          <w:szCs w:val="24"/>
        </w:rPr>
        <w:t>“</w:t>
      </w:r>
      <w:r w:rsidRPr="00BB7AED">
        <w:rPr>
          <w:rFonts w:ascii="Times New Roman" w:hAnsi="Times New Roman" w:cs="Times New Roman"/>
          <w:b/>
          <w:color w:val="000000" w:themeColor="text1"/>
          <w:sz w:val="24"/>
          <w:szCs w:val="24"/>
        </w:rPr>
        <w:t>‘second compensable injury’ includes . . . an initial compensable injury [that] ripens into a condition requiring additional medical intervention</w:t>
      </w:r>
      <w:r w:rsidRPr="004F5E2C">
        <w:rPr>
          <w:rFonts w:ascii="Times New Roman" w:hAnsi="Times New Roman" w:cs="Times New Roman"/>
          <w:b/>
          <w:bCs/>
          <w:color w:val="000000" w:themeColor="text1"/>
          <w:sz w:val="24"/>
          <w:szCs w:val="24"/>
        </w:rPr>
        <w:t>.”</w:t>
      </w:r>
      <w:r w:rsidRPr="00112C9C">
        <w:rPr>
          <w:rFonts w:ascii="Times New Roman" w:hAnsi="Times New Roman" w:cs="Times New Roman"/>
          <w:sz w:val="24"/>
          <w:szCs w:val="24"/>
          <w:vertAlign w:val="superscript"/>
        </w:rPr>
        <w:footnoteReference w:id="258"/>
      </w:r>
    </w:p>
    <w:p w14:paraId="7A840E6F" w14:textId="77777777" w:rsidR="00FF7482" w:rsidRDefault="00FF7482" w:rsidP="007478CD">
      <w:pPr>
        <w:pStyle w:val="ListParagraph"/>
        <w:ind w:left="0" w:firstLine="720"/>
        <w:jc w:val="both"/>
        <w:rPr>
          <w:rFonts w:ascii="Times New Roman" w:hAnsi="Times New Roman" w:cs="Times New Roman"/>
          <w:color w:val="000000" w:themeColor="text1"/>
          <w:sz w:val="24"/>
          <w:szCs w:val="24"/>
        </w:rPr>
      </w:pPr>
    </w:p>
    <w:p w14:paraId="7E5EE56E" w14:textId="1199615A" w:rsidR="00FF7482" w:rsidRDefault="00FF7482" w:rsidP="00C469D5">
      <w:pPr>
        <w:pStyle w:val="ListParagraph"/>
        <w:spacing w:after="0"/>
        <w:ind w:left="0"/>
        <w:jc w:val="both"/>
        <w:rPr>
          <w:rFonts w:ascii="Times New Roman" w:hAnsi="Times New Roman" w:cs="Times New Roman"/>
          <w:color w:val="000000" w:themeColor="text1"/>
          <w:sz w:val="24"/>
          <w:szCs w:val="24"/>
        </w:rPr>
      </w:pPr>
      <w:bookmarkStart w:id="363" w:name="_Hlk20663377"/>
      <w:r>
        <w:rPr>
          <w:rFonts w:ascii="Times New Roman" w:hAnsi="Times New Roman" w:cs="Times New Roman"/>
          <w:color w:val="000000" w:themeColor="text1"/>
          <w:sz w:val="24"/>
          <w:szCs w:val="24"/>
        </w:rPr>
        <w:t xml:space="preserve">For an employee to receive </w:t>
      </w:r>
      <w:r w:rsidRPr="00DA7EF3">
        <w:rPr>
          <w:rFonts w:ascii="Times New Roman" w:hAnsi="Times New Roman" w:cs="Times New Roman"/>
          <w:i/>
          <w:iCs/>
          <w:color w:val="000000" w:themeColor="text1"/>
          <w:sz w:val="24"/>
          <w:szCs w:val="24"/>
        </w:rPr>
        <w:t>additional</w:t>
      </w:r>
      <w:r>
        <w:rPr>
          <w:rFonts w:ascii="Times New Roman" w:hAnsi="Times New Roman" w:cs="Times New Roman"/>
          <w:color w:val="000000" w:themeColor="text1"/>
          <w:sz w:val="24"/>
          <w:szCs w:val="24"/>
        </w:rPr>
        <w:t xml:space="preserve"> benefits in the first situation, </w:t>
      </w:r>
      <w:r w:rsidRPr="009E5771">
        <w:rPr>
          <w:rFonts w:ascii="Times New Roman" w:hAnsi="Times New Roman" w:cs="Times New Roman"/>
          <w:b/>
          <w:color w:val="000000" w:themeColor="text1"/>
          <w:sz w:val="24"/>
          <w:szCs w:val="24"/>
        </w:rPr>
        <w:t>a claim must be filed within four years</w:t>
      </w:r>
      <w:r>
        <w:rPr>
          <w:rFonts w:ascii="Times New Roman" w:hAnsi="Times New Roman" w:cs="Times New Roman"/>
          <w:color w:val="000000" w:themeColor="text1"/>
          <w:sz w:val="24"/>
          <w:szCs w:val="24"/>
        </w:rPr>
        <w:t xml:space="preserve"> from the date of the last payment for additional benefits, and the employee must, among other things, prove </w:t>
      </w:r>
      <w:r w:rsidRPr="009E5771">
        <w:rPr>
          <w:rFonts w:ascii="Times New Roman" w:hAnsi="Times New Roman" w:cs="Times New Roman"/>
          <w:color w:val="000000" w:themeColor="text1"/>
          <w:sz w:val="24"/>
          <w:szCs w:val="24"/>
        </w:rPr>
        <w:t xml:space="preserve">by competent medical authority and </w:t>
      </w:r>
      <w:r w:rsidRPr="009E5771">
        <w:rPr>
          <w:rFonts w:ascii="Times New Roman" w:hAnsi="Times New Roman" w:cs="Times New Roman"/>
          <w:b/>
          <w:color w:val="000000" w:themeColor="text1"/>
          <w:sz w:val="24"/>
          <w:szCs w:val="24"/>
        </w:rPr>
        <w:t xml:space="preserve">to a reasonable degree of </w:t>
      </w:r>
      <w:r w:rsidRPr="00E96C94">
        <w:rPr>
          <w:rFonts w:ascii="Times New Roman" w:hAnsi="Times New Roman" w:cs="Times New Roman"/>
          <w:b/>
          <w:color w:val="000000" w:themeColor="text1"/>
          <w:sz w:val="24"/>
          <w:szCs w:val="24"/>
          <w:u w:val="single"/>
        </w:rPr>
        <w:t>medical certainty</w:t>
      </w:r>
      <w:r w:rsidRPr="009E57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(unlike the “probably” or “most likely” initial causation formulation discussed in this Treatise above at Section 3.9) </w:t>
      </w:r>
      <w:r w:rsidRPr="009E5771">
        <w:rPr>
          <w:rFonts w:ascii="Times New Roman" w:hAnsi="Times New Roman" w:cs="Times New Roman"/>
          <w:color w:val="000000" w:themeColor="text1"/>
          <w:sz w:val="24"/>
          <w:szCs w:val="24"/>
        </w:rPr>
        <w:t xml:space="preserve">that the condition is </w:t>
      </w:r>
      <w:r w:rsidRPr="00A44DD7">
        <w:rPr>
          <w:rFonts w:ascii="Times New Roman" w:hAnsi="Times New Roman" w:cs="Times New Roman"/>
          <w:b/>
          <w:color w:val="000000" w:themeColor="text1"/>
          <w:sz w:val="24"/>
          <w:szCs w:val="24"/>
        </w:rPr>
        <w:t>directly related</w:t>
      </w:r>
      <w:r w:rsidRPr="009E5771">
        <w:rPr>
          <w:rFonts w:ascii="Times New Roman" w:hAnsi="Times New Roman" w:cs="Times New Roman"/>
          <w:color w:val="000000" w:themeColor="text1"/>
          <w:sz w:val="24"/>
          <w:szCs w:val="24"/>
        </w:rPr>
        <w:t xml:space="preserve"> to the original injury</w:t>
      </w:r>
      <w:bookmarkEnd w:id="363"/>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59"/>
      </w:r>
      <w:r>
        <w:rPr>
          <w:rFonts w:ascii="Times New Roman" w:hAnsi="Times New Roman" w:cs="Times New Roman"/>
          <w:color w:val="000000" w:themeColor="text1"/>
          <w:sz w:val="24"/>
          <w:szCs w:val="24"/>
        </w:rPr>
        <w:t xml:space="preserve"> An employee seeking benefits in the second situation </w:t>
      </w:r>
      <w:r w:rsidRPr="00A44DD7">
        <w:rPr>
          <w:rFonts w:ascii="Times New Roman" w:hAnsi="Times New Roman" w:cs="Times New Roman"/>
          <w:b/>
          <w:color w:val="000000" w:themeColor="text1"/>
          <w:sz w:val="24"/>
          <w:szCs w:val="24"/>
        </w:rPr>
        <w:t>is not bound by the four-year limitations period</w:t>
      </w:r>
      <w:r>
        <w:rPr>
          <w:rFonts w:ascii="Times New Roman" w:hAnsi="Times New Roman" w:cs="Times New Roman"/>
          <w:b/>
          <w:color w:val="000000" w:themeColor="text1"/>
          <w:sz w:val="24"/>
          <w:szCs w:val="24"/>
        </w:rPr>
        <w:t xml:space="preserve"> (indeed, it appears there may be </w:t>
      </w:r>
      <w:r w:rsidRPr="00E96C94">
        <w:rPr>
          <w:rFonts w:ascii="Times New Roman" w:hAnsi="Times New Roman" w:cs="Times New Roman"/>
          <w:b/>
          <w:color w:val="000000" w:themeColor="text1"/>
          <w:sz w:val="24"/>
          <w:szCs w:val="24"/>
          <w:u w:val="single"/>
        </w:rPr>
        <w:t>no</w:t>
      </w:r>
      <w:r>
        <w:rPr>
          <w:rFonts w:ascii="Times New Roman" w:hAnsi="Times New Roman" w:cs="Times New Roman"/>
          <w:b/>
          <w:color w:val="000000" w:themeColor="text1"/>
          <w:sz w:val="24"/>
          <w:szCs w:val="24"/>
        </w:rPr>
        <w:t xml:space="preserve"> limitations period)</w:t>
      </w:r>
      <w:r w:rsidRPr="00112C9C">
        <w:rPr>
          <w:rFonts w:ascii="Times New Roman" w:hAnsi="Times New Roman" w:cs="Times New Roman"/>
          <w:bCs/>
          <w:sz w:val="24"/>
          <w:szCs w:val="24"/>
          <w:vertAlign w:val="superscript"/>
        </w:rPr>
        <w:footnoteReference w:id="260"/>
      </w:r>
      <w:r>
        <w:rPr>
          <w:rFonts w:ascii="Times New Roman" w:hAnsi="Times New Roman" w:cs="Times New Roman"/>
          <w:color w:val="000000" w:themeColor="text1"/>
          <w:sz w:val="24"/>
          <w:szCs w:val="24"/>
        </w:rPr>
        <w:t xml:space="preserve"> and “</w:t>
      </w:r>
      <w:r w:rsidRPr="00A44DD7">
        <w:rPr>
          <w:rFonts w:ascii="Times New Roman" w:hAnsi="Times New Roman" w:cs="Times New Roman"/>
          <w:color w:val="000000" w:themeColor="text1"/>
          <w:sz w:val="24"/>
          <w:szCs w:val="24"/>
        </w:rPr>
        <w:t xml:space="preserve">the claimant only has to demonstrate that it is </w:t>
      </w:r>
      <w:r w:rsidRPr="00A44DD7">
        <w:rPr>
          <w:rFonts w:ascii="Times New Roman" w:hAnsi="Times New Roman" w:cs="Times New Roman"/>
          <w:b/>
          <w:color w:val="000000" w:themeColor="text1"/>
          <w:sz w:val="24"/>
          <w:szCs w:val="24"/>
        </w:rPr>
        <w:t>‘</w:t>
      </w:r>
      <w:r w:rsidRPr="00E96C94">
        <w:rPr>
          <w:rFonts w:ascii="Times New Roman" w:hAnsi="Times New Roman" w:cs="Times New Roman"/>
          <w:b/>
          <w:color w:val="000000" w:themeColor="text1"/>
          <w:sz w:val="24"/>
          <w:szCs w:val="24"/>
          <w:u w:val="single"/>
        </w:rPr>
        <w:t>more probable than not</w:t>
      </w:r>
      <w:r w:rsidRPr="00A44DD7">
        <w:rPr>
          <w:rFonts w:ascii="Times New Roman" w:hAnsi="Times New Roman" w:cs="Times New Roman"/>
          <w:b/>
          <w:color w:val="000000" w:themeColor="text1"/>
          <w:sz w:val="24"/>
          <w:szCs w:val="24"/>
        </w:rPr>
        <w:t>,’</w:t>
      </w:r>
      <w:r w:rsidRPr="00A44DD7">
        <w:rPr>
          <w:rFonts w:ascii="Times New Roman" w:hAnsi="Times New Roman" w:cs="Times New Roman"/>
          <w:color w:val="000000" w:themeColor="text1"/>
          <w:sz w:val="24"/>
          <w:szCs w:val="24"/>
        </w:rPr>
        <w:t xml:space="preserve"> that the first and second injuries are related.</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61"/>
      </w:r>
    </w:p>
    <w:p w14:paraId="3653E573" w14:textId="77777777" w:rsidR="00FF7482" w:rsidRDefault="00FF7482" w:rsidP="00BB5430">
      <w:pPr>
        <w:pStyle w:val="ListParagraph"/>
        <w:spacing w:after="0"/>
        <w:ind w:left="0" w:firstLine="720"/>
        <w:jc w:val="both"/>
        <w:rPr>
          <w:rFonts w:ascii="Times New Roman" w:hAnsi="Times New Roman" w:cs="Times New Roman"/>
          <w:color w:val="000000" w:themeColor="text1"/>
          <w:sz w:val="24"/>
          <w:szCs w:val="24"/>
        </w:rPr>
      </w:pPr>
    </w:p>
    <w:p w14:paraId="7C6BC248" w14:textId="41CE0415" w:rsidR="00FF7482" w:rsidRDefault="00FF7482" w:rsidP="00D57F28">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“second compensable injury” problem is partially addressed in connection with other jurisdictions in the </w:t>
      </w:r>
      <w:r w:rsidRPr="009245CA">
        <w:rPr>
          <w:rFonts w:ascii="Times New Roman" w:hAnsi="Times New Roman" w:cs="Times New Roman"/>
          <w:i/>
          <w:color w:val="000000" w:themeColor="text1"/>
          <w:sz w:val="24"/>
          <w:szCs w:val="24"/>
        </w:rPr>
        <w:t>Larson</w:t>
      </w:r>
      <w:r>
        <w:rPr>
          <w:rFonts w:ascii="Times New Roman" w:hAnsi="Times New Roman" w:cs="Times New Roman"/>
          <w:color w:val="000000" w:themeColor="text1"/>
          <w:sz w:val="24"/>
          <w:szCs w:val="24"/>
        </w:rPr>
        <w:t>’s treatise: “</w:t>
      </w:r>
      <w:r w:rsidRPr="009245CA">
        <w:rPr>
          <w:rFonts w:ascii="Times New Roman" w:hAnsi="Times New Roman" w:cs="Times New Roman"/>
          <w:color w:val="000000" w:themeColor="text1"/>
          <w:sz w:val="24"/>
          <w:szCs w:val="24"/>
        </w:rPr>
        <w:t>when complications develop directly from the original injury, as when a claimant suffers further injuries in a fall caused by his original injury</w:t>
      </w:r>
      <w:r>
        <w:rPr>
          <w:rFonts w:ascii="Times New Roman" w:hAnsi="Times New Roman" w:cs="Times New Roman"/>
          <w:color w:val="000000" w:themeColor="text1"/>
          <w:sz w:val="24"/>
          <w:szCs w:val="24"/>
        </w:rPr>
        <w:t xml:space="preserve"> </w:t>
      </w:r>
      <w:r w:rsidRPr="009245CA">
        <w:rPr>
          <w:rFonts w:ascii="Times New Roman" w:hAnsi="Times New Roman" w:cs="Times New Roman"/>
          <w:color w:val="000000" w:themeColor="text1"/>
          <w:sz w:val="24"/>
          <w:szCs w:val="24"/>
        </w:rPr>
        <w:t>or aseptic necrosis develops from claimant’s broken hip,</w:t>
      </w:r>
      <w:r>
        <w:rPr>
          <w:rFonts w:ascii="Times New Roman" w:hAnsi="Times New Roman" w:cs="Times New Roman"/>
          <w:color w:val="000000" w:themeColor="text1"/>
          <w:sz w:val="24"/>
          <w:szCs w:val="24"/>
        </w:rPr>
        <w:t xml:space="preserve"> </w:t>
      </w:r>
      <w:r w:rsidRPr="009245CA">
        <w:rPr>
          <w:rFonts w:ascii="Times New Roman" w:hAnsi="Times New Roman" w:cs="Times New Roman"/>
          <w:color w:val="000000" w:themeColor="text1"/>
          <w:sz w:val="24"/>
          <w:szCs w:val="24"/>
        </w:rPr>
        <w:t>the reopening statute applies,</w:t>
      </w:r>
      <w:r>
        <w:rPr>
          <w:rFonts w:ascii="Times New Roman" w:hAnsi="Times New Roman" w:cs="Times New Roman"/>
          <w:color w:val="000000" w:themeColor="text1"/>
          <w:sz w:val="24"/>
          <w:szCs w:val="24"/>
        </w:rPr>
        <w:t xml:space="preserve"> </w:t>
      </w:r>
      <w:r w:rsidRPr="009245CA">
        <w:rPr>
          <w:rFonts w:ascii="Times New Roman" w:hAnsi="Times New Roman" w:cs="Times New Roman"/>
          <w:color w:val="000000" w:themeColor="text1"/>
          <w:sz w:val="24"/>
          <w:szCs w:val="24"/>
        </w:rPr>
        <w:t>and the limitation period cannot be escaped by calling the condition a new disability.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62"/>
      </w:r>
      <w:r>
        <w:rPr>
          <w:rFonts w:ascii="Times New Roman" w:hAnsi="Times New Roman" w:cs="Times New Roman"/>
          <w:color w:val="000000" w:themeColor="text1"/>
          <w:sz w:val="24"/>
          <w:szCs w:val="24"/>
        </w:rPr>
        <w:t xml:space="preserve"> A corollary of the passage is that when a second, distinct work-related injury </w:t>
      </w:r>
      <w:r w:rsidRPr="00DA7EF3">
        <w:rPr>
          <w:rFonts w:ascii="Times New Roman" w:hAnsi="Times New Roman" w:cs="Times New Roman"/>
          <w:i/>
          <w:iCs/>
          <w:color w:val="000000" w:themeColor="text1"/>
          <w:sz w:val="24"/>
          <w:szCs w:val="24"/>
        </w:rPr>
        <w:t>is</w:t>
      </w:r>
      <w:r>
        <w:rPr>
          <w:rFonts w:ascii="Times New Roman" w:hAnsi="Times New Roman" w:cs="Times New Roman"/>
          <w:color w:val="000000" w:themeColor="text1"/>
          <w:sz w:val="24"/>
          <w:szCs w:val="24"/>
        </w:rPr>
        <w:t xml:space="preserve"> in fact caused by a first work-related (compensable) injury the limitations period may </w:t>
      </w:r>
      <w:r w:rsidRPr="00596008">
        <w:rPr>
          <w:rFonts w:ascii="Times New Roman" w:hAnsi="Times New Roman" w:cs="Times New Roman"/>
          <w:i/>
          <w:iCs/>
          <w:color w:val="000000" w:themeColor="text1"/>
          <w:sz w:val="24"/>
          <w:szCs w:val="24"/>
        </w:rPr>
        <w:t>not</w:t>
      </w:r>
      <w:r>
        <w:rPr>
          <w:rFonts w:ascii="Times New Roman" w:hAnsi="Times New Roman" w:cs="Times New Roman"/>
          <w:color w:val="000000" w:themeColor="text1"/>
          <w:sz w:val="24"/>
          <w:szCs w:val="24"/>
        </w:rPr>
        <w:t xml:space="preserve"> apply (or may be tolled in some fashion). </w:t>
      </w:r>
    </w:p>
    <w:p w14:paraId="635EA7A5" w14:textId="77777777" w:rsidR="00FF7482" w:rsidRDefault="00FF7482" w:rsidP="00D57F28">
      <w:pPr>
        <w:pStyle w:val="ListParagraph"/>
        <w:spacing w:after="0"/>
        <w:ind w:left="0" w:firstLine="720"/>
        <w:jc w:val="both"/>
        <w:rPr>
          <w:rFonts w:ascii="Times New Roman" w:hAnsi="Times New Roman" w:cs="Times New Roman"/>
          <w:color w:val="000000" w:themeColor="text1"/>
          <w:sz w:val="24"/>
          <w:szCs w:val="24"/>
        </w:rPr>
      </w:pPr>
    </w:p>
    <w:p w14:paraId="19B3D6D5" w14:textId="64482F33" w:rsidR="00FF7482" w:rsidRPr="000528CA" w:rsidRDefault="00FF7482" w:rsidP="00D57F28">
      <w:pPr>
        <w:pStyle w:val="Heading2"/>
        <w:rPr>
          <w:rFonts w:ascii="Times New Roman" w:hAnsi="Times New Roman" w:cs="Times New Roman"/>
          <w:b/>
          <w:color w:val="auto"/>
        </w:rPr>
      </w:pPr>
      <w:bookmarkStart w:id="368" w:name="_Toc75269376"/>
      <w:r w:rsidRPr="000528CA">
        <w:rPr>
          <w:rFonts w:ascii="Times New Roman" w:hAnsi="Times New Roman" w:cs="Times New Roman"/>
          <w:b/>
          <w:color w:val="auto"/>
        </w:rPr>
        <w:t>Occupational Disease</w:t>
      </w:r>
      <w:r>
        <w:rPr>
          <w:rFonts w:ascii="Times New Roman" w:hAnsi="Times New Roman" w:cs="Times New Roman"/>
          <w:b/>
          <w:color w:val="auto"/>
        </w:rPr>
        <w:t xml:space="preserve"> Coverage in Wyoming</w:t>
      </w:r>
      <w:bookmarkEnd w:id="368"/>
    </w:p>
    <w:p w14:paraId="731DD747" w14:textId="77777777" w:rsidR="00D57F28" w:rsidRDefault="00D57F28" w:rsidP="00D57F28">
      <w:pPr>
        <w:pStyle w:val="ListParagraph"/>
        <w:spacing w:after="0"/>
        <w:ind w:left="0"/>
        <w:jc w:val="both"/>
        <w:rPr>
          <w:rFonts w:ascii="Times New Roman" w:hAnsi="Times New Roman" w:cs="Times New Roman"/>
          <w:color w:val="000000" w:themeColor="text1"/>
          <w:sz w:val="24"/>
          <w:szCs w:val="24"/>
        </w:rPr>
      </w:pPr>
    </w:p>
    <w:p w14:paraId="472287C5" w14:textId="628B5FAE" w:rsidR="00D57F28" w:rsidRDefault="00FF7482" w:rsidP="00D57F28">
      <w:pPr>
        <w:pStyle w:val="ListParagraph"/>
        <w:spacing w:after="0"/>
        <w:ind w:left="0"/>
        <w:jc w:val="both"/>
        <w:rPr>
          <w:rFonts w:ascii="Times New Roman" w:hAnsi="Times New Roman" w:cs="Times New Roman"/>
          <w:color w:val="000000" w:themeColor="text1"/>
          <w:sz w:val="24"/>
          <w:szCs w:val="24"/>
        </w:rPr>
      </w:pPr>
      <w:r w:rsidRPr="004B6334">
        <w:rPr>
          <w:rFonts w:ascii="Times New Roman" w:hAnsi="Times New Roman" w:cs="Times New Roman"/>
          <w:color w:val="000000" w:themeColor="text1"/>
          <w:sz w:val="24"/>
          <w:szCs w:val="24"/>
        </w:rPr>
        <w:t xml:space="preserve">Because </w:t>
      </w:r>
      <w:r>
        <w:rPr>
          <w:rFonts w:ascii="Times New Roman" w:hAnsi="Times New Roman" w:cs="Times New Roman"/>
          <w:color w:val="000000" w:themeColor="text1"/>
          <w:sz w:val="24"/>
          <w:szCs w:val="24"/>
        </w:rPr>
        <w:t xml:space="preserve">Wyoming’s current workers’ compensation statute </w:t>
      </w:r>
      <w:r w:rsidRPr="00267155">
        <w:rPr>
          <w:rFonts w:ascii="Times New Roman" w:hAnsi="Times New Roman" w:cs="Times New Roman"/>
          <w:b/>
          <w:color w:val="000000" w:themeColor="text1"/>
          <w:sz w:val="24"/>
          <w:szCs w:val="24"/>
          <w:u w:val="single"/>
        </w:rPr>
        <w:t>explicitly allows for the coverage of occupational diseases arising out of and in the course of employment</w:t>
      </w:r>
      <w:r>
        <w:rPr>
          <w:rFonts w:ascii="Times New Roman" w:hAnsi="Times New Roman" w:cs="Times New Roman"/>
          <w:color w:val="000000" w:themeColor="text1"/>
          <w:sz w:val="24"/>
          <w:szCs w:val="24"/>
        </w:rPr>
        <w:t>, Wyoming law is not currently troubled by some of the historical doctrinal issues</w:t>
      </w:r>
      <w:r w:rsidRPr="00112C9C">
        <w:rPr>
          <w:rFonts w:ascii="Times New Roman" w:hAnsi="Times New Roman" w:cs="Times New Roman"/>
          <w:sz w:val="24"/>
          <w:szCs w:val="24"/>
          <w:vertAlign w:val="superscript"/>
        </w:rPr>
        <w:footnoteReference w:id="263"/>
      </w:r>
      <w:r>
        <w:rPr>
          <w:rFonts w:ascii="Times New Roman" w:hAnsi="Times New Roman" w:cs="Times New Roman"/>
          <w:color w:val="000000" w:themeColor="text1"/>
          <w:sz w:val="24"/>
          <w:szCs w:val="24"/>
        </w:rPr>
        <w:t xml:space="preserve"> that have arisen in other states about how to fit occupational disease within the workers’ compensation rubric.</w:t>
      </w:r>
      <w:r w:rsidRPr="00112C9C">
        <w:rPr>
          <w:rFonts w:ascii="Times New Roman" w:hAnsi="Times New Roman" w:cs="Times New Roman"/>
          <w:sz w:val="24"/>
          <w:szCs w:val="24"/>
          <w:vertAlign w:val="superscript"/>
        </w:rPr>
        <w:footnoteReference w:id="264"/>
      </w:r>
      <w:r>
        <w:rPr>
          <w:rFonts w:ascii="Times New Roman" w:hAnsi="Times New Roman" w:cs="Times New Roman"/>
          <w:color w:val="000000" w:themeColor="text1"/>
          <w:sz w:val="24"/>
          <w:szCs w:val="24"/>
        </w:rPr>
        <w:t xml:space="preserve"> Wyoming provides coverage of occupational diseases, as did the early Massachusetts, California, and Federal Employees Workers’ Compensation Acts, by generally including occupational diseases under the heading of </w:t>
      </w:r>
      <w:r w:rsidRPr="00BA4007">
        <w:rPr>
          <w:rFonts w:ascii="Times New Roman" w:hAnsi="Times New Roman" w:cs="Times New Roman"/>
          <w:b/>
          <w:color w:val="000000" w:themeColor="text1"/>
          <w:sz w:val="24"/>
          <w:szCs w:val="24"/>
        </w:rPr>
        <w:t>“injury.”</w:t>
      </w:r>
      <w:r>
        <w:rPr>
          <w:rFonts w:ascii="Times New Roman" w:hAnsi="Times New Roman" w:cs="Times New Roman"/>
          <w:color w:val="000000" w:themeColor="text1"/>
          <w:sz w:val="24"/>
          <w:szCs w:val="24"/>
        </w:rPr>
        <w:t xml:space="preserve">  </w:t>
      </w:r>
      <w:r w:rsidRPr="00CC46B2">
        <w:rPr>
          <w:rFonts w:ascii="Times New Roman" w:hAnsi="Times New Roman" w:cs="Times New Roman"/>
          <w:sz w:val="24"/>
          <w:szCs w:val="24"/>
        </w:rPr>
        <w:t xml:space="preserve">W.S. </w:t>
      </w:r>
      <w:bookmarkStart w:id="372" w:name="_Hlk518121052"/>
      <w:r w:rsidRPr="00CC46B2">
        <w:rPr>
          <w:rFonts w:ascii="Times New Roman" w:hAnsi="Times New Roman" w:cs="Times New Roman"/>
          <w:sz w:val="24"/>
          <w:szCs w:val="24"/>
        </w:rPr>
        <w:t xml:space="preserve">§ </w:t>
      </w:r>
      <w:hyperlink r:id="rId68" w:history="1">
        <w:r w:rsidRPr="00CC46B2">
          <w:rPr>
            <w:rStyle w:val="Hyperlink"/>
            <w:rFonts w:ascii="Times New Roman" w:hAnsi="Times New Roman" w:cs="Times New Roman"/>
            <w:sz w:val="24"/>
            <w:szCs w:val="24"/>
          </w:rPr>
          <w:t>27-14-102</w:t>
        </w:r>
      </w:hyperlink>
      <w:r w:rsidRPr="00E818B7">
        <w:rPr>
          <w:rFonts w:ascii="Times New Roman" w:hAnsi="Times New Roman" w:cs="Times New Roman"/>
          <w:color w:val="000000" w:themeColor="text1"/>
          <w:sz w:val="24"/>
          <w:szCs w:val="24"/>
        </w:rPr>
        <w:t>(xi)</w:t>
      </w:r>
      <w:r>
        <w:rPr>
          <w:rFonts w:ascii="Times New Roman" w:hAnsi="Times New Roman" w:cs="Times New Roman"/>
          <w:color w:val="000000" w:themeColor="text1"/>
          <w:sz w:val="24"/>
          <w:szCs w:val="24"/>
        </w:rPr>
        <w:t xml:space="preserve"> </w:t>
      </w:r>
      <w:bookmarkEnd w:id="372"/>
      <w:r>
        <w:rPr>
          <w:rFonts w:ascii="Times New Roman" w:hAnsi="Times New Roman" w:cs="Times New Roman"/>
          <w:color w:val="000000" w:themeColor="text1"/>
          <w:sz w:val="24"/>
          <w:szCs w:val="24"/>
        </w:rPr>
        <w:t xml:space="preserve">defines “injury” as </w:t>
      </w:r>
      <w:r w:rsidRPr="00E818B7">
        <w:rPr>
          <w:rFonts w:ascii="Times New Roman" w:hAnsi="Times New Roman" w:cs="Times New Roman"/>
          <w:b/>
          <w:color w:val="000000" w:themeColor="text1"/>
          <w:sz w:val="24"/>
          <w:szCs w:val="24"/>
        </w:rPr>
        <w:t>“any harmful change in the human organism  . . . arising out of and in the course of employment while at work in or about the premises occupied, used or controlled by the employer and incurred while at work in places where the employer's business requires an employee's presence, and which subjects the employee to extrahazardous duties incident to the business</w:t>
      </w:r>
      <w:r w:rsidRPr="00CE58FA">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Occupational injuries are not among the subsequent exclusions to this broad definition.</w:t>
      </w:r>
      <w:r w:rsidRPr="00112C9C">
        <w:rPr>
          <w:rFonts w:ascii="Times New Roman" w:hAnsi="Times New Roman" w:cs="Times New Roman"/>
          <w:sz w:val="24"/>
          <w:szCs w:val="24"/>
          <w:vertAlign w:val="superscript"/>
        </w:rPr>
        <w:footnoteReference w:id="265"/>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 xml:space="preserve">Additionally, many diseases are injuries which “occur over a substantial period of time” and are </w:t>
      </w:r>
      <w:r w:rsidRPr="00C63660">
        <w:rPr>
          <w:rFonts w:ascii="Times New Roman" w:hAnsi="Times New Roman" w:cs="Times New Roman"/>
          <w:b/>
          <w:color w:val="000000" w:themeColor="text1"/>
          <w:sz w:val="24"/>
          <w:szCs w:val="24"/>
        </w:rPr>
        <w:t>explicitly</w:t>
      </w:r>
      <w:r>
        <w:rPr>
          <w:rFonts w:ascii="Times New Roman" w:hAnsi="Times New Roman" w:cs="Times New Roman"/>
          <w:b/>
          <w:color w:val="000000" w:themeColor="text1"/>
          <w:sz w:val="24"/>
          <w:szCs w:val="24"/>
        </w:rPr>
        <w:t xml:space="preserve"> or implicitly</w:t>
      </w:r>
      <w:r w:rsidRPr="00C63660">
        <w:rPr>
          <w:rFonts w:ascii="Times New Roman" w:hAnsi="Times New Roman" w:cs="Times New Roman"/>
          <w:b/>
          <w:color w:val="000000" w:themeColor="text1"/>
          <w:sz w:val="24"/>
          <w:szCs w:val="24"/>
        </w:rPr>
        <w:t xml:space="preserve"> covered</w:t>
      </w:r>
      <w:r>
        <w:rPr>
          <w:rFonts w:ascii="Times New Roman" w:hAnsi="Times New Roman" w:cs="Times New Roman"/>
          <w:color w:val="000000" w:themeColor="text1"/>
          <w:sz w:val="24"/>
          <w:szCs w:val="24"/>
        </w:rPr>
        <w:t xml:space="preserve"> </w:t>
      </w:r>
      <w:r w:rsidRPr="00C63660">
        <w:rPr>
          <w:rFonts w:ascii="Times New Roman" w:hAnsi="Times New Roman" w:cs="Times New Roman"/>
          <w:b/>
          <w:i/>
          <w:color w:val="000000" w:themeColor="text1"/>
          <w:sz w:val="24"/>
          <w:szCs w:val="24"/>
        </w:rPr>
        <w:t>subject to the causation requirements previously set out in th</w:t>
      </w:r>
      <w:r>
        <w:rPr>
          <w:rFonts w:ascii="Times New Roman" w:hAnsi="Times New Roman" w:cs="Times New Roman"/>
          <w:b/>
          <w:i/>
          <w:color w:val="000000" w:themeColor="text1"/>
          <w:sz w:val="24"/>
          <w:szCs w:val="24"/>
        </w:rPr>
        <w:t>is</w:t>
      </w:r>
      <w:r w:rsidRPr="00C63660">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T</w:t>
      </w:r>
      <w:r w:rsidRPr="00C63660">
        <w:rPr>
          <w:rFonts w:ascii="Times New Roman" w:hAnsi="Times New Roman" w:cs="Times New Roman"/>
          <w:b/>
          <w:i/>
          <w:color w:val="000000" w:themeColor="text1"/>
          <w:sz w:val="24"/>
          <w:szCs w:val="24"/>
        </w:rPr>
        <w:t>reatise at Section 3.6</w:t>
      </w:r>
      <w:r>
        <w:rPr>
          <w:rFonts w:ascii="Times New Roman" w:hAnsi="Times New Roman" w:cs="Times New Roman"/>
          <w:b/>
          <w:i/>
          <w:color w:val="000000" w:themeColor="text1"/>
          <w:sz w:val="24"/>
          <w:szCs w:val="24"/>
        </w:rPr>
        <w:t xml:space="preserve"> through Section 3.8</w:t>
      </w:r>
      <w:r>
        <w:rPr>
          <w:rFonts w:ascii="Times New Roman" w:hAnsi="Times New Roman" w:cs="Times New Roman"/>
          <w:color w:val="000000" w:themeColor="text1"/>
          <w:sz w:val="24"/>
          <w:szCs w:val="24"/>
        </w:rPr>
        <w:t>.</w:t>
      </w:r>
    </w:p>
    <w:p w14:paraId="52B2BCDA" w14:textId="77777777" w:rsidR="00D57F28" w:rsidRDefault="00D57F28" w:rsidP="00D57F28">
      <w:pPr>
        <w:pStyle w:val="ListParagraph"/>
        <w:spacing w:after="0"/>
        <w:ind w:left="0"/>
        <w:jc w:val="both"/>
        <w:rPr>
          <w:rFonts w:ascii="Times New Roman" w:hAnsi="Times New Roman" w:cs="Times New Roman"/>
          <w:color w:val="000000" w:themeColor="text1"/>
          <w:sz w:val="24"/>
          <w:szCs w:val="24"/>
        </w:rPr>
      </w:pPr>
    </w:p>
    <w:p w14:paraId="6CEA364E" w14:textId="01473E4C" w:rsidR="00FF7482" w:rsidRDefault="00FF7482" w:rsidP="00D57F28">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Accordingly, occupational diseases are now so easily fit into the definition of injury under Wyoming’s statute that courts are not required to grapple with the questions of how a disease developed over time can be an “accident” or, if it is, when the accident can be said to have occurred.</w:t>
      </w:r>
      <w:r w:rsidRPr="00112C9C">
        <w:rPr>
          <w:rFonts w:ascii="Times New Roman" w:hAnsi="Times New Roman" w:cs="Times New Roman"/>
          <w:sz w:val="24"/>
          <w:szCs w:val="24"/>
          <w:vertAlign w:val="superscript"/>
        </w:rPr>
        <w:footnoteReference w:id="266"/>
      </w:r>
      <w:r w:rsidRPr="00112C9C">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14:paraId="78DBE7AF" w14:textId="77777777" w:rsidR="00FF7482" w:rsidRDefault="00FF7482" w:rsidP="00D57F28">
      <w:pPr>
        <w:pStyle w:val="ListParagraph"/>
        <w:spacing w:after="0"/>
        <w:ind w:left="0" w:firstLine="720"/>
        <w:jc w:val="both"/>
        <w:rPr>
          <w:rFonts w:ascii="Times New Roman" w:hAnsi="Times New Roman" w:cs="Times New Roman"/>
          <w:color w:val="000000" w:themeColor="text1"/>
          <w:sz w:val="24"/>
          <w:szCs w:val="24"/>
        </w:rPr>
      </w:pPr>
    </w:p>
    <w:p w14:paraId="71CF3F3C" w14:textId="43F8764A" w:rsidR="00FF7482" w:rsidRDefault="00FF7482" w:rsidP="00D57F28">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But at one time Wyoming possessed an Occupational Disease Law of the type discussed by the </w:t>
      </w:r>
      <w:r w:rsidRPr="00905EBA">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w:t>
      </w:r>
    </w:p>
    <w:p w14:paraId="032FE9D9" w14:textId="77777777" w:rsidR="00FF7482" w:rsidRDefault="00FF7482" w:rsidP="004B6334">
      <w:pPr>
        <w:pStyle w:val="ListParagraph"/>
        <w:ind w:left="0" w:firstLine="720"/>
        <w:jc w:val="both"/>
        <w:rPr>
          <w:rFonts w:ascii="Times New Roman" w:hAnsi="Times New Roman" w:cs="Times New Roman"/>
          <w:color w:val="000000" w:themeColor="text1"/>
          <w:sz w:val="24"/>
          <w:szCs w:val="24"/>
        </w:rPr>
      </w:pPr>
    </w:p>
    <w:p w14:paraId="3B8F45F1" w14:textId="5FE8FD1A" w:rsidR="00FF7482" w:rsidRDefault="00FF7482" w:rsidP="00D57F28">
      <w:pPr>
        <w:pStyle w:val="ListParagraph"/>
        <w:ind w:right="720"/>
        <w:jc w:val="both"/>
        <w:rPr>
          <w:rFonts w:ascii="Times New Roman" w:hAnsi="Times New Roman" w:cs="Times New Roman"/>
          <w:color w:val="000000" w:themeColor="text1"/>
          <w:sz w:val="24"/>
          <w:szCs w:val="24"/>
        </w:rPr>
      </w:pPr>
      <w:r w:rsidRPr="009D132C">
        <w:rPr>
          <w:rFonts w:ascii="Times New Roman" w:hAnsi="Times New Roman" w:cs="Times New Roman"/>
          <w:color w:val="000000" w:themeColor="text1"/>
          <w:sz w:val="24"/>
          <w:szCs w:val="24"/>
        </w:rPr>
        <w:t>It was not until 1920 that New York adopted the first schedule-type act, following the English practice of listing not only particular diseases but the process in which they are acquired. While the schedule method was widely copied, the trend has been toward expansion into general coverage, either by abandoning the schedule altogether, or, as was done in New York, Ohio, and, more recently, Nevada, by leaving the list intact while saying that the act also covers all other occupational diseases.</w:t>
      </w:r>
      <w:r w:rsidRPr="00112C9C">
        <w:rPr>
          <w:rFonts w:ascii="Times New Roman" w:hAnsi="Times New Roman" w:cs="Times New Roman"/>
          <w:sz w:val="24"/>
          <w:szCs w:val="24"/>
          <w:vertAlign w:val="superscript"/>
        </w:rPr>
        <w:footnoteReference w:id="267"/>
      </w:r>
    </w:p>
    <w:p w14:paraId="224CBAF5" w14:textId="77777777" w:rsidR="00FF7482" w:rsidRDefault="00FF7482" w:rsidP="009D132C">
      <w:pPr>
        <w:pStyle w:val="ListParagraph"/>
        <w:ind w:right="720"/>
        <w:jc w:val="both"/>
        <w:rPr>
          <w:rFonts w:ascii="Times New Roman" w:hAnsi="Times New Roman" w:cs="Times New Roman"/>
          <w:color w:val="000000" w:themeColor="text1"/>
          <w:sz w:val="24"/>
          <w:szCs w:val="24"/>
        </w:rPr>
      </w:pPr>
    </w:p>
    <w:p w14:paraId="1C698424" w14:textId="77777777" w:rsidR="00B15075" w:rsidRDefault="00FF7482" w:rsidP="005364E2">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 1969, Wyoming established an independent Occupational Disease Law</w:t>
      </w:r>
      <w:r w:rsidRPr="00112C9C">
        <w:rPr>
          <w:rFonts w:ascii="Times New Roman" w:hAnsi="Times New Roman" w:cs="Times New Roman"/>
          <w:sz w:val="24"/>
          <w:szCs w:val="24"/>
          <w:vertAlign w:val="superscript"/>
        </w:rPr>
        <w:footnoteReference w:id="268"/>
      </w:r>
      <w:r>
        <w:rPr>
          <w:rFonts w:ascii="Times New Roman" w:hAnsi="Times New Roman" w:cs="Times New Roman"/>
          <w:color w:val="000000" w:themeColor="text1"/>
          <w:sz w:val="24"/>
          <w:szCs w:val="24"/>
        </w:rPr>
        <w:t xml:space="preserve"> that was subsequently rescinded. The law contained a schedule of the type</w:t>
      </w:r>
      <w:r w:rsidRPr="00112C9C">
        <w:rPr>
          <w:rFonts w:ascii="Times New Roman" w:hAnsi="Times New Roman" w:cs="Times New Roman"/>
          <w:sz w:val="24"/>
          <w:szCs w:val="24"/>
          <w:vertAlign w:val="superscript"/>
        </w:rPr>
        <w:footnoteReference w:id="269"/>
      </w:r>
      <w:r>
        <w:rPr>
          <w:rFonts w:ascii="Times New Roman" w:hAnsi="Times New Roman" w:cs="Times New Roman"/>
          <w:color w:val="000000" w:themeColor="text1"/>
          <w:sz w:val="24"/>
          <w:szCs w:val="24"/>
        </w:rPr>
        <w:t xml:space="preserve"> mentioned by the </w:t>
      </w:r>
      <w:r w:rsidRPr="00417A3F">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in the preceding excerpted passage.</w:t>
      </w:r>
      <w:r w:rsidRPr="00112C9C">
        <w:rPr>
          <w:rFonts w:ascii="Times New Roman" w:hAnsi="Times New Roman" w:cs="Times New Roman"/>
          <w:sz w:val="24"/>
          <w:szCs w:val="24"/>
          <w:vertAlign w:val="superscript"/>
        </w:rPr>
        <w:footnoteReference w:id="270"/>
      </w:r>
      <w:r>
        <w:rPr>
          <w:rFonts w:ascii="Times New Roman" w:hAnsi="Times New Roman" w:cs="Times New Roman"/>
          <w:color w:val="000000" w:themeColor="text1"/>
          <w:sz w:val="24"/>
          <w:szCs w:val="24"/>
        </w:rPr>
        <w:t xml:space="preserve"> This </w:t>
      </w:r>
      <w:r w:rsidR="0003544F">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reatise will omit extended discussion of the statute, which was abolished in 1975,</w:t>
      </w:r>
      <w:r w:rsidRPr="00112C9C">
        <w:rPr>
          <w:rFonts w:ascii="Times New Roman" w:hAnsi="Times New Roman" w:cs="Times New Roman"/>
          <w:sz w:val="24"/>
          <w:szCs w:val="24"/>
          <w:vertAlign w:val="superscript"/>
        </w:rPr>
        <w:footnoteReference w:id="271"/>
      </w:r>
      <w:r>
        <w:rPr>
          <w:rFonts w:ascii="Times New Roman" w:hAnsi="Times New Roman" w:cs="Times New Roman"/>
          <w:color w:val="000000" w:themeColor="text1"/>
          <w:sz w:val="24"/>
          <w:szCs w:val="24"/>
        </w:rPr>
        <w:t xml:space="preserve"> other than to say that the requirements for proving the “arising out of,” or causal nexus of a disease claim under a later version of the Occupational Disease Law were almost identical to the requirements of </w:t>
      </w:r>
      <w:bookmarkStart w:id="382" w:name="_Hlk518111933"/>
      <w:r w:rsidRPr="00CC46B2">
        <w:rPr>
          <w:rFonts w:ascii="Times New Roman" w:hAnsi="Times New Roman" w:cs="Times New Roman"/>
          <w:color w:val="000000" w:themeColor="text1"/>
          <w:sz w:val="24"/>
          <w:szCs w:val="24"/>
        </w:rPr>
        <w:t xml:space="preserve">W.S. § </w:t>
      </w:r>
      <w:hyperlink r:id="rId69" w:history="1">
        <w:r w:rsidRPr="00CC46B2">
          <w:rPr>
            <w:rStyle w:val="Hyperlink"/>
            <w:rFonts w:ascii="Times New Roman" w:hAnsi="Times New Roman" w:cs="Times New Roman"/>
            <w:sz w:val="24"/>
            <w:szCs w:val="24"/>
          </w:rPr>
          <w:t>27-14-603</w:t>
        </w:r>
      </w:hyperlink>
      <w:r>
        <w:rPr>
          <w:rFonts w:ascii="Times New Roman" w:hAnsi="Times New Roman" w:cs="Times New Roman"/>
          <w:color w:val="000000" w:themeColor="text1"/>
          <w:sz w:val="24"/>
          <w:szCs w:val="24"/>
        </w:rPr>
        <w:t xml:space="preserve">(a) </w:t>
      </w:r>
      <w:bookmarkEnd w:id="382"/>
      <w:r>
        <w:rPr>
          <w:rFonts w:ascii="Times New Roman" w:hAnsi="Times New Roman" w:cs="Times New Roman"/>
          <w:color w:val="000000" w:themeColor="text1"/>
          <w:sz w:val="24"/>
          <w:szCs w:val="24"/>
        </w:rPr>
        <w:t>of the present Wyoming Workers’ Compensation Act.</w:t>
      </w:r>
      <w:r w:rsidRPr="00112C9C">
        <w:rPr>
          <w:rFonts w:ascii="Times New Roman" w:hAnsi="Times New Roman" w:cs="Times New Roman"/>
          <w:sz w:val="24"/>
          <w:szCs w:val="24"/>
          <w:vertAlign w:val="superscript"/>
        </w:rPr>
        <w:footnoteReference w:id="272"/>
      </w:r>
      <w:r>
        <w:rPr>
          <w:rFonts w:ascii="Times New Roman" w:hAnsi="Times New Roman" w:cs="Times New Roman"/>
          <w:color w:val="000000" w:themeColor="text1"/>
          <w:sz w:val="24"/>
          <w:szCs w:val="24"/>
        </w:rPr>
        <w:t xml:space="preserve"> </w:t>
      </w:r>
    </w:p>
    <w:p w14:paraId="535D6091" w14:textId="77777777" w:rsidR="00B15075" w:rsidRDefault="00B15075" w:rsidP="005364E2">
      <w:pPr>
        <w:pStyle w:val="ListParagraph"/>
        <w:ind w:left="0"/>
        <w:jc w:val="both"/>
        <w:rPr>
          <w:rFonts w:ascii="Times New Roman" w:hAnsi="Times New Roman" w:cs="Times New Roman"/>
          <w:color w:val="000000" w:themeColor="text1"/>
          <w:sz w:val="24"/>
          <w:szCs w:val="24"/>
        </w:rPr>
      </w:pPr>
    </w:p>
    <w:p w14:paraId="10A5FB7E" w14:textId="011AF2A8" w:rsidR="00FF7482" w:rsidRDefault="00B15075" w:rsidP="005364E2">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Although diseases incident to employment may be covered “injuries” under Wyoming law, it is obvious that claimants must convince the fact finder that the disease </w:t>
      </w:r>
      <w:r w:rsidR="006B1484">
        <w:rPr>
          <w:rFonts w:ascii="Times New Roman" w:hAnsi="Times New Roman" w:cs="Times New Roman"/>
          <w:color w:val="000000" w:themeColor="text1"/>
          <w:sz w:val="24"/>
          <w:szCs w:val="24"/>
        </w:rPr>
        <w:t xml:space="preserve">arose out of employment. In the recent case </w:t>
      </w:r>
      <w:r w:rsidR="006B1484" w:rsidRPr="006B1474">
        <w:rPr>
          <w:rFonts w:ascii="Times New Roman" w:hAnsi="Times New Roman" w:cs="Times New Roman"/>
          <w:i/>
          <w:iCs/>
          <w:color w:val="000000" w:themeColor="text1"/>
          <w:sz w:val="24"/>
          <w:szCs w:val="24"/>
        </w:rPr>
        <w:t>McMillan v. Department of Workforce Services</w:t>
      </w:r>
      <w:r w:rsidR="006B1484">
        <w:rPr>
          <w:rFonts w:ascii="Times New Roman" w:hAnsi="Times New Roman" w:cs="Times New Roman"/>
          <w:color w:val="000000" w:themeColor="text1"/>
          <w:sz w:val="24"/>
          <w:szCs w:val="24"/>
        </w:rPr>
        <w:t>,</w:t>
      </w:r>
      <w:r w:rsidR="006B1484">
        <w:rPr>
          <w:rStyle w:val="FootnoteReference"/>
          <w:rFonts w:ascii="Times New Roman" w:hAnsi="Times New Roman" w:cs="Times New Roman"/>
          <w:color w:val="000000" w:themeColor="text1"/>
          <w:sz w:val="24"/>
          <w:szCs w:val="24"/>
        </w:rPr>
        <w:footnoteReference w:id="273"/>
      </w:r>
      <w:r w:rsidR="00FF7482">
        <w:rPr>
          <w:rFonts w:ascii="Times New Roman" w:hAnsi="Times New Roman" w:cs="Times New Roman"/>
          <w:color w:val="000000" w:themeColor="text1"/>
          <w:sz w:val="24"/>
          <w:szCs w:val="24"/>
        </w:rPr>
        <w:t xml:space="preserve"> </w:t>
      </w:r>
      <w:r w:rsidR="006B1484">
        <w:rPr>
          <w:rFonts w:ascii="Times New Roman" w:hAnsi="Times New Roman" w:cs="Times New Roman"/>
          <w:color w:val="000000" w:themeColor="text1"/>
          <w:sz w:val="24"/>
          <w:szCs w:val="24"/>
        </w:rPr>
        <w:t>the Wyoming Supreme Court upheld the Medical Commission’s denial of an employee’s claim that his contraction of smoldering multiple myeloma was caused by his work notwithstanding the contrary opinion of two expert witnesses.</w:t>
      </w:r>
      <w:r w:rsidR="006B1484">
        <w:rPr>
          <w:rStyle w:val="FootnoteReference"/>
          <w:rFonts w:ascii="Times New Roman" w:hAnsi="Times New Roman" w:cs="Times New Roman"/>
          <w:color w:val="000000" w:themeColor="text1"/>
          <w:sz w:val="24"/>
          <w:szCs w:val="24"/>
        </w:rPr>
        <w:footnoteReference w:id="274"/>
      </w:r>
      <w:r w:rsidR="00116409">
        <w:rPr>
          <w:rFonts w:ascii="Times New Roman" w:hAnsi="Times New Roman" w:cs="Times New Roman"/>
          <w:color w:val="000000" w:themeColor="text1"/>
          <w:sz w:val="24"/>
          <w:szCs w:val="24"/>
        </w:rPr>
        <w:t xml:space="preserve"> Given Wyoming’s daunting judicial review </w:t>
      </w:r>
      <w:r w:rsidR="00B33922">
        <w:rPr>
          <w:rFonts w:ascii="Times New Roman" w:hAnsi="Times New Roman" w:cs="Times New Roman"/>
          <w:color w:val="000000" w:themeColor="text1"/>
          <w:sz w:val="24"/>
          <w:szCs w:val="24"/>
        </w:rPr>
        <w:t>cases</w:t>
      </w:r>
      <w:r w:rsidR="00116409">
        <w:rPr>
          <w:rFonts w:ascii="Times New Roman" w:hAnsi="Times New Roman" w:cs="Times New Roman"/>
          <w:color w:val="000000" w:themeColor="text1"/>
          <w:sz w:val="24"/>
          <w:szCs w:val="24"/>
        </w:rPr>
        <w:t>, an agency decision that the claimant has not carried his burden of proof will be upheld unless “contrary to the overwhelming weight of the evidence.” (</w:t>
      </w:r>
      <w:r w:rsidR="00116409" w:rsidRPr="006B1474">
        <w:rPr>
          <w:rFonts w:ascii="Times New Roman" w:hAnsi="Times New Roman" w:cs="Times New Roman"/>
          <w:i/>
          <w:iCs/>
          <w:color w:val="000000" w:themeColor="text1"/>
          <w:sz w:val="24"/>
          <w:szCs w:val="24"/>
        </w:rPr>
        <w:t>See infra</w:t>
      </w:r>
      <w:r w:rsidR="00116409">
        <w:rPr>
          <w:rFonts w:ascii="Times New Roman" w:hAnsi="Times New Roman" w:cs="Times New Roman"/>
          <w:color w:val="000000" w:themeColor="text1"/>
          <w:sz w:val="24"/>
          <w:szCs w:val="24"/>
        </w:rPr>
        <w:t xml:space="preserve">. Section 7.3). Given </w:t>
      </w:r>
      <w:r w:rsidR="00116409" w:rsidRPr="006B1474">
        <w:rPr>
          <w:rFonts w:ascii="Times New Roman" w:hAnsi="Times New Roman" w:cs="Times New Roman"/>
          <w:i/>
          <w:iCs/>
          <w:color w:val="000000" w:themeColor="text1"/>
          <w:sz w:val="24"/>
          <w:szCs w:val="24"/>
        </w:rPr>
        <w:t>that</w:t>
      </w:r>
      <w:r w:rsidR="00116409">
        <w:rPr>
          <w:rFonts w:ascii="Times New Roman" w:hAnsi="Times New Roman" w:cs="Times New Roman"/>
          <w:color w:val="000000" w:themeColor="text1"/>
          <w:sz w:val="24"/>
          <w:szCs w:val="24"/>
        </w:rPr>
        <w:t xml:space="preserve"> standard</w:t>
      </w:r>
      <w:r w:rsidR="00B33922">
        <w:rPr>
          <w:rFonts w:ascii="Times New Roman" w:hAnsi="Times New Roman" w:cs="Times New Roman"/>
          <w:color w:val="000000" w:themeColor="text1"/>
          <w:sz w:val="24"/>
          <w:szCs w:val="24"/>
        </w:rPr>
        <w:t>,</w:t>
      </w:r>
      <w:r w:rsidR="00116409">
        <w:rPr>
          <w:rFonts w:ascii="Times New Roman" w:hAnsi="Times New Roman" w:cs="Times New Roman"/>
          <w:color w:val="000000" w:themeColor="text1"/>
          <w:sz w:val="24"/>
          <w:szCs w:val="24"/>
        </w:rPr>
        <w:t xml:space="preserve"> it will continue to be difficult to prevail in </w:t>
      </w:r>
      <w:r w:rsidR="00B33922" w:rsidRPr="006B1474">
        <w:rPr>
          <w:rFonts w:ascii="Times New Roman" w:hAnsi="Times New Roman" w:cs="Times New Roman"/>
          <w:i/>
          <w:iCs/>
          <w:color w:val="000000" w:themeColor="text1"/>
          <w:sz w:val="24"/>
          <w:szCs w:val="24"/>
        </w:rPr>
        <w:t>any</w:t>
      </w:r>
      <w:r w:rsidR="00B33922">
        <w:rPr>
          <w:rFonts w:ascii="Times New Roman" w:hAnsi="Times New Roman" w:cs="Times New Roman"/>
          <w:color w:val="000000" w:themeColor="text1"/>
          <w:sz w:val="24"/>
          <w:szCs w:val="24"/>
        </w:rPr>
        <w:t xml:space="preserve"> </w:t>
      </w:r>
      <w:r w:rsidR="00116409">
        <w:rPr>
          <w:rFonts w:ascii="Times New Roman" w:hAnsi="Times New Roman" w:cs="Times New Roman"/>
          <w:color w:val="000000" w:themeColor="text1"/>
          <w:sz w:val="24"/>
          <w:szCs w:val="24"/>
        </w:rPr>
        <w:t>case in which administrative officials fail to credit medical evidence</w:t>
      </w:r>
      <w:r w:rsidR="00B33922">
        <w:rPr>
          <w:rFonts w:ascii="Times New Roman" w:hAnsi="Times New Roman" w:cs="Times New Roman"/>
          <w:color w:val="000000" w:themeColor="text1"/>
          <w:sz w:val="24"/>
          <w:szCs w:val="24"/>
        </w:rPr>
        <w:t xml:space="preserve"> proffered by a claimant</w:t>
      </w:r>
      <w:r w:rsidR="00116409">
        <w:rPr>
          <w:rFonts w:ascii="Times New Roman" w:hAnsi="Times New Roman" w:cs="Times New Roman"/>
          <w:color w:val="000000" w:themeColor="text1"/>
          <w:sz w:val="24"/>
          <w:szCs w:val="24"/>
        </w:rPr>
        <w:t>.</w:t>
      </w:r>
      <w:r w:rsidR="006B1484">
        <w:rPr>
          <w:rFonts w:ascii="Times New Roman" w:hAnsi="Times New Roman" w:cs="Times New Roman"/>
          <w:color w:val="000000" w:themeColor="text1"/>
          <w:sz w:val="24"/>
          <w:szCs w:val="24"/>
        </w:rPr>
        <w:t xml:space="preserve"> </w:t>
      </w:r>
    </w:p>
    <w:p w14:paraId="237FAFD5" w14:textId="77777777" w:rsidR="00FF7482" w:rsidRDefault="00FF7482" w:rsidP="00195F44">
      <w:pPr>
        <w:pStyle w:val="ListParagraph"/>
        <w:ind w:left="0" w:firstLine="720"/>
        <w:jc w:val="both"/>
        <w:rPr>
          <w:rFonts w:ascii="Times New Roman" w:hAnsi="Times New Roman" w:cs="Times New Roman"/>
          <w:color w:val="000000" w:themeColor="text1"/>
          <w:sz w:val="24"/>
          <w:szCs w:val="24"/>
        </w:rPr>
      </w:pPr>
    </w:p>
    <w:p w14:paraId="5822E931" w14:textId="058E8F0A" w:rsidR="00FF7482" w:rsidRDefault="00C13DAF" w:rsidP="0003544F">
      <w:pPr>
        <w:pStyle w:val="ListParagraph"/>
        <w:spacing w:after="0"/>
        <w:ind w:left="0"/>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w:t>
      </w:r>
      <w:r w:rsidR="00FF7482">
        <w:rPr>
          <w:rFonts w:ascii="Times New Roman" w:hAnsi="Times New Roman" w:cs="Times New Roman"/>
          <w:color w:val="000000" w:themeColor="text1"/>
          <w:sz w:val="24"/>
          <w:szCs w:val="24"/>
        </w:rPr>
        <w:t xml:space="preserve">lthough not typically </w:t>
      </w:r>
      <w:r w:rsidR="009B6607">
        <w:rPr>
          <w:rFonts w:ascii="Times New Roman" w:hAnsi="Times New Roman" w:cs="Times New Roman"/>
          <w:color w:val="000000" w:themeColor="text1"/>
          <w:sz w:val="24"/>
          <w:szCs w:val="24"/>
        </w:rPr>
        <w:t>discussed</w:t>
      </w:r>
      <w:r w:rsidR="00FF7482">
        <w:rPr>
          <w:rFonts w:ascii="Times New Roman" w:hAnsi="Times New Roman" w:cs="Times New Roman"/>
          <w:color w:val="000000" w:themeColor="text1"/>
          <w:sz w:val="24"/>
          <w:szCs w:val="24"/>
        </w:rPr>
        <w:t xml:space="preserve"> under the heading of “occupational” disease, it is important to remember that </w:t>
      </w:r>
      <w:r w:rsidR="00FF7482" w:rsidRPr="00C63660">
        <w:rPr>
          <w:rFonts w:ascii="Times New Roman" w:hAnsi="Times New Roman" w:cs="Times New Roman"/>
          <w:b/>
          <w:color w:val="000000" w:themeColor="text1"/>
          <w:sz w:val="24"/>
          <w:szCs w:val="24"/>
        </w:rPr>
        <w:t>a covered injury does not include “[a]ny illness or communicable disease unless the risk of contracting the illness or disease is increased by the nature of the employment; . . .”</w:t>
      </w:r>
      <w:r w:rsidR="00693BFF">
        <w:rPr>
          <w:rStyle w:val="FootnoteReference"/>
          <w:rFonts w:ascii="Times New Roman" w:hAnsi="Times New Roman" w:cs="Times New Roman"/>
          <w:b/>
          <w:color w:val="000000" w:themeColor="text1"/>
          <w:sz w:val="24"/>
          <w:szCs w:val="24"/>
        </w:rPr>
        <w:footnoteReference w:id="275"/>
      </w:r>
      <w:r w:rsidR="00FF7482">
        <w:rPr>
          <w:rFonts w:ascii="Times New Roman" w:hAnsi="Times New Roman" w:cs="Times New Roman"/>
          <w:b/>
          <w:color w:val="000000" w:themeColor="text1"/>
          <w:sz w:val="24"/>
          <w:szCs w:val="24"/>
        </w:rPr>
        <w:t xml:space="preserve"> </w:t>
      </w:r>
      <w:r w:rsidR="00FF7482">
        <w:rPr>
          <w:rFonts w:ascii="Times New Roman" w:hAnsi="Times New Roman" w:cs="Times New Roman"/>
          <w:bCs/>
          <w:color w:val="000000" w:themeColor="text1"/>
          <w:sz w:val="24"/>
          <w:szCs w:val="24"/>
        </w:rPr>
        <w:t xml:space="preserve">(Another instance of the “increased risk test” making a stealthy appearance in the </w:t>
      </w:r>
      <w:r w:rsidR="006839CB">
        <w:rPr>
          <w:rFonts w:ascii="Times New Roman" w:hAnsi="Times New Roman" w:cs="Times New Roman"/>
          <w:bCs/>
          <w:color w:val="000000" w:themeColor="text1"/>
          <w:sz w:val="24"/>
          <w:szCs w:val="24"/>
        </w:rPr>
        <w:t xml:space="preserve">Wyoming </w:t>
      </w:r>
      <w:r w:rsidR="00FF7482">
        <w:rPr>
          <w:rFonts w:ascii="Times New Roman" w:hAnsi="Times New Roman" w:cs="Times New Roman"/>
          <w:bCs/>
          <w:color w:val="000000" w:themeColor="text1"/>
          <w:sz w:val="24"/>
          <w:szCs w:val="24"/>
        </w:rPr>
        <w:t xml:space="preserve">Act). This statutory </w:t>
      </w:r>
      <w:r w:rsidR="006839CB">
        <w:rPr>
          <w:rFonts w:ascii="Times New Roman" w:hAnsi="Times New Roman" w:cs="Times New Roman"/>
          <w:bCs/>
          <w:color w:val="000000" w:themeColor="text1"/>
          <w:sz w:val="24"/>
          <w:szCs w:val="24"/>
        </w:rPr>
        <w:t>increased risk</w:t>
      </w:r>
      <w:r w:rsidR="009F528A">
        <w:rPr>
          <w:rFonts w:ascii="Times New Roman" w:hAnsi="Times New Roman" w:cs="Times New Roman"/>
          <w:bCs/>
          <w:color w:val="000000" w:themeColor="text1"/>
          <w:sz w:val="24"/>
          <w:szCs w:val="24"/>
        </w:rPr>
        <w:t>/communicable disease</w:t>
      </w:r>
      <w:r w:rsidR="006839CB">
        <w:rPr>
          <w:rFonts w:ascii="Times New Roman" w:hAnsi="Times New Roman" w:cs="Times New Roman"/>
          <w:bCs/>
          <w:color w:val="000000" w:themeColor="text1"/>
          <w:sz w:val="24"/>
          <w:szCs w:val="24"/>
        </w:rPr>
        <w:t xml:space="preserve"> </w:t>
      </w:r>
      <w:r w:rsidR="00FF7482">
        <w:rPr>
          <w:rFonts w:ascii="Times New Roman" w:hAnsi="Times New Roman" w:cs="Times New Roman"/>
          <w:bCs/>
          <w:color w:val="000000" w:themeColor="text1"/>
          <w:sz w:val="24"/>
          <w:szCs w:val="24"/>
        </w:rPr>
        <w:t>exc</w:t>
      </w:r>
      <w:r w:rsidR="009F528A">
        <w:rPr>
          <w:rFonts w:ascii="Times New Roman" w:hAnsi="Times New Roman" w:cs="Times New Roman"/>
          <w:bCs/>
          <w:color w:val="000000" w:themeColor="text1"/>
          <w:sz w:val="24"/>
          <w:szCs w:val="24"/>
        </w:rPr>
        <w:t xml:space="preserve">lusion </w:t>
      </w:r>
      <w:r w:rsidR="00FF7482">
        <w:rPr>
          <w:rFonts w:ascii="Times New Roman" w:hAnsi="Times New Roman" w:cs="Times New Roman"/>
          <w:bCs/>
          <w:color w:val="000000" w:themeColor="text1"/>
          <w:sz w:val="24"/>
          <w:szCs w:val="24"/>
        </w:rPr>
        <w:t xml:space="preserve"> substantially </w:t>
      </w:r>
      <w:r w:rsidR="006839CB">
        <w:rPr>
          <w:rFonts w:ascii="Times New Roman" w:hAnsi="Times New Roman" w:cs="Times New Roman"/>
          <w:bCs/>
          <w:color w:val="000000" w:themeColor="text1"/>
          <w:sz w:val="24"/>
          <w:szCs w:val="24"/>
        </w:rPr>
        <w:t>restricts</w:t>
      </w:r>
      <w:r w:rsidR="00FF7482">
        <w:rPr>
          <w:rFonts w:ascii="Times New Roman" w:hAnsi="Times New Roman" w:cs="Times New Roman"/>
          <w:bCs/>
          <w:color w:val="000000" w:themeColor="text1"/>
          <w:sz w:val="24"/>
          <w:szCs w:val="24"/>
        </w:rPr>
        <w:t xml:space="preserve"> the difficult analyses of infectious diseases that </w:t>
      </w:r>
      <w:r w:rsidR="006839CB">
        <w:rPr>
          <w:rFonts w:ascii="Times New Roman" w:hAnsi="Times New Roman" w:cs="Times New Roman"/>
          <w:bCs/>
          <w:color w:val="000000" w:themeColor="text1"/>
          <w:sz w:val="24"/>
          <w:szCs w:val="24"/>
        </w:rPr>
        <w:t>can be</w:t>
      </w:r>
      <w:r w:rsidR="00FF7482">
        <w:rPr>
          <w:rFonts w:ascii="Times New Roman" w:hAnsi="Times New Roman" w:cs="Times New Roman"/>
          <w:bCs/>
          <w:color w:val="000000" w:themeColor="text1"/>
          <w:sz w:val="24"/>
          <w:szCs w:val="24"/>
        </w:rPr>
        <w:t xml:space="preserve"> </w:t>
      </w:r>
      <w:r w:rsidR="009F528A">
        <w:rPr>
          <w:rFonts w:ascii="Times New Roman" w:hAnsi="Times New Roman" w:cs="Times New Roman"/>
          <w:bCs/>
          <w:color w:val="000000" w:themeColor="text1"/>
          <w:sz w:val="24"/>
          <w:szCs w:val="24"/>
        </w:rPr>
        <w:t>applicable</w:t>
      </w:r>
      <w:r w:rsidR="00FF7482">
        <w:rPr>
          <w:rFonts w:ascii="Times New Roman" w:hAnsi="Times New Roman" w:cs="Times New Roman"/>
          <w:bCs/>
          <w:color w:val="000000" w:themeColor="text1"/>
          <w:sz w:val="24"/>
          <w:szCs w:val="24"/>
        </w:rPr>
        <w:t xml:space="preserve"> in</w:t>
      </w:r>
      <w:r w:rsidR="009F528A">
        <w:rPr>
          <w:rFonts w:ascii="Times New Roman" w:hAnsi="Times New Roman" w:cs="Times New Roman"/>
          <w:bCs/>
          <w:color w:val="000000" w:themeColor="text1"/>
          <w:sz w:val="24"/>
          <w:szCs w:val="24"/>
        </w:rPr>
        <w:t xml:space="preserve"> some</w:t>
      </w:r>
      <w:r w:rsidR="00FF7482">
        <w:rPr>
          <w:rFonts w:ascii="Times New Roman" w:hAnsi="Times New Roman" w:cs="Times New Roman"/>
          <w:bCs/>
          <w:color w:val="000000" w:themeColor="text1"/>
          <w:sz w:val="24"/>
          <w:szCs w:val="24"/>
        </w:rPr>
        <w:t xml:space="preserve"> other </w:t>
      </w:r>
      <w:r w:rsidR="00FF7482">
        <w:rPr>
          <w:rFonts w:ascii="Times New Roman" w:hAnsi="Times New Roman" w:cs="Times New Roman"/>
          <w:bCs/>
          <w:color w:val="000000" w:themeColor="text1"/>
          <w:sz w:val="24"/>
          <w:szCs w:val="24"/>
        </w:rPr>
        <w:lastRenderedPageBreak/>
        <w:t>states.</w:t>
      </w:r>
      <w:r w:rsidR="00FF7482" w:rsidRPr="00112C9C">
        <w:rPr>
          <w:rFonts w:ascii="Times New Roman" w:hAnsi="Times New Roman" w:cs="Times New Roman"/>
          <w:sz w:val="24"/>
          <w:szCs w:val="24"/>
          <w:vertAlign w:val="superscript"/>
        </w:rPr>
        <w:footnoteReference w:id="276"/>
      </w:r>
      <w:r w:rsidR="006839CB">
        <w:rPr>
          <w:rFonts w:ascii="Times New Roman" w:hAnsi="Times New Roman" w:cs="Times New Roman"/>
          <w:bCs/>
          <w:color w:val="000000" w:themeColor="text1"/>
          <w:sz w:val="24"/>
          <w:szCs w:val="24"/>
        </w:rPr>
        <w:t xml:space="preserve"> </w:t>
      </w:r>
      <w:r w:rsidR="009F528A">
        <w:rPr>
          <w:rFonts w:ascii="Times New Roman" w:hAnsi="Times New Roman" w:cs="Times New Roman"/>
          <w:bCs/>
          <w:color w:val="000000" w:themeColor="text1"/>
          <w:sz w:val="24"/>
          <w:szCs w:val="24"/>
        </w:rPr>
        <w:t>Nevertheless, t</w:t>
      </w:r>
      <w:r w:rsidR="006839CB" w:rsidRPr="006839CB">
        <w:rPr>
          <w:rFonts w:ascii="Times New Roman" w:hAnsi="Times New Roman" w:cs="Times New Roman"/>
          <w:bCs/>
          <w:color w:val="000000" w:themeColor="text1"/>
          <w:sz w:val="24"/>
          <w:szCs w:val="24"/>
        </w:rPr>
        <w:t>he Wyoming Court has recently made clear</w:t>
      </w:r>
      <w:r w:rsidR="006839CB">
        <w:rPr>
          <w:rFonts w:ascii="Times New Roman" w:hAnsi="Times New Roman" w:cs="Times New Roman"/>
          <w:bCs/>
          <w:color w:val="000000" w:themeColor="text1"/>
          <w:sz w:val="24"/>
          <w:szCs w:val="24"/>
        </w:rPr>
        <w:t>,</w:t>
      </w:r>
      <w:r w:rsidR="006839CB" w:rsidRPr="006B1474">
        <w:rPr>
          <w:rFonts w:ascii="Times New Roman" w:hAnsi="Times New Roman" w:cs="Times New Roman"/>
          <w:bCs/>
          <w:i/>
          <w:iCs/>
          <w:color w:val="000000" w:themeColor="text1"/>
          <w:sz w:val="24"/>
          <w:szCs w:val="24"/>
        </w:rPr>
        <w:t xml:space="preserve"> </w:t>
      </w:r>
      <w:r w:rsidR="006839CB" w:rsidRPr="00B15075">
        <w:rPr>
          <w:rFonts w:ascii="Times New Roman" w:hAnsi="Times New Roman" w:cs="Times New Roman"/>
          <w:bCs/>
          <w:color w:val="000000" w:themeColor="text1"/>
          <w:sz w:val="24"/>
          <w:szCs w:val="24"/>
        </w:rPr>
        <w:t>in</w:t>
      </w:r>
      <w:r w:rsidR="006839CB" w:rsidRPr="006B1474">
        <w:rPr>
          <w:rFonts w:ascii="Times New Roman" w:hAnsi="Times New Roman" w:cs="Times New Roman"/>
          <w:bCs/>
          <w:i/>
          <w:iCs/>
          <w:color w:val="000000" w:themeColor="text1"/>
          <w:sz w:val="24"/>
          <w:szCs w:val="24"/>
        </w:rPr>
        <w:t xml:space="preserve"> Matter of Workers’ Claim of Vinson</w:t>
      </w:r>
      <w:r w:rsidR="006839CB">
        <w:rPr>
          <w:rFonts w:ascii="Times New Roman" w:hAnsi="Times New Roman" w:cs="Times New Roman"/>
          <w:bCs/>
          <w:color w:val="000000" w:themeColor="text1"/>
          <w:sz w:val="24"/>
          <w:szCs w:val="24"/>
        </w:rPr>
        <w:t>,</w:t>
      </w:r>
      <w:r w:rsidR="006839CB">
        <w:rPr>
          <w:rStyle w:val="FootnoteReference"/>
          <w:rFonts w:ascii="Times New Roman" w:hAnsi="Times New Roman" w:cs="Times New Roman"/>
          <w:bCs/>
          <w:color w:val="000000" w:themeColor="text1"/>
          <w:sz w:val="24"/>
          <w:szCs w:val="24"/>
        </w:rPr>
        <w:footnoteReference w:id="277"/>
      </w:r>
      <w:r w:rsidR="006839CB">
        <w:rPr>
          <w:rFonts w:ascii="Times New Roman" w:hAnsi="Times New Roman" w:cs="Times New Roman"/>
          <w:bCs/>
          <w:color w:val="000000" w:themeColor="text1"/>
          <w:sz w:val="24"/>
          <w:szCs w:val="24"/>
        </w:rPr>
        <w:t xml:space="preserve"> that where an infectious disease is itself a consequence of a different, clearly established work-related injury, disability related to the disease is compensable</w:t>
      </w:r>
      <w:r w:rsidR="0037609E">
        <w:rPr>
          <w:rFonts w:ascii="Times New Roman" w:hAnsi="Times New Roman" w:cs="Times New Roman"/>
          <w:bCs/>
          <w:color w:val="000000" w:themeColor="text1"/>
          <w:sz w:val="24"/>
          <w:szCs w:val="24"/>
        </w:rPr>
        <w:t>,</w:t>
      </w:r>
      <w:r w:rsidR="00B15075">
        <w:rPr>
          <w:rFonts w:ascii="Times New Roman" w:hAnsi="Times New Roman" w:cs="Times New Roman"/>
          <w:bCs/>
          <w:color w:val="000000" w:themeColor="text1"/>
          <w:sz w:val="24"/>
          <w:szCs w:val="24"/>
        </w:rPr>
        <w:t xml:space="preserve"> assuming medical causation is established</w:t>
      </w:r>
      <w:r w:rsidR="006839CB">
        <w:rPr>
          <w:rFonts w:ascii="Times New Roman" w:hAnsi="Times New Roman" w:cs="Times New Roman"/>
          <w:bCs/>
          <w:color w:val="000000" w:themeColor="text1"/>
          <w:sz w:val="24"/>
          <w:szCs w:val="24"/>
        </w:rPr>
        <w:t>.</w:t>
      </w:r>
      <w:r w:rsidR="00B15075">
        <w:rPr>
          <w:rStyle w:val="FootnoteReference"/>
          <w:rFonts w:ascii="Times New Roman" w:hAnsi="Times New Roman" w:cs="Times New Roman"/>
          <w:bCs/>
          <w:color w:val="000000" w:themeColor="text1"/>
          <w:sz w:val="24"/>
          <w:szCs w:val="24"/>
        </w:rPr>
        <w:footnoteReference w:id="278"/>
      </w:r>
    </w:p>
    <w:p w14:paraId="1F286BD3" w14:textId="6CBD3925" w:rsidR="00C13DAF" w:rsidRDefault="00C13DAF" w:rsidP="0003544F">
      <w:pPr>
        <w:pStyle w:val="ListParagraph"/>
        <w:spacing w:after="0"/>
        <w:ind w:left="0"/>
        <w:jc w:val="both"/>
        <w:rPr>
          <w:rFonts w:ascii="Times New Roman" w:hAnsi="Times New Roman" w:cs="Times New Roman"/>
          <w:bCs/>
          <w:color w:val="000000" w:themeColor="text1"/>
          <w:sz w:val="24"/>
          <w:szCs w:val="24"/>
        </w:rPr>
      </w:pPr>
    </w:p>
    <w:p w14:paraId="324622D3" w14:textId="624DD883" w:rsidR="00C13DAF" w:rsidRDefault="00C13DAF" w:rsidP="0003544F">
      <w:pPr>
        <w:pStyle w:val="ListParagraph"/>
        <w:spacing w:after="0"/>
        <w:ind w:left="0"/>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Covid-19 presented a difficult causation problem for Wyoming workers’ compensation law (and for workers’ compensation nationally). But despite what some commentators contended there is no inherent doctrinal obstacle to covering disability caused by “contagion”</w:t>
      </w:r>
      <w:r w:rsidR="00421091">
        <w:rPr>
          <w:rFonts w:ascii="Times New Roman" w:hAnsi="Times New Roman" w:cs="Times New Roman"/>
          <w:bCs/>
          <w:color w:val="000000" w:themeColor="text1"/>
          <w:sz w:val="24"/>
          <w:szCs w:val="24"/>
        </w:rPr>
        <w:t xml:space="preserve"> (except where states have </w:t>
      </w:r>
      <w:r w:rsidR="00421091" w:rsidRPr="006B1474">
        <w:rPr>
          <w:rFonts w:ascii="Times New Roman" w:hAnsi="Times New Roman" w:cs="Times New Roman"/>
          <w:bCs/>
          <w:i/>
          <w:iCs/>
          <w:color w:val="000000" w:themeColor="text1"/>
          <w:sz w:val="24"/>
          <w:szCs w:val="24"/>
        </w:rPr>
        <w:t>categorically</w:t>
      </w:r>
      <w:r w:rsidR="00421091">
        <w:rPr>
          <w:rFonts w:ascii="Times New Roman" w:hAnsi="Times New Roman" w:cs="Times New Roman"/>
          <w:bCs/>
          <w:color w:val="000000" w:themeColor="text1"/>
          <w:sz w:val="24"/>
          <w:szCs w:val="24"/>
        </w:rPr>
        <w:t xml:space="preserve"> excluded contagious diseases),</w:t>
      </w:r>
      <w:r>
        <w:rPr>
          <w:rFonts w:ascii="Times New Roman" w:hAnsi="Times New Roman" w:cs="Times New Roman"/>
          <w:bCs/>
          <w:color w:val="000000" w:themeColor="text1"/>
          <w:sz w:val="24"/>
          <w:szCs w:val="24"/>
        </w:rPr>
        <w:t xml:space="preserve"> and workers’ compensation has in fact covered such disability in the past.</w:t>
      </w:r>
      <w:r w:rsidR="00693BFF">
        <w:rPr>
          <w:rStyle w:val="FootnoteReference"/>
          <w:rFonts w:ascii="Times New Roman" w:hAnsi="Times New Roman" w:cs="Times New Roman"/>
          <w:bCs/>
          <w:color w:val="000000" w:themeColor="text1"/>
          <w:sz w:val="24"/>
          <w:szCs w:val="24"/>
        </w:rPr>
        <w:footnoteReference w:id="279"/>
      </w:r>
      <w:r>
        <w:rPr>
          <w:rFonts w:ascii="Times New Roman" w:hAnsi="Times New Roman" w:cs="Times New Roman"/>
          <w:bCs/>
          <w:color w:val="000000" w:themeColor="text1"/>
          <w:sz w:val="24"/>
          <w:szCs w:val="24"/>
        </w:rPr>
        <w:t xml:space="preserve"> </w:t>
      </w:r>
      <w:r w:rsidR="00693BFF">
        <w:rPr>
          <w:rFonts w:ascii="Times New Roman" w:hAnsi="Times New Roman" w:cs="Times New Roman"/>
          <w:bCs/>
          <w:color w:val="000000" w:themeColor="text1"/>
          <w:sz w:val="24"/>
          <w:szCs w:val="24"/>
        </w:rPr>
        <w:t>Each case would have to be decided on its merits</w:t>
      </w:r>
      <w:r w:rsidR="00421091">
        <w:rPr>
          <w:rFonts w:ascii="Times New Roman" w:hAnsi="Times New Roman" w:cs="Times New Roman"/>
          <w:bCs/>
          <w:color w:val="000000" w:themeColor="text1"/>
          <w:sz w:val="24"/>
          <w:szCs w:val="24"/>
        </w:rPr>
        <w:t>, of course</w:t>
      </w:r>
      <w:r w:rsidR="00693BFF">
        <w:rPr>
          <w:rFonts w:ascii="Times New Roman" w:hAnsi="Times New Roman" w:cs="Times New Roman"/>
          <w:bCs/>
          <w:color w:val="000000" w:themeColor="text1"/>
          <w:sz w:val="24"/>
          <w:szCs w:val="24"/>
        </w:rPr>
        <w:t>. Wyoming, like a number of other states,</w:t>
      </w:r>
      <w:r w:rsidR="00704A59">
        <w:rPr>
          <w:rStyle w:val="FootnoteReference"/>
          <w:rFonts w:ascii="Times New Roman" w:hAnsi="Times New Roman" w:cs="Times New Roman"/>
          <w:bCs/>
          <w:color w:val="000000" w:themeColor="text1"/>
          <w:sz w:val="24"/>
          <w:szCs w:val="24"/>
        </w:rPr>
        <w:footnoteReference w:id="280"/>
      </w:r>
      <w:r w:rsidR="00693BFF">
        <w:rPr>
          <w:rFonts w:ascii="Times New Roman" w:hAnsi="Times New Roman" w:cs="Times New Roman"/>
          <w:bCs/>
          <w:color w:val="000000" w:themeColor="text1"/>
          <w:sz w:val="24"/>
          <w:szCs w:val="24"/>
        </w:rPr>
        <w:t xml:space="preserve"> decided to enact a presumption of Covid-19 causation when the disease was reliably diagnosed.</w:t>
      </w:r>
      <w:r w:rsidR="00693BFF">
        <w:rPr>
          <w:rStyle w:val="FootnoteReference"/>
          <w:rFonts w:ascii="Times New Roman" w:hAnsi="Times New Roman" w:cs="Times New Roman"/>
          <w:bCs/>
          <w:color w:val="000000" w:themeColor="text1"/>
          <w:sz w:val="24"/>
          <w:szCs w:val="24"/>
        </w:rPr>
        <w:footnoteReference w:id="281"/>
      </w:r>
      <w:r w:rsidR="00693BFF">
        <w:rPr>
          <w:rFonts w:ascii="Times New Roman" w:hAnsi="Times New Roman" w:cs="Times New Roman"/>
          <w:bCs/>
          <w:color w:val="000000" w:themeColor="text1"/>
          <w:sz w:val="24"/>
          <w:szCs w:val="24"/>
        </w:rPr>
        <w:t xml:space="preserve"> This was</w:t>
      </w:r>
      <w:r w:rsidR="00421091">
        <w:rPr>
          <w:rFonts w:ascii="Times New Roman" w:hAnsi="Times New Roman" w:cs="Times New Roman"/>
          <w:bCs/>
          <w:color w:val="000000" w:themeColor="text1"/>
          <w:sz w:val="24"/>
          <w:szCs w:val="24"/>
        </w:rPr>
        <w:t>, in this writer’s view,</w:t>
      </w:r>
      <w:r w:rsidR="00693BFF">
        <w:rPr>
          <w:rFonts w:ascii="Times New Roman" w:hAnsi="Times New Roman" w:cs="Times New Roman"/>
          <w:bCs/>
          <w:color w:val="000000" w:themeColor="text1"/>
          <w:sz w:val="24"/>
          <w:szCs w:val="24"/>
        </w:rPr>
        <w:t xml:space="preserve"> a defensible </w:t>
      </w:r>
      <w:r w:rsidR="00421091">
        <w:rPr>
          <w:rFonts w:ascii="Times New Roman" w:hAnsi="Times New Roman" w:cs="Times New Roman"/>
          <w:bCs/>
          <w:color w:val="000000" w:themeColor="text1"/>
          <w:sz w:val="24"/>
          <w:szCs w:val="24"/>
        </w:rPr>
        <w:t xml:space="preserve">time-pressured </w:t>
      </w:r>
      <w:r w:rsidR="00693BFF">
        <w:rPr>
          <w:rFonts w:ascii="Times New Roman" w:hAnsi="Times New Roman" w:cs="Times New Roman"/>
          <w:bCs/>
          <w:color w:val="000000" w:themeColor="text1"/>
          <w:sz w:val="24"/>
          <w:szCs w:val="24"/>
        </w:rPr>
        <w:t>policy decision given the looming difficulty</w:t>
      </w:r>
      <w:r w:rsidR="00421091">
        <w:rPr>
          <w:rFonts w:ascii="Times New Roman" w:hAnsi="Times New Roman" w:cs="Times New Roman"/>
          <w:bCs/>
          <w:color w:val="000000" w:themeColor="text1"/>
          <w:sz w:val="24"/>
          <w:szCs w:val="24"/>
        </w:rPr>
        <w:t>, time, and expense surrounding</w:t>
      </w:r>
      <w:r w:rsidR="00693BFF">
        <w:rPr>
          <w:rFonts w:ascii="Times New Roman" w:hAnsi="Times New Roman" w:cs="Times New Roman"/>
          <w:bCs/>
          <w:color w:val="000000" w:themeColor="text1"/>
          <w:sz w:val="24"/>
          <w:szCs w:val="24"/>
        </w:rPr>
        <w:t xml:space="preserve"> </w:t>
      </w:r>
      <w:r w:rsidR="00421091">
        <w:rPr>
          <w:rFonts w:ascii="Times New Roman" w:hAnsi="Times New Roman" w:cs="Times New Roman"/>
          <w:bCs/>
          <w:color w:val="000000" w:themeColor="text1"/>
          <w:sz w:val="24"/>
          <w:szCs w:val="24"/>
        </w:rPr>
        <w:t xml:space="preserve">Covid-19 </w:t>
      </w:r>
      <w:r w:rsidR="00693BFF">
        <w:rPr>
          <w:rFonts w:ascii="Times New Roman" w:hAnsi="Times New Roman" w:cs="Times New Roman"/>
          <w:bCs/>
          <w:color w:val="000000" w:themeColor="text1"/>
          <w:sz w:val="24"/>
          <w:szCs w:val="24"/>
        </w:rPr>
        <w:t>causation litigation</w:t>
      </w:r>
      <w:r w:rsidR="00421091">
        <w:rPr>
          <w:rFonts w:ascii="Times New Roman" w:hAnsi="Times New Roman" w:cs="Times New Roman"/>
          <w:bCs/>
          <w:color w:val="000000" w:themeColor="text1"/>
          <w:sz w:val="24"/>
          <w:szCs w:val="24"/>
        </w:rPr>
        <w:t xml:space="preserve"> during a public emergency</w:t>
      </w:r>
      <w:r w:rsidR="00693BFF">
        <w:rPr>
          <w:rFonts w:ascii="Times New Roman" w:hAnsi="Times New Roman" w:cs="Times New Roman"/>
          <w:bCs/>
          <w:color w:val="000000" w:themeColor="text1"/>
          <w:sz w:val="24"/>
          <w:szCs w:val="24"/>
        </w:rPr>
        <w:t xml:space="preserve">.  </w:t>
      </w:r>
    </w:p>
    <w:p w14:paraId="17DDCB7E" w14:textId="77777777" w:rsidR="00FF7482" w:rsidRPr="004B6334" w:rsidRDefault="00FF7482" w:rsidP="00AD1851">
      <w:pPr>
        <w:pStyle w:val="ListParagraph"/>
        <w:spacing w:after="0"/>
        <w:ind w:left="0" w:firstLine="720"/>
        <w:jc w:val="both"/>
        <w:rPr>
          <w:rFonts w:ascii="Times New Roman" w:hAnsi="Times New Roman" w:cs="Times New Roman"/>
          <w:color w:val="000000" w:themeColor="text1"/>
          <w:sz w:val="24"/>
          <w:szCs w:val="24"/>
        </w:rPr>
      </w:pPr>
    </w:p>
    <w:p w14:paraId="03BE234C" w14:textId="405428A1" w:rsidR="00FF7482" w:rsidRDefault="00FF7482" w:rsidP="00D57F28">
      <w:pPr>
        <w:pStyle w:val="Heading2"/>
        <w:rPr>
          <w:rFonts w:ascii="Times New Roman" w:hAnsi="Times New Roman" w:cs="Times New Roman"/>
          <w:b/>
          <w:color w:val="auto"/>
        </w:rPr>
      </w:pPr>
      <w:bookmarkStart w:id="386" w:name="_Toc75269377"/>
      <w:r>
        <w:rPr>
          <w:rFonts w:ascii="Times New Roman" w:hAnsi="Times New Roman" w:cs="Times New Roman"/>
          <w:b/>
          <w:color w:val="auto"/>
        </w:rPr>
        <w:t>Mental</w:t>
      </w:r>
      <w:r w:rsidRPr="00C63660">
        <w:rPr>
          <w:rFonts w:ascii="Times New Roman" w:hAnsi="Times New Roman" w:cs="Times New Roman"/>
          <w:b/>
          <w:color w:val="auto"/>
        </w:rPr>
        <w:t xml:space="preserve"> </w:t>
      </w:r>
      <w:r>
        <w:rPr>
          <w:rFonts w:ascii="Times New Roman" w:hAnsi="Times New Roman" w:cs="Times New Roman"/>
          <w:b/>
          <w:color w:val="auto"/>
        </w:rPr>
        <w:t>I</w:t>
      </w:r>
      <w:r w:rsidRPr="00C63660">
        <w:rPr>
          <w:rFonts w:ascii="Times New Roman" w:hAnsi="Times New Roman" w:cs="Times New Roman"/>
          <w:b/>
          <w:color w:val="auto"/>
        </w:rPr>
        <w:t>njur</w:t>
      </w:r>
      <w:r>
        <w:rPr>
          <w:rFonts w:ascii="Times New Roman" w:hAnsi="Times New Roman" w:cs="Times New Roman"/>
          <w:b/>
          <w:color w:val="auto"/>
        </w:rPr>
        <w:t>y in Wyoming</w:t>
      </w:r>
      <w:bookmarkEnd w:id="386"/>
    </w:p>
    <w:p w14:paraId="28DD8713" w14:textId="1B285370" w:rsidR="00FF7482" w:rsidRDefault="00FF7482" w:rsidP="00AD1851">
      <w:pPr>
        <w:spacing w:after="0"/>
      </w:pPr>
    </w:p>
    <w:p w14:paraId="770F0489" w14:textId="67BEA42A" w:rsidR="00FF7482" w:rsidRDefault="00FF7482" w:rsidP="003C275A">
      <w:pPr>
        <w:pStyle w:val="ListParagraph"/>
        <w:ind w:left="0"/>
        <w:jc w:val="both"/>
        <w:rPr>
          <w:rFonts w:ascii="Times New Roman" w:hAnsi="Times New Roman" w:cs="Times New Roman"/>
          <w:color w:val="000000" w:themeColor="text1"/>
          <w:sz w:val="24"/>
          <w:szCs w:val="24"/>
        </w:rPr>
      </w:pPr>
      <w:r w:rsidRPr="00A9240F">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Wyoming,</w:t>
      </w:r>
      <w:r w:rsidRPr="00A9240F">
        <w:rPr>
          <w:rFonts w:ascii="Times New Roman" w:hAnsi="Times New Roman" w:cs="Times New Roman"/>
          <w:color w:val="000000" w:themeColor="text1"/>
          <w:sz w:val="24"/>
          <w:szCs w:val="24"/>
        </w:rPr>
        <w:t xml:space="preserve"> an employee may receive workers’ compensation</w:t>
      </w:r>
      <w:r>
        <w:rPr>
          <w:rFonts w:ascii="Times New Roman" w:hAnsi="Times New Roman" w:cs="Times New Roman"/>
          <w:color w:val="000000" w:themeColor="text1"/>
          <w:sz w:val="24"/>
          <w:szCs w:val="24"/>
        </w:rPr>
        <w:t xml:space="preserve"> benefits</w:t>
      </w:r>
      <w:r w:rsidRPr="00A9240F">
        <w:rPr>
          <w:rFonts w:ascii="Times New Roman" w:hAnsi="Times New Roman" w:cs="Times New Roman"/>
          <w:color w:val="000000" w:themeColor="text1"/>
          <w:sz w:val="24"/>
          <w:szCs w:val="24"/>
        </w:rPr>
        <w:t xml:space="preserve"> for “mental,” or psychological, injuries</w:t>
      </w:r>
      <w:r>
        <w:rPr>
          <w:rFonts w:ascii="Times New Roman" w:hAnsi="Times New Roman" w:cs="Times New Roman"/>
          <w:color w:val="000000" w:themeColor="text1"/>
          <w:sz w:val="24"/>
          <w:szCs w:val="24"/>
        </w:rPr>
        <w:t xml:space="preserve"> in certain </w:t>
      </w:r>
      <w:r w:rsidRPr="00181855">
        <w:rPr>
          <w:rFonts w:ascii="Times New Roman" w:hAnsi="Times New Roman" w:cs="Times New Roman"/>
          <w:b/>
          <w:color w:val="000000" w:themeColor="text1"/>
          <w:sz w:val="24"/>
          <w:szCs w:val="24"/>
          <w:u w:val="single"/>
        </w:rPr>
        <w:t>very narrowly defined circumstances</w:t>
      </w:r>
      <w:r>
        <w:rPr>
          <w:rFonts w:ascii="Times New Roman" w:hAnsi="Times New Roman" w:cs="Times New Roman"/>
          <w:color w:val="000000" w:themeColor="text1"/>
          <w:sz w:val="24"/>
          <w:szCs w:val="24"/>
        </w:rPr>
        <w:t xml:space="preserve">. The general rule is that </w:t>
      </w:r>
      <w:bookmarkStart w:id="387" w:name="_Hlk520617459"/>
      <w:r w:rsidRPr="00BF02A0">
        <w:rPr>
          <w:rFonts w:ascii="Times New Roman" w:hAnsi="Times New Roman" w:cs="Times New Roman"/>
          <w:b/>
          <w:color w:val="000000" w:themeColor="text1"/>
          <w:sz w:val="24"/>
          <w:szCs w:val="24"/>
        </w:rPr>
        <w:t>“[mental] injuries are compensable where they are caused by a compensable physical injury which occurs simultaneously or precedent to them</w:t>
      </w:r>
      <w:r w:rsidRPr="00181977">
        <w:rPr>
          <w:rFonts w:ascii="Times New Roman" w:hAnsi="Times New Roman" w:cs="Times New Roman"/>
          <w:b/>
          <w:bCs/>
          <w:color w:val="000000" w:themeColor="text1"/>
          <w:sz w:val="24"/>
          <w:szCs w:val="24"/>
        </w:rPr>
        <w:t>.”</w:t>
      </w:r>
      <w:bookmarkEnd w:id="387"/>
      <w:r w:rsidRPr="00112C9C">
        <w:rPr>
          <w:rFonts w:ascii="Times New Roman" w:hAnsi="Times New Roman" w:cs="Times New Roman"/>
          <w:color w:val="000000" w:themeColor="text1"/>
          <w:sz w:val="24"/>
          <w:szCs w:val="24"/>
          <w:vertAlign w:val="superscript"/>
        </w:rPr>
        <w:footnoteReference w:id="282"/>
      </w:r>
      <w:r w:rsidRPr="00A924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definition is set forth structurally </w:t>
      </w:r>
      <w:r>
        <w:rPr>
          <w:rFonts w:ascii="Times New Roman" w:hAnsi="Times New Roman" w:cs="Times New Roman"/>
          <w:color w:val="000000" w:themeColor="text1"/>
          <w:sz w:val="24"/>
          <w:szCs w:val="24"/>
        </w:rPr>
        <w:lastRenderedPageBreak/>
        <w:t xml:space="preserve">as a statutory exclusion: under </w:t>
      </w:r>
      <w:r w:rsidRPr="00CC46B2">
        <w:rPr>
          <w:rFonts w:ascii="Times New Roman" w:hAnsi="Times New Roman" w:cs="Times New Roman"/>
          <w:sz w:val="24"/>
          <w:szCs w:val="24"/>
        </w:rPr>
        <w:t>W.S.</w:t>
      </w:r>
      <w:r>
        <w:rPr>
          <w:rFonts w:ascii="Times New Roman" w:hAnsi="Times New Roman" w:cs="Times New Roman"/>
          <w:color w:val="000000" w:themeColor="text1"/>
          <w:sz w:val="24"/>
          <w:szCs w:val="24"/>
        </w:rPr>
        <w:t xml:space="preserve"> </w:t>
      </w:r>
      <w:r w:rsidRPr="00CC46B2">
        <w:rPr>
          <w:rFonts w:ascii="Times New Roman" w:hAnsi="Times New Roman" w:cs="Times New Roman"/>
          <w:sz w:val="24"/>
          <w:szCs w:val="24"/>
        </w:rPr>
        <w:t xml:space="preserve">§ </w:t>
      </w:r>
      <w:hyperlink r:id="rId70" w:history="1">
        <w:r w:rsidRPr="00CC46B2">
          <w:rPr>
            <w:rStyle w:val="Hyperlink"/>
            <w:rFonts w:ascii="Times New Roman" w:hAnsi="Times New Roman" w:cs="Times New Roman"/>
            <w:sz w:val="24"/>
            <w:szCs w:val="24"/>
          </w:rPr>
          <w:t>27-14-102</w:t>
        </w:r>
      </w:hyperlink>
      <w:r w:rsidRPr="00BF02A0">
        <w:rPr>
          <w:rFonts w:ascii="Times New Roman" w:hAnsi="Times New Roman" w:cs="Times New Roman"/>
          <w:color w:val="000000" w:themeColor="text1"/>
          <w:sz w:val="24"/>
          <w:szCs w:val="24"/>
        </w:rPr>
        <w:t>(a)(xi</w:t>
      </w:r>
      <w:r>
        <w:rPr>
          <w:rFonts w:ascii="Times New Roman" w:hAnsi="Times New Roman" w:cs="Times New Roman"/>
          <w:color w:val="000000" w:themeColor="text1"/>
          <w:sz w:val="24"/>
          <w:szCs w:val="24"/>
        </w:rPr>
        <w:t xml:space="preserve">), an injury—generally defined as any harmful change in the human organism &amp; etc.—does </w:t>
      </w:r>
      <w:r w:rsidRPr="00181855">
        <w:rPr>
          <w:rFonts w:ascii="Times New Roman" w:hAnsi="Times New Roman" w:cs="Times New Roman"/>
          <w:b/>
          <w:i/>
          <w:color w:val="000000" w:themeColor="text1"/>
          <w:sz w:val="24"/>
          <w:szCs w:val="24"/>
        </w:rPr>
        <w:t>not</w:t>
      </w:r>
      <w:r w:rsidRPr="00181855">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include:</w:t>
      </w:r>
    </w:p>
    <w:p w14:paraId="7BBE217F" w14:textId="77777777" w:rsidR="00FF7482" w:rsidRDefault="00FF7482" w:rsidP="00A9240F">
      <w:pPr>
        <w:pStyle w:val="ListParagraph"/>
        <w:ind w:left="0" w:firstLine="720"/>
        <w:jc w:val="both"/>
        <w:rPr>
          <w:rFonts w:ascii="Times New Roman" w:hAnsi="Times New Roman" w:cs="Times New Roman"/>
          <w:color w:val="000000" w:themeColor="text1"/>
          <w:sz w:val="24"/>
          <w:szCs w:val="24"/>
        </w:rPr>
      </w:pPr>
    </w:p>
    <w:p w14:paraId="6C87AD70" w14:textId="3EF056F5" w:rsidR="00FF7482" w:rsidRDefault="00FF7482" w:rsidP="00336EDF">
      <w:pPr>
        <w:pStyle w:val="ListParagraph"/>
        <w:ind w:right="720"/>
        <w:jc w:val="both"/>
        <w:rPr>
          <w:rFonts w:ascii="Times New Roman" w:hAnsi="Times New Roman" w:cs="Times New Roman"/>
          <w:color w:val="000000" w:themeColor="text1"/>
          <w:sz w:val="24"/>
          <w:szCs w:val="24"/>
        </w:rPr>
      </w:pPr>
      <w:r w:rsidRPr="00BF02A0">
        <w:rPr>
          <w:rFonts w:ascii="Times New Roman" w:hAnsi="Times New Roman" w:cs="Times New Roman"/>
          <w:i/>
          <w:iCs/>
          <w:color w:val="000000" w:themeColor="text1"/>
          <w:sz w:val="24"/>
          <w:szCs w:val="24"/>
        </w:rPr>
        <w:t xml:space="preserve">(J) </w:t>
      </w:r>
      <w:r w:rsidRPr="00BF02A0">
        <w:rPr>
          <w:rFonts w:ascii="Times New Roman" w:hAnsi="Times New Roman" w:cs="Times New Roman"/>
          <w:b/>
          <w:i/>
          <w:iCs/>
          <w:color w:val="000000" w:themeColor="text1"/>
          <w:sz w:val="24"/>
          <w:szCs w:val="24"/>
          <w:u w:val="single"/>
        </w:rPr>
        <w:t>Any mental injury unless it is caused by a compensable physical injury</w:t>
      </w:r>
      <w:r w:rsidRPr="00BF02A0">
        <w:rPr>
          <w:rFonts w:ascii="Times New Roman" w:hAnsi="Times New Roman" w:cs="Times New Roman"/>
          <w:b/>
          <w:i/>
          <w:iCs/>
          <w:color w:val="000000" w:themeColor="text1"/>
          <w:sz w:val="24"/>
          <w:szCs w:val="24"/>
        </w:rPr>
        <w:t xml:space="preserve">, </w:t>
      </w:r>
      <w:r w:rsidRPr="00BF02A0">
        <w:rPr>
          <w:rFonts w:ascii="Times New Roman" w:hAnsi="Times New Roman" w:cs="Times New Roman"/>
          <w:b/>
          <w:i/>
          <w:iCs/>
          <w:color w:val="000000" w:themeColor="text1"/>
          <w:sz w:val="24"/>
          <w:szCs w:val="24"/>
          <w:u w:val="single"/>
        </w:rPr>
        <w:t>it occurs subsequent to or simultaneously with</w:t>
      </w:r>
      <w:r w:rsidRPr="00BF02A0">
        <w:rPr>
          <w:rFonts w:ascii="Times New Roman" w:hAnsi="Times New Roman" w:cs="Times New Roman"/>
          <w:color w:val="000000" w:themeColor="text1"/>
          <w:sz w:val="24"/>
          <w:szCs w:val="24"/>
        </w:rPr>
        <w:t xml:space="preserve">, the physical injury and it is established by </w:t>
      </w:r>
      <w:r w:rsidRPr="00181855">
        <w:rPr>
          <w:rFonts w:ascii="Times New Roman" w:hAnsi="Times New Roman" w:cs="Times New Roman"/>
          <w:b/>
          <w:color w:val="000000" w:themeColor="text1"/>
          <w:sz w:val="24"/>
          <w:szCs w:val="24"/>
          <w:u w:val="single"/>
        </w:rPr>
        <w:t>clear and convincing evidence</w:t>
      </w:r>
      <w:r w:rsidRPr="00BF02A0">
        <w:rPr>
          <w:rFonts w:ascii="Times New Roman" w:hAnsi="Times New Roman" w:cs="Times New Roman"/>
          <w:color w:val="000000" w:themeColor="text1"/>
          <w:sz w:val="24"/>
          <w:szCs w:val="24"/>
        </w:rPr>
        <w:t xml:space="preserve">, which shall include a diagnosis by a </w:t>
      </w:r>
      <w:r w:rsidRPr="00BF02A0">
        <w:rPr>
          <w:rFonts w:ascii="Times New Roman" w:hAnsi="Times New Roman" w:cs="Times New Roman"/>
          <w:b/>
          <w:color w:val="000000" w:themeColor="text1"/>
          <w:sz w:val="24"/>
          <w:szCs w:val="24"/>
        </w:rPr>
        <w:t>licensed psychiatrist or licensed clinical psychologist</w:t>
      </w:r>
      <w:r w:rsidRPr="00BF02A0">
        <w:rPr>
          <w:rFonts w:ascii="Times New Roman" w:hAnsi="Times New Roman" w:cs="Times New Roman"/>
          <w:color w:val="000000" w:themeColor="text1"/>
          <w:sz w:val="24"/>
          <w:szCs w:val="24"/>
        </w:rPr>
        <w:t xml:space="preserve"> meeting criteria established in the </w:t>
      </w:r>
      <w:r w:rsidRPr="00BF02A0">
        <w:rPr>
          <w:rFonts w:ascii="Times New Roman" w:hAnsi="Times New Roman" w:cs="Times New Roman"/>
          <w:b/>
          <w:color w:val="000000" w:themeColor="text1"/>
          <w:sz w:val="24"/>
          <w:szCs w:val="24"/>
        </w:rPr>
        <w:t>most recent edition of the diagnostic and statistical manual of mental disorders published by the American Psychiatric Association</w:t>
      </w:r>
      <w:r>
        <w:rPr>
          <w:rFonts w:ascii="Times New Roman" w:hAnsi="Times New Roman" w:cs="Times New Roman"/>
          <w:b/>
          <w:color w:val="000000" w:themeColor="text1"/>
          <w:sz w:val="24"/>
          <w:szCs w:val="24"/>
        </w:rPr>
        <w:t>.</w:t>
      </w:r>
      <w:r w:rsidRPr="00112C9C">
        <w:rPr>
          <w:rFonts w:ascii="Times New Roman" w:hAnsi="Times New Roman" w:cs="Times New Roman"/>
          <w:sz w:val="24"/>
          <w:szCs w:val="24"/>
          <w:vertAlign w:val="superscript"/>
        </w:rPr>
        <w:footnoteReference w:id="283"/>
      </w:r>
      <w:r>
        <w:rPr>
          <w:rFonts w:ascii="Times New Roman" w:hAnsi="Times New Roman" w:cs="Times New Roman"/>
          <w:color w:val="000000" w:themeColor="text1"/>
          <w:sz w:val="24"/>
          <w:szCs w:val="24"/>
        </w:rPr>
        <w:t xml:space="preserve"> </w:t>
      </w:r>
      <w:r w:rsidRPr="00416C05">
        <w:rPr>
          <w:rFonts w:ascii="Times New Roman" w:hAnsi="Times New Roman" w:cs="Times New Roman"/>
          <w:b/>
          <w:color w:val="000000" w:themeColor="text1"/>
          <w:sz w:val="24"/>
          <w:szCs w:val="24"/>
        </w:rPr>
        <w:t xml:space="preserve">In no event shall benefits for a compensable mental injury be paid for </w:t>
      </w:r>
      <w:r w:rsidRPr="00181855">
        <w:rPr>
          <w:rFonts w:ascii="Times New Roman" w:hAnsi="Times New Roman" w:cs="Times New Roman"/>
          <w:b/>
          <w:color w:val="000000" w:themeColor="text1"/>
          <w:sz w:val="24"/>
          <w:szCs w:val="24"/>
          <w:u w:val="single"/>
        </w:rPr>
        <w:t>more than six (6) months after an injured employee's physical injury has healed</w:t>
      </w:r>
      <w:r w:rsidRPr="00BF02A0">
        <w:rPr>
          <w:rFonts w:ascii="Times New Roman" w:hAnsi="Times New Roman" w:cs="Times New Roman"/>
          <w:color w:val="000000" w:themeColor="text1"/>
          <w:sz w:val="24"/>
          <w:szCs w:val="24"/>
        </w:rPr>
        <w:t xml:space="preserve"> to the point that it is not reasonably expected to substantially improve. </w:t>
      </w:r>
    </w:p>
    <w:p w14:paraId="2DB4B175" w14:textId="77777777" w:rsidR="00FF7482" w:rsidRPr="00BF02A0" w:rsidRDefault="00FF7482" w:rsidP="00BF02A0">
      <w:pPr>
        <w:pStyle w:val="ListParagraph"/>
        <w:ind w:right="720"/>
        <w:jc w:val="both"/>
        <w:rPr>
          <w:rFonts w:ascii="Times New Roman" w:hAnsi="Times New Roman" w:cs="Times New Roman"/>
          <w:color w:val="000000" w:themeColor="text1"/>
          <w:sz w:val="24"/>
          <w:szCs w:val="24"/>
        </w:rPr>
      </w:pPr>
    </w:p>
    <w:p w14:paraId="512A046C" w14:textId="3D35C255" w:rsidR="00FF7482" w:rsidRPr="007D3CFD" w:rsidRDefault="00FF7482" w:rsidP="00997E51">
      <w:pPr>
        <w:pStyle w:val="ListParagraph"/>
        <w:ind w:left="0"/>
        <w:jc w:val="both"/>
        <w:rPr>
          <w:rFonts w:ascii="Times New Roman" w:hAnsi="Times New Roman" w:cs="Times New Roman"/>
          <w:color w:val="000000" w:themeColor="text1"/>
          <w:sz w:val="24"/>
          <w:szCs w:val="24"/>
        </w:rPr>
      </w:pPr>
      <w:r w:rsidRPr="00BF02A0">
        <w:rPr>
          <w:rFonts w:ascii="Times New Roman" w:hAnsi="Times New Roman" w:cs="Times New Roman"/>
          <w:color w:val="000000" w:themeColor="text1"/>
          <w:sz w:val="24"/>
          <w:szCs w:val="24"/>
        </w:rPr>
        <w:t xml:space="preserve">Using the </w:t>
      </w:r>
      <w:r w:rsidRPr="00BF02A0">
        <w:rPr>
          <w:rFonts w:ascii="Times New Roman" w:hAnsi="Times New Roman" w:cs="Times New Roman"/>
          <w:i/>
          <w:color w:val="000000" w:themeColor="text1"/>
          <w:sz w:val="24"/>
          <w:szCs w:val="24"/>
        </w:rPr>
        <w:t>Larson’s</w:t>
      </w:r>
      <w:r w:rsidRPr="00BF02A0">
        <w:rPr>
          <w:rFonts w:ascii="Times New Roman" w:hAnsi="Times New Roman" w:cs="Times New Roman"/>
          <w:color w:val="000000" w:themeColor="text1"/>
          <w:sz w:val="24"/>
          <w:szCs w:val="24"/>
        </w:rPr>
        <w:t xml:space="preserve"> treatise taxonomy, mental injury “cases may be thought of, for convenience, in three groups: mental stimulus causing physical injury; physical trauma causing nervous injury; and mental stimulus causing nervous injury.”</w:t>
      </w:r>
      <w:r w:rsidRPr="00112C9C">
        <w:rPr>
          <w:rFonts w:ascii="Times New Roman" w:hAnsi="Times New Roman" w:cs="Times New Roman"/>
          <w:sz w:val="24"/>
          <w:szCs w:val="24"/>
          <w:vertAlign w:val="superscript"/>
        </w:rPr>
        <w:footnoteReference w:id="284"/>
      </w:r>
      <w:r>
        <w:rPr>
          <w:rFonts w:ascii="Times New Roman" w:hAnsi="Times New Roman" w:cs="Times New Roman"/>
          <w:color w:val="000000" w:themeColor="text1"/>
          <w:sz w:val="24"/>
          <w:szCs w:val="24"/>
        </w:rPr>
        <w:t xml:space="preserve"> Wyoming compensates only the second group of cases, which is currently the minority rule approach in the United States.</w:t>
      </w:r>
      <w:r w:rsidRPr="00112C9C">
        <w:rPr>
          <w:rFonts w:ascii="Times New Roman" w:hAnsi="Times New Roman" w:cs="Times New Roman"/>
          <w:sz w:val="24"/>
          <w:szCs w:val="24"/>
          <w:vertAlign w:val="superscript"/>
        </w:rPr>
        <w:footnoteReference w:id="285"/>
      </w:r>
      <w:r>
        <w:rPr>
          <w:rFonts w:ascii="Times New Roman" w:hAnsi="Times New Roman" w:cs="Times New Roman"/>
          <w:color w:val="000000" w:themeColor="text1"/>
          <w:sz w:val="24"/>
          <w:szCs w:val="24"/>
        </w:rPr>
        <w:t xml:space="preserve"> There do not appear to be reported cases in Wyoming under the “mental stimulus causing physical injury” category (for example, mental fright causes a physical aneurism).  In </w:t>
      </w:r>
      <w:r w:rsidRPr="00497C12">
        <w:rPr>
          <w:rFonts w:ascii="Times New Roman" w:hAnsi="Times New Roman" w:cs="Times New Roman"/>
          <w:i/>
          <w:color w:val="000000" w:themeColor="text1"/>
          <w:sz w:val="24"/>
          <w:szCs w:val="24"/>
        </w:rPr>
        <w:t xml:space="preserve">Wheeler v. Workers' Safety </w:t>
      </w:r>
      <w:r>
        <w:rPr>
          <w:rFonts w:ascii="Times New Roman" w:hAnsi="Times New Roman" w:cs="Times New Roman"/>
          <w:i/>
          <w:color w:val="000000" w:themeColor="text1"/>
          <w:sz w:val="24"/>
          <w:szCs w:val="24"/>
        </w:rPr>
        <w:t>&amp;</w:t>
      </w:r>
      <w:r w:rsidRPr="00497C12">
        <w:rPr>
          <w:rFonts w:ascii="Times New Roman" w:hAnsi="Times New Roman" w:cs="Times New Roman"/>
          <w:i/>
          <w:color w:val="000000" w:themeColor="text1"/>
          <w:sz w:val="24"/>
          <w:szCs w:val="24"/>
        </w:rPr>
        <w:t xml:space="preserve"> Compensation Div.</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86"/>
      </w:r>
      <w:r>
        <w:rPr>
          <w:rFonts w:ascii="Times New Roman" w:hAnsi="Times New Roman" w:cs="Times New Roman"/>
          <w:color w:val="000000" w:themeColor="text1"/>
          <w:sz w:val="24"/>
          <w:szCs w:val="24"/>
        </w:rPr>
        <w:t xml:space="preserve"> the claimant, a volunteer fireman, who suffered from post-traumatic stress syndrome and major depressive syndrome after seeing fellow firefighters killed on the job, argued that his conditions were </w:t>
      </w:r>
      <w:r w:rsidRPr="00BF58B4">
        <w:rPr>
          <w:rFonts w:ascii="Times New Roman" w:hAnsi="Times New Roman" w:cs="Times New Roman"/>
          <w:i/>
          <w:iCs/>
          <w:color w:val="000000" w:themeColor="text1"/>
          <w:sz w:val="24"/>
          <w:szCs w:val="24"/>
        </w:rPr>
        <w:t>essentially</w:t>
      </w:r>
      <w:r>
        <w:rPr>
          <w:rFonts w:ascii="Times New Roman" w:hAnsi="Times New Roman" w:cs="Times New Roman"/>
          <w:color w:val="000000" w:themeColor="text1"/>
          <w:sz w:val="24"/>
          <w:szCs w:val="24"/>
        </w:rPr>
        <w:t xml:space="preserve"> physical.</w:t>
      </w:r>
      <w:r w:rsidRPr="00112C9C">
        <w:rPr>
          <w:rFonts w:ascii="Times New Roman" w:hAnsi="Times New Roman" w:cs="Times New Roman"/>
          <w:sz w:val="24"/>
          <w:szCs w:val="24"/>
          <w:vertAlign w:val="superscript"/>
        </w:rPr>
        <w:footnoteReference w:id="287"/>
      </w:r>
      <w:r>
        <w:rPr>
          <w:rFonts w:ascii="Times New Roman" w:hAnsi="Times New Roman" w:cs="Times New Roman"/>
          <w:color w:val="000000" w:themeColor="text1"/>
          <w:sz w:val="24"/>
          <w:szCs w:val="24"/>
        </w:rPr>
        <w:t xml:space="preserve"> The Wyoming Supreme Court interpreted the claimant’s expert to be arguing that all mental injuries were essentially physical, and rejected the argument because if it equated “‘</w:t>
      </w:r>
      <w:r w:rsidRPr="00D1042F">
        <w:rPr>
          <w:rFonts w:ascii="Times New Roman" w:hAnsi="Times New Roman" w:cs="Times New Roman"/>
          <w:color w:val="000000" w:themeColor="text1"/>
          <w:sz w:val="24"/>
          <w:szCs w:val="24"/>
        </w:rPr>
        <w:t>mental injury</w:t>
      </w:r>
      <w:r>
        <w:rPr>
          <w:rFonts w:ascii="Times New Roman" w:hAnsi="Times New Roman" w:cs="Times New Roman"/>
          <w:color w:val="000000" w:themeColor="text1"/>
          <w:sz w:val="24"/>
          <w:szCs w:val="24"/>
        </w:rPr>
        <w:t>’</w:t>
      </w:r>
      <w:r w:rsidRPr="00D1042F">
        <w:rPr>
          <w:rFonts w:ascii="Times New Roman" w:hAnsi="Times New Roman" w:cs="Times New Roman"/>
          <w:color w:val="000000" w:themeColor="text1"/>
          <w:sz w:val="24"/>
          <w:szCs w:val="24"/>
        </w:rPr>
        <w:t xml:space="preserve"> as being equivalent to </w:t>
      </w:r>
      <w:r>
        <w:rPr>
          <w:rFonts w:ascii="Times New Roman" w:hAnsi="Times New Roman" w:cs="Times New Roman"/>
          <w:color w:val="000000" w:themeColor="text1"/>
          <w:sz w:val="24"/>
          <w:szCs w:val="24"/>
        </w:rPr>
        <w:t>‘</w:t>
      </w:r>
      <w:r w:rsidRPr="00D1042F">
        <w:rPr>
          <w:rFonts w:ascii="Times New Roman" w:hAnsi="Times New Roman" w:cs="Times New Roman"/>
          <w:color w:val="000000" w:themeColor="text1"/>
          <w:sz w:val="24"/>
          <w:szCs w:val="24"/>
        </w:rPr>
        <w:t>physical injury,</w:t>
      </w:r>
      <w:r>
        <w:rPr>
          <w:rFonts w:ascii="Times New Roman" w:hAnsi="Times New Roman" w:cs="Times New Roman"/>
          <w:color w:val="000000" w:themeColor="text1"/>
          <w:sz w:val="24"/>
          <w:szCs w:val="24"/>
        </w:rPr>
        <w:t>’</w:t>
      </w:r>
      <w:r w:rsidRPr="00D1042F">
        <w:rPr>
          <w:rFonts w:ascii="Times New Roman" w:hAnsi="Times New Roman" w:cs="Times New Roman"/>
          <w:color w:val="000000" w:themeColor="text1"/>
          <w:sz w:val="24"/>
          <w:szCs w:val="24"/>
        </w:rPr>
        <w:t xml:space="preserve"> subsection (J) would have no application.</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88"/>
      </w:r>
      <w:r>
        <w:rPr>
          <w:rFonts w:ascii="Times New Roman" w:hAnsi="Times New Roman" w:cs="Times New Roman"/>
          <w:color w:val="000000" w:themeColor="text1"/>
          <w:sz w:val="24"/>
          <w:szCs w:val="24"/>
        </w:rPr>
        <w:t xml:space="preserve"> Ultimately, because the Court denied that the disorders in question were physical it did </w:t>
      </w:r>
      <w:r w:rsidRPr="007D3CFD">
        <w:rPr>
          <w:rFonts w:ascii="Times New Roman" w:hAnsi="Times New Roman" w:cs="Times New Roman"/>
          <w:i/>
          <w:color w:val="000000" w:themeColor="text1"/>
          <w:sz w:val="24"/>
          <w:szCs w:val="24"/>
        </w:rPr>
        <w:t>not</w:t>
      </w:r>
      <w:r>
        <w:rPr>
          <w:rFonts w:ascii="Times New Roman" w:hAnsi="Times New Roman" w:cs="Times New Roman"/>
          <w:color w:val="000000" w:themeColor="text1"/>
          <w:sz w:val="24"/>
          <w:szCs w:val="24"/>
        </w:rPr>
        <w:t xml:space="preserve"> reach the issue of whether a physical injury caused by a mental stimulus was compensable. A classic example of this kind of injury arose in Massachusetts’ </w:t>
      </w:r>
      <w:r w:rsidRPr="007D3CFD">
        <w:rPr>
          <w:rFonts w:ascii="Times New Roman" w:hAnsi="Times New Roman" w:cs="Times New Roman"/>
          <w:i/>
          <w:color w:val="000000" w:themeColor="text1"/>
          <w:sz w:val="24"/>
          <w:szCs w:val="24"/>
        </w:rPr>
        <w:t>Egan’s Case</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89"/>
      </w:r>
      <w:r>
        <w:rPr>
          <w:rFonts w:ascii="Times New Roman" w:hAnsi="Times New Roman" w:cs="Times New Roman"/>
          <w:color w:val="000000" w:themeColor="text1"/>
          <w:sz w:val="24"/>
          <w:szCs w:val="24"/>
        </w:rPr>
        <w:t xml:space="preserve"> in which a cab driver, terrified by a violent encounter between police officers and criminals, which he observed in the course of his employment, caused the driver to suffer an </w:t>
      </w:r>
      <w:r>
        <w:rPr>
          <w:rFonts w:ascii="Times New Roman" w:hAnsi="Times New Roman" w:cs="Times New Roman"/>
          <w:color w:val="000000" w:themeColor="text1"/>
          <w:sz w:val="24"/>
          <w:szCs w:val="24"/>
        </w:rPr>
        <w:lastRenderedPageBreak/>
        <w:t>aneurism.</w:t>
      </w:r>
      <w:r w:rsidRPr="00112C9C">
        <w:rPr>
          <w:rFonts w:ascii="Times New Roman" w:hAnsi="Times New Roman" w:cs="Times New Roman"/>
          <w:sz w:val="24"/>
          <w:szCs w:val="24"/>
          <w:vertAlign w:val="superscript"/>
        </w:rPr>
        <w:footnoteReference w:id="290"/>
      </w:r>
      <w:r>
        <w:rPr>
          <w:rFonts w:ascii="Times New Roman" w:hAnsi="Times New Roman" w:cs="Times New Roman"/>
          <w:color w:val="000000" w:themeColor="text1"/>
          <w:sz w:val="24"/>
          <w:szCs w:val="24"/>
        </w:rPr>
        <w:t xml:space="preserve">  As the </w:t>
      </w:r>
      <w:r w:rsidRPr="00630369">
        <w:rPr>
          <w:rFonts w:ascii="Times New Roman" w:hAnsi="Times New Roman" w:cs="Times New Roman"/>
          <w:i/>
          <w:iCs/>
          <w:color w:val="000000" w:themeColor="text1"/>
          <w:sz w:val="24"/>
          <w:szCs w:val="24"/>
        </w:rPr>
        <w:t>Larson</w:t>
      </w:r>
      <w:r>
        <w:rPr>
          <w:rFonts w:ascii="Times New Roman" w:hAnsi="Times New Roman" w:cs="Times New Roman"/>
          <w:color w:val="000000" w:themeColor="text1"/>
          <w:sz w:val="24"/>
          <w:szCs w:val="24"/>
        </w:rPr>
        <w:t>’s treatise notes, these kinds of cases are uniformly compensable throughout the country.</w:t>
      </w:r>
      <w:r w:rsidRPr="00112C9C">
        <w:rPr>
          <w:rFonts w:ascii="Times New Roman" w:hAnsi="Times New Roman" w:cs="Times New Roman"/>
          <w:sz w:val="24"/>
          <w:szCs w:val="24"/>
          <w:vertAlign w:val="superscript"/>
        </w:rPr>
        <w:footnoteReference w:id="291"/>
      </w:r>
    </w:p>
    <w:p w14:paraId="16C720F7" w14:textId="77777777" w:rsidR="00FF7482" w:rsidRDefault="00FF7482" w:rsidP="00461BAE">
      <w:pPr>
        <w:pStyle w:val="ListParagraph"/>
        <w:ind w:left="0" w:firstLine="720"/>
        <w:jc w:val="both"/>
        <w:rPr>
          <w:rFonts w:ascii="Times New Roman" w:hAnsi="Times New Roman" w:cs="Times New Roman"/>
          <w:color w:val="000000" w:themeColor="text1"/>
          <w:sz w:val="24"/>
          <w:szCs w:val="24"/>
        </w:rPr>
      </w:pPr>
    </w:p>
    <w:p w14:paraId="2CDF5488" w14:textId="0ED948EB" w:rsidR="00FF7482" w:rsidRDefault="00FF7482" w:rsidP="00716EAC">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Pr="00D1042F">
        <w:rPr>
          <w:rFonts w:ascii="Times New Roman" w:hAnsi="Times New Roman" w:cs="Times New Roman"/>
          <w:i/>
          <w:color w:val="000000" w:themeColor="text1"/>
          <w:sz w:val="24"/>
          <w:szCs w:val="24"/>
        </w:rPr>
        <w:t>Wheeler</w:t>
      </w:r>
      <w:r>
        <w:rPr>
          <w:rFonts w:ascii="Times New Roman" w:hAnsi="Times New Roman" w:cs="Times New Roman"/>
          <w:color w:val="000000" w:themeColor="text1"/>
          <w:sz w:val="24"/>
          <w:szCs w:val="24"/>
        </w:rPr>
        <w:t>, the Court reaffirmed other Wyoming cases, essentially applying the plain language of the current statute,</w:t>
      </w:r>
      <w:r w:rsidRPr="00112C9C">
        <w:rPr>
          <w:rFonts w:ascii="Times New Roman" w:hAnsi="Times New Roman" w:cs="Times New Roman"/>
          <w:sz w:val="24"/>
          <w:szCs w:val="24"/>
          <w:vertAlign w:val="superscript"/>
        </w:rPr>
        <w:footnoteReference w:id="292"/>
      </w:r>
      <w:r>
        <w:rPr>
          <w:rFonts w:ascii="Times New Roman" w:hAnsi="Times New Roman" w:cs="Times New Roman"/>
          <w:color w:val="000000" w:themeColor="text1"/>
          <w:sz w:val="24"/>
          <w:szCs w:val="24"/>
        </w:rPr>
        <w:t xml:space="preserve"> which requires that a claimant provide clear and convincing evidence to establish a compensable medical injury, and terminates benefits altogether after six months from the healing of the physical injury causing the mental injury.</w:t>
      </w:r>
      <w:r w:rsidRPr="00112C9C">
        <w:rPr>
          <w:rFonts w:ascii="Times New Roman" w:hAnsi="Times New Roman" w:cs="Times New Roman"/>
          <w:sz w:val="24"/>
          <w:szCs w:val="24"/>
          <w:vertAlign w:val="superscript"/>
        </w:rPr>
        <w:footnoteReference w:id="293"/>
      </w:r>
      <w:r>
        <w:rPr>
          <w:rFonts w:ascii="Times New Roman" w:hAnsi="Times New Roman" w:cs="Times New Roman"/>
          <w:color w:val="000000" w:themeColor="text1"/>
          <w:sz w:val="24"/>
          <w:szCs w:val="24"/>
        </w:rPr>
        <w:t xml:space="preserve"> </w:t>
      </w:r>
      <w:bookmarkStart w:id="402" w:name="_Hlk24632244"/>
      <w:r>
        <w:rPr>
          <w:rFonts w:ascii="Times New Roman" w:hAnsi="Times New Roman" w:cs="Times New Roman"/>
          <w:color w:val="000000" w:themeColor="text1"/>
          <w:sz w:val="24"/>
          <w:szCs w:val="24"/>
        </w:rPr>
        <w:t xml:space="preserve">While these heightened proof requirements undoubtedly exclude from statutory coverage an identifiable class of employees who may suffer mental injuries from work-related but purely mental stimuli, the statutory provision withstood an equal protection challenge in </w:t>
      </w:r>
      <w:r w:rsidRPr="00461BAE">
        <w:rPr>
          <w:rFonts w:ascii="Times New Roman" w:hAnsi="Times New Roman" w:cs="Times New Roman"/>
          <w:i/>
          <w:color w:val="000000" w:themeColor="text1"/>
          <w:sz w:val="24"/>
          <w:szCs w:val="24"/>
        </w:rPr>
        <w:t>Frantz v. Campbell County Memorial Hosp</w:t>
      </w:r>
      <w:r w:rsidRPr="00461B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294"/>
      </w:r>
      <w:r>
        <w:rPr>
          <w:rFonts w:ascii="Times New Roman" w:hAnsi="Times New Roman" w:cs="Times New Roman"/>
          <w:color w:val="000000" w:themeColor="text1"/>
          <w:sz w:val="24"/>
          <w:szCs w:val="24"/>
        </w:rPr>
        <w:t xml:space="preserve"> </w:t>
      </w:r>
      <w:r w:rsidR="00E63223">
        <w:rPr>
          <w:rFonts w:ascii="Times New Roman" w:hAnsi="Times New Roman" w:cs="Times New Roman"/>
          <w:color w:val="000000" w:themeColor="text1"/>
          <w:sz w:val="24"/>
          <w:szCs w:val="24"/>
        </w:rPr>
        <w:t xml:space="preserve">a case in which </w:t>
      </w:r>
      <w:r>
        <w:rPr>
          <w:rFonts w:ascii="Times New Roman" w:hAnsi="Times New Roman" w:cs="Times New Roman"/>
          <w:color w:val="000000" w:themeColor="text1"/>
          <w:sz w:val="24"/>
          <w:szCs w:val="24"/>
        </w:rPr>
        <w:t xml:space="preserve">the Wyoming Supreme Court identified a rational basis for </w:t>
      </w:r>
      <w:r w:rsidR="00E63223">
        <w:rPr>
          <w:rFonts w:ascii="Times New Roman" w:hAnsi="Times New Roman" w:cs="Times New Roman"/>
          <w:color w:val="000000" w:themeColor="text1"/>
          <w:sz w:val="24"/>
          <w:szCs w:val="24"/>
        </w:rPr>
        <w:t>such proof requirements</w:t>
      </w:r>
      <w:r>
        <w:rPr>
          <w:rFonts w:ascii="Times New Roman" w:hAnsi="Times New Roman" w:cs="Times New Roman"/>
          <w:color w:val="000000" w:themeColor="text1"/>
          <w:sz w:val="24"/>
          <w:szCs w:val="24"/>
        </w:rPr>
        <w:t>:</w:t>
      </w:r>
    </w:p>
    <w:bookmarkEnd w:id="402"/>
    <w:p w14:paraId="7BE7422E" w14:textId="77777777" w:rsidR="00FF7482" w:rsidRDefault="00FF7482" w:rsidP="00181855">
      <w:pPr>
        <w:pStyle w:val="ListParagraph"/>
        <w:ind w:right="720" w:firstLine="720"/>
        <w:jc w:val="both"/>
        <w:rPr>
          <w:rFonts w:ascii="Times New Roman" w:hAnsi="Times New Roman" w:cs="Times New Roman"/>
          <w:color w:val="000000" w:themeColor="text1"/>
          <w:sz w:val="24"/>
          <w:szCs w:val="24"/>
        </w:rPr>
      </w:pPr>
    </w:p>
    <w:p w14:paraId="4B6214EF" w14:textId="11EA0E5F" w:rsidR="00FF7482" w:rsidRPr="00461BAE" w:rsidRDefault="00FF7482" w:rsidP="00D57F28">
      <w:pPr>
        <w:pStyle w:val="ListParagraph"/>
        <w:spacing w:after="0"/>
        <w:ind w:right="720"/>
        <w:jc w:val="both"/>
        <w:rPr>
          <w:rFonts w:ascii="Times New Roman" w:hAnsi="Times New Roman" w:cs="Times New Roman"/>
          <w:color w:val="000000" w:themeColor="text1"/>
          <w:sz w:val="24"/>
          <w:szCs w:val="24"/>
        </w:rPr>
      </w:pPr>
      <w:r w:rsidRPr="00181855">
        <w:rPr>
          <w:rFonts w:ascii="Times New Roman" w:hAnsi="Times New Roman" w:cs="Times New Roman"/>
          <w:color w:val="000000" w:themeColor="text1"/>
          <w:sz w:val="24"/>
          <w:szCs w:val="24"/>
        </w:rPr>
        <w:t>Issues which relate to proof, causation, and frivolous or fraudulent claims create significant economic concerns with regard to the increased costs for processing and adjudicating mental injury claims. Economic concerns and burdens which are placed upon certain businesses are legitimate state interests</w:t>
      </w:r>
      <w:r>
        <w:rPr>
          <w:rFonts w:ascii="Times New Roman" w:hAnsi="Times New Roman" w:cs="Times New Roman"/>
          <w:color w:val="000000" w:themeColor="text1"/>
          <w:sz w:val="24"/>
          <w:szCs w:val="24"/>
        </w:rPr>
        <w:t xml:space="preserve"> . . . </w:t>
      </w:r>
      <w:r w:rsidRPr="00181855">
        <w:rPr>
          <w:rFonts w:ascii="Times New Roman" w:hAnsi="Times New Roman" w:cs="Times New Roman"/>
          <w:color w:val="000000" w:themeColor="text1"/>
          <w:sz w:val="24"/>
          <w:szCs w:val="24"/>
        </w:rPr>
        <w:t xml:space="preserve"> The legislature's attempt to ensure that claimants receive quick, efficient, fair, and predictable medical benefits as well as its effort to prevent fraud and abuse, thereby reducing the employers' costs, are rationally related to those legitimate state interests.</w:t>
      </w:r>
      <w:r w:rsidRPr="00112C9C">
        <w:rPr>
          <w:rFonts w:ascii="Times New Roman" w:hAnsi="Times New Roman" w:cs="Times New Roman"/>
          <w:sz w:val="24"/>
          <w:szCs w:val="24"/>
          <w:vertAlign w:val="superscript"/>
        </w:rPr>
        <w:footnoteReference w:id="295"/>
      </w:r>
    </w:p>
    <w:p w14:paraId="053DA022" w14:textId="44A58E44" w:rsidR="00FF7482" w:rsidRPr="00497C12" w:rsidRDefault="00FF7482" w:rsidP="00497C12">
      <w:pPr>
        <w:pStyle w:val="ListParagraph"/>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AEBA826" w14:textId="2A1C8ECF" w:rsidR="00FF7482" w:rsidRDefault="00FF7482" w:rsidP="00B84A73">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corollary to the categorical exclusion, of course, is that employees suffering such injuries would not be barred by operation of the exclusive remedy rule from pursuing tort actions.</w:t>
      </w:r>
      <w:r w:rsidRPr="00112C9C">
        <w:rPr>
          <w:rFonts w:ascii="Times New Roman" w:hAnsi="Times New Roman" w:cs="Times New Roman"/>
          <w:sz w:val="24"/>
          <w:szCs w:val="24"/>
          <w:vertAlign w:val="superscript"/>
        </w:rPr>
        <w:footnoteReference w:id="296"/>
      </w:r>
    </w:p>
    <w:p w14:paraId="3BD19B07" w14:textId="77777777" w:rsidR="00FF7482" w:rsidRPr="00BF02A0" w:rsidRDefault="00FF7482" w:rsidP="008A788C">
      <w:pPr>
        <w:pStyle w:val="ListParagraph"/>
        <w:spacing w:after="0"/>
        <w:ind w:left="0" w:firstLine="720"/>
        <w:jc w:val="both"/>
        <w:rPr>
          <w:rFonts w:ascii="Times New Roman" w:hAnsi="Times New Roman" w:cs="Times New Roman"/>
          <w:color w:val="000000" w:themeColor="text1"/>
          <w:sz w:val="24"/>
          <w:szCs w:val="24"/>
        </w:rPr>
      </w:pPr>
    </w:p>
    <w:p w14:paraId="305CBAD4" w14:textId="474809A4" w:rsidR="00FF7482" w:rsidRDefault="00FF7482" w:rsidP="00D57F28">
      <w:pPr>
        <w:pStyle w:val="Heading2"/>
        <w:rPr>
          <w:rFonts w:ascii="Times New Roman" w:hAnsi="Times New Roman" w:cs="Times New Roman"/>
          <w:b/>
          <w:color w:val="auto"/>
        </w:rPr>
      </w:pPr>
      <w:bookmarkStart w:id="407" w:name="_Toc75269378"/>
      <w:bookmarkStart w:id="408" w:name="_Hlk520130809"/>
      <w:r>
        <w:rPr>
          <w:rFonts w:ascii="Times New Roman" w:hAnsi="Times New Roman" w:cs="Times New Roman"/>
          <w:b/>
          <w:color w:val="auto"/>
        </w:rPr>
        <w:t xml:space="preserve">Idiopathic </w:t>
      </w:r>
      <w:r w:rsidRPr="009240A3">
        <w:rPr>
          <w:rFonts w:ascii="Times New Roman" w:hAnsi="Times New Roman" w:cs="Times New Roman"/>
          <w:b/>
          <w:color w:val="auto"/>
        </w:rPr>
        <w:t>Falls</w:t>
      </w:r>
      <w:r>
        <w:rPr>
          <w:rFonts w:ascii="Times New Roman" w:hAnsi="Times New Roman" w:cs="Times New Roman"/>
          <w:b/>
          <w:color w:val="auto"/>
        </w:rPr>
        <w:t>, Unexplained Falls, and the Premises Rule</w:t>
      </w:r>
      <w:bookmarkEnd w:id="407"/>
    </w:p>
    <w:bookmarkEnd w:id="408"/>
    <w:p w14:paraId="31A6BCE9" w14:textId="77777777" w:rsidR="00FF7482" w:rsidRPr="007608D1" w:rsidRDefault="00FF7482" w:rsidP="008A788C">
      <w:pPr>
        <w:spacing w:after="0"/>
      </w:pPr>
    </w:p>
    <w:p w14:paraId="7D9770CA" w14:textId="0050E2A8" w:rsidR="00DE2841" w:rsidRDefault="00FF7482" w:rsidP="00D57F28">
      <w:pPr>
        <w:pStyle w:val="ListParagraph"/>
        <w:ind w:left="0"/>
        <w:jc w:val="both"/>
        <w:rPr>
          <w:rFonts w:ascii="Times New Roman" w:hAnsi="Times New Roman" w:cs="Times New Roman"/>
          <w:color w:val="000000" w:themeColor="text1"/>
          <w:sz w:val="24"/>
          <w:szCs w:val="24"/>
        </w:rPr>
      </w:pPr>
      <w:r w:rsidRPr="00C01736">
        <w:rPr>
          <w:rFonts w:ascii="Times New Roman" w:hAnsi="Times New Roman" w:cs="Times New Roman"/>
          <w:b/>
          <w:bCs/>
          <w:color w:val="000000" w:themeColor="text1"/>
          <w:sz w:val="24"/>
          <w:szCs w:val="24"/>
          <w:u w:val="single"/>
        </w:rPr>
        <w:t xml:space="preserve">The general rule in workers’ compensation law is that idiopathic falls—falls produced from events like non-work-related heart attacks, epileptic seizures, and other purely personal conditions—are not compensable unless </w:t>
      </w:r>
      <w:r w:rsidRPr="00C01736">
        <w:rPr>
          <w:rFonts w:ascii="Times New Roman" w:hAnsi="Times New Roman" w:cs="Times New Roman"/>
          <w:b/>
          <w:bCs/>
          <w:color w:val="000000" w:themeColor="text1"/>
          <w:sz w:val="24"/>
          <w:szCs w:val="24"/>
          <w:u w:val="single"/>
        </w:rPr>
        <w:lastRenderedPageBreak/>
        <w:t>“employment places the employee in a position increasing the dangerous effects of such a fall, such as on a height, near machinery or sharp corners, or in a moving vehicle</w:t>
      </w:r>
      <w:r w:rsidRPr="00181977">
        <w:rPr>
          <w:rFonts w:ascii="Times New Roman" w:hAnsi="Times New Roman" w:cs="Times New Roman"/>
          <w:b/>
          <w:bCs/>
          <w:color w:val="000000" w:themeColor="text1"/>
          <w:sz w:val="24"/>
          <w:szCs w:val="24"/>
        </w:rPr>
        <w:t>.”</w:t>
      </w:r>
      <w:r w:rsidRPr="00112C9C">
        <w:rPr>
          <w:rFonts w:ascii="Times New Roman" w:hAnsi="Times New Roman" w:cs="Times New Roman"/>
          <w:sz w:val="24"/>
          <w:szCs w:val="24"/>
          <w:vertAlign w:val="superscript"/>
        </w:rPr>
        <w:footnoteReference w:id="297"/>
      </w:r>
      <w:r>
        <w:rPr>
          <w:rFonts w:ascii="Times New Roman" w:hAnsi="Times New Roman" w:cs="Times New Roman"/>
          <w:color w:val="000000" w:themeColor="text1"/>
          <w:sz w:val="24"/>
          <w:szCs w:val="24"/>
        </w:rPr>
        <w:t xml:space="preserve"> There has been a great deal of case law over the years around the country on </w:t>
      </w:r>
      <w:r w:rsidRPr="00C01736">
        <w:rPr>
          <w:rFonts w:ascii="Times New Roman" w:hAnsi="Times New Roman" w:cs="Times New Roman"/>
          <w:i/>
          <w:iCs/>
          <w:color w:val="000000" w:themeColor="text1"/>
          <w:sz w:val="24"/>
          <w:szCs w:val="24"/>
        </w:rPr>
        <w:t>the extent to which employment must contribute to an injury to render an idiopathic fall compensable</w:t>
      </w:r>
      <w:r>
        <w:rPr>
          <w:rFonts w:ascii="Times New Roman" w:hAnsi="Times New Roman" w:cs="Times New Roman"/>
          <w:color w:val="000000" w:themeColor="text1"/>
          <w:sz w:val="24"/>
          <w:szCs w:val="24"/>
        </w:rPr>
        <w:t>. For example, a level floor is experienced inside and outside of the workplace and is arguably a neutral risk. Thus, the argument has gone, if an employee suffers an idiopathic fall and strikes a level floor in the workplace, an injury suffered therefrom is not compensable.</w:t>
      </w:r>
      <w:r w:rsidRPr="00112C9C">
        <w:rPr>
          <w:rFonts w:ascii="Times New Roman" w:hAnsi="Times New Roman" w:cs="Times New Roman"/>
          <w:sz w:val="24"/>
          <w:szCs w:val="24"/>
          <w:vertAlign w:val="superscript"/>
        </w:rPr>
        <w:footnoteReference w:id="298"/>
      </w:r>
      <w:r>
        <w:rPr>
          <w:rFonts w:ascii="Times New Roman" w:hAnsi="Times New Roman" w:cs="Times New Roman"/>
          <w:color w:val="000000" w:themeColor="text1"/>
          <w:sz w:val="24"/>
          <w:szCs w:val="24"/>
        </w:rPr>
        <w:t xml:space="preserve"> The reason is, of course, that the injury suffered cannot be said to have “arisen out of” employment unless a very strict version of positional risk doctrine is resorted to. Logically, it follows that if on the way down to the floor the employee suffering from the idiopathic fall strikes a metal machine unique to the workplace, thereby suffering injuries, those injuries </w:t>
      </w:r>
      <w:r w:rsidRPr="003A3D8E">
        <w:rPr>
          <w:rFonts w:ascii="Times New Roman" w:hAnsi="Times New Roman" w:cs="Times New Roman"/>
          <w:i/>
          <w:color w:val="000000" w:themeColor="text1"/>
          <w:sz w:val="24"/>
          <w:szCs w:val="24"/>
        </w:rPr>
        <w:t>are</w:t>
      </w:r>
      <w:r>
        <w:rPr>
          <w:rFonts w:ascii="Times New Roman" w:hAnsi="Times New Roman" w:cs="Times New Roman"/>
          <w:color w:val="000000" w:themeColor="text1"/>
          <w:sz w:val="24"/>
          <w:szCs w:val="24"/>
        </w:rPr>
        <w:t xml:space="preserve"> compensable. One needs no more prompting to realize the great variety of cases and outcomes that have unfolded under such a rubric, and the </w:t>
      </w:r>
      <w:r w:rsidRPr="003A3D8E">
        <w:rPr>
          <w:rFonts w:ascii="Times New Roman" w:hAnsi="Times New Roman" w:cs="Times New Roman"/>
          <w:i/>
          <w:color w:val="000000" w:themeColor="text1"/>
          <w:sz w:val="24"/>
          <w:szCs w:val="24"/>
        </w:rPr>
        <w:t>Larson</w:t>
      </w:r>
      <w:r>
        <w:rPr>
          <w:rFonts w:ascii="Times New Roman" w:hAnsi="Times New Roman" w:cs="Times New Roman"/>
          <w:color w:val="000000" w:themeColor="text1"/>
          <w:sz w:val="24"/>
          <w:szCs w:val="24"/>
        </w:rPr>
        <w:t>’s treatise is full of conflicting, and at times, incoherent doctrine.</w:t>
      </w:r>
      <w:r w:rsidRPr="00112C9C">
        <w:rPr>
          <w:rFonts w:ascii="Times New Roman" w:hAnsi="Times New Roman" w:cs="Times New Roman"/>
          <w:sz w:val="24"/>
          <w:szCs w:val="24"/>
          <w:vertAlign w:val="superscript"/>
        </w:rPr>
        <w:footnoteReference w:id="299"/>
      </w:r>
      <w:r>
        <w:rPr>
          <w:rFonts w:ascii="Times New Roman" w:hAnsi="Times New Roman" w:cs="Times New Roman"/>
          <w:color w:val="000000" w:themeColor="text1"/>
          <w:sz w:val="24"/>
          <w:szCs w:val="24"/>
        </w:rPr>
        <w:t xml:space="preserve"> </w:t>
      </w:r>
    </w:p>
    <w:p w14:paraId="60F7FE7E" w14:textId="77777777" w:rsidR="00DE2841" w:rsidRDefault="00DE2841" w:rsidP="00DE2841">
      <w:pPr>
        <w:pStyle w:val="ListParagraph"/>
        <w:ind w:left="0"/>
        <w:jc w:val="both"/>
        <w:rPr>
          <w:rFonts w:ascii="Times New Roman" w:hAnsi="Times New Roman" w:cs="Times New Roman"/>
          <w:color w:val="000000" w:themeColor="text1"/>
          <w:sz w:val="24"/>
          <w:szCs w:val="24"/>
        </w:rPr>
      </w:pPr>
    </w:p>
    <w:p w14:paraId="424826EF" w14:textId="23AC62A7" w:rsidR="00FF7482" w:rsidRDefault="00FF7482" w:rsidP="00D57F28">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Similar problems have emerged when dealing with </w:t>
      </w:r>
      <w:r w:rsidRPr="00C01736">
        <w:rPr>
          <w:rFonts w:ascii="Times New Roman" w:hAnsi="Times New Roman" w:cs="Times New Roman"/>
          <w:b/>
          <w:bCs/>
          <w:color w:val="000000" w:themeColor="text1"/>
          <w:sz w:val="24"/>
          <w:szCs w:val="24"/>
        </w:rPr>
        <w:t>“unexplained” falls</w:t>
      </w:r>
      <w:r>
        <w:rPr>
          <w:rFonts w:ascii="Times New Roman" w:hAnsi="Times New Roman" w:cs="Times New Roman"/>
          <w:color w:val="000000" w:themeColor="text1"/>
          <w:sz w:val="24"/>
          <w:szCs w:val="24"/>
        </w:rPr>
        <w:t xml:space="preserve">. There is a close relationship between idiopathic falls and unexplained falls because, when a claimant cannot explain how a fall occurred, employers and insurance carriers may suspect the claimant was overcome by an idiopathic, or purely personal, condition. The unexplained fall phenomenon is as simple as it sounds. An employee falls at work and is injured (or killed) and there is simply no work-related explanation for the event. A lead national case is </w:t>
      </w:r>
      <w:r w:rsidRPr="00B600D7">
        <w:rPr>
          <w:rFonts w:ascii="Times New Roman" w:hAnsi="Times New Roman" w:cs="Times New Roman"/>
          <w:i/>
          <w:color w:val="000000" w:themeColor="text1"/>
          <w:sz w:val="24"/>
          <w:szCs w:val="24"/>
        </w:rPr>
        <w:t>Circle K Store No. 1131 v. Industrial Comm’n of Ariz</w:t>
      </w:r>
      <w:r w:rsidRPr="0064085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00"/>
      </w:r>
      <w:r>
        <w:rPr>
          <w:rFonts w:ascii="Times New Roman" w:hAnsi="Times New Roman" w:cs="Times New Roman"/>
          <w:color w:val="000000" w:themeColor="text1"/>
          <w:sz w:val="24"/>
          <w:szCs w:val="24"/>
        </w:rPr>
        <w:t xml:space="preserve"> in which an employee </w:t>
      </w:r>
      <w:r w:rsidRPr="00B600D7">
        <w:rPr>
          <w:rFonts w:ascii="Times New Roman" w:hAnsi="Times New Roman" w:cs="Times New Roman"/>
          <w:color w:val="000000" w:themeColor="text1"/>
          <w:sz w:val="24"/>
          <w:szCs w:val="24"/>
        </w:rPr>
        <w:t xml:space="preserve">was injured </w:t>
      </w:r>
      <w:r>
        <w:rPr>
          <w:rFonts w:ascii="Times New Roman" w:hAnsi="Times New Roman" w:cs="Times New Roman"/>
          <w:color w:val="000000" w:themeColor="text1"/>
          <w:sz w:val="24"/>
          <w:szCs w:val="24"/>
        </w:rPr>
        <w:t>just before going home at the end of a shift</w:t>
      </w:r>
      <w:r w:rsidRPr="00B600D7">
        <w:rPr>
          <w:rFonts w:ascii="Times New Roman" w:hAnsi="Times New Roman" w:cs="Times New Roman"/>
          <w:color w:val="000000" w:themeColor="text1"/>
          <w:sz w:val="24"/>
          <w:szCs w:val="24"/>
        </w:rPr>
        <w:t xml:space="preserve"> after </w:t>
      </w:r>
      <w:r>
        <w:rPr>
          <w:rFonts w:ascii="Times New Roman" w:hAnsi="Times New Roman" w:cs="Times New Roman"/>
          <w:color w:val="000000" w:themeColor="text1"/>
          <w:sz w:val="24"/>
          <w:szCs w:val="24"/>
        </w:rPr>
        <w:t>throwing</w:t>
      </w:r>
      <w:r w:rsidRPr="00B600D7">
        <w:rPr>
          <w:rFonts w:ascii="Times New Roman" w:hAnsi="Times New Roman" w:cs="Times New Roman"/>
          <w:color w:val="000000" w:themeColor="text1"/>
          <w:sz w:val="24"/>
          <w:szCs w:val="24"/>
        </w:rPr>
        <w:t xml:space="preserve"> trash in</w:t>
      </w:r>
      <w:r>
        <w:rPr>
          <w:rFonts w:ascii="Times New Roman" w:hAnsi="Times New Roman" w:cs="Times New Roman"/>
          <w:color w:val="000000" w:themeColor="text1"/>
          <w:sz w:val="24"/>
          <w:szCs w:val="24"/>
        </w:rPr>
        <w:t xml:space="preserve"> a</w:t>
      </w:r>
      <w:r w:rsidRPr="00B600D7">
        <w:rPr>
          <w:rFonts w:ascii="Times New Roman" w:hAnsi="Times New Roman" w:cs="Times New Roman"/>
          <w:color w:val="000000" w:themeColor="text1"/>
          <w:sz w:val="24"/>
          <w:szCs w:val="24"/>
        </w:rPr>
        <w:t xml:space="preserve"> dumpster</w:t>
      </w:r>
      <w:r>
        <w:rPr>
          <w:rFonts w:ascii="Times New Roman" w:hAnsi="Times New Roman" w:cs="Times New Roman"/>
          <w:color w:val="000000" w:themeColor="text1"/>
          <w:sz w:val="24"/>
          <w:szCs w:val="24"/>
        </w:rPr>
        <w:t>. The injury occurred as she was</w:t>
      </w:r>
      <w:r w:rsidRPr="00B600D7">
        <w:rPr>
          <w:rFonts w:ascii="Times New Roman" w:hAnsi="Times New Roman" w:cs="Times New Roman"/>
          <w:color w:val="000000" w:themeColor="text1"/>
          <w:sz w:val="24"/>
          <w:szCs w:val="24"/>
        </w:rPr>
        <w:t xml:space="preserve"> turning around to pick up her belongings</w:t>
      </w:r>
      <w:r>
        <w:rPr>
          <w:rFonts w:ascii="Times New Roman" w:hAnsi="Times New Roman" w:cs="Times New Roman"/>
          <w:color w:val="000000" w:themeColor="text1"/>
          <w:sz w:val="24"/>
          <w:szCs w:val="24"/>
        </w:rPr>
        <w:t>, which</w:t>
      </w:r>
      <w:r w:rsidRPr="00B600D7">
        <w:rPr>
          <w:rFonts w:ascii="Times New Roman" w:hAnsi="Times New Roman" w:cs="Times New Roman"/>
          <w:color w:val="000000" w:themeColor="text1"/>
          <w:sz w:val="24"/>
          <w:szCs w:val="24"/>
        </w:rPr>
        <w:t xml:space="preserve"> she had</w:t>
      </w:r>
      <w:r>
        <w:rPr>
          <w:rFonts w:ascii="Times New Roman" w:hAnsi="Times New Roman" w:cs="Times New Roman"/>
          <w:color w:val="000000" w:themeColor="text1"/>
          <w:sz w:val="24"/>
          <w:szCs w:val="24"/>
        </w:rPr>
        <w:t xml:space="preserve"> temporarily</w:t>
      </w:r>
      <w:r w:rsidRPr="00B600D7">
        <w:rPr>
          <w:rFonts w:ascii="Times New Roman" w:hAnsi="Times New Roman" w:cs="Times New Roman"/>
          <w:color w:val="000000" w:themeColor="text1"/>
          <w:sz w:val="24"/>
          <w:szCs w:val="24"/>
        </w:rPr>
        <w:t xml:space="preserve"> placed on the ground.</w:t>
      </w:r>
      <w:r w:rsidRPr="00112C9C">
        <w:rPr>
          <w:rFonts w:ascii="Times New Roman" w:hAnsi="Times New Roman" w:cs="Times New Roman"/>
          <w:sz w:val="24"/>
          <w:szCs w:val="24"/>
          <w:vertAlign w:val="superscript"/>
        </w:rPr>
        <w:footnoteReference w:id="301"/>
      </w:r>
      <w:r>
        <w:rPr>
          <w:rFonts w:ascii="Times New Roman" w:hAnsi="Times New Roman" w:cs="Times New Roman"/>
          <w:color w:val="000000" w:themeColor="text1"/>
          <w:sz w:val="24"/>
          <w:szCs w:val="24"/>
        </w:rPr>
        <w:t xml:space="preserve"> At hearing, she was unable to identify what had caused her to fall, despite considerable prompting by counsel.</w:t>
      </w:r>
      <w:r w:rsidRPr="00112C9C">
        <w:rPr>
          <w:rFonts w:ascii="Times New Roman" w:hAnsi="Times New Roman" w:cs="Times New Roman"/>
          <w:sz w:val="24"/>
          <w:szCs w:val="24"/>
          <w:vertAlign w:val="superscript"/>
        </w:rPr>
        <w:footnoteReference w:id="302"/>
      </w:r>
      <w:r>
        <w:rPr>
          <w:rFonts w:ascii="Times New Roman" w:hAnsi="Times New Roman" w:cs="Times New Roman"/>
          <w:color w:val="000000" w:themeColor="text1"/>
          <w:sz w:val="24"/>
          <w:szCs w:val="24"/>
        </w:rPr>
        <w:t xml:space="preserve"> </w:t>
      </w:r>
      <w:bookmarkStart w:id="416" w:name="_Hlk24632347"/>
      <w:r>
        <w:rPr>
          <w:rFonts w:ascii="Times New Roman" w:hAnsi="Times New Roman" w:cs="Times New Roman"/>
          <w:color w:val="000000" w:themeColor="text1"/>
          <w:sz w:val="24"/>
          <w:szCs w:val="24"/>
        </w:rPr>
        <w:t>After canvassing the major approaches throughout the country analyz</w:t>
      </w:r>
      <w:r w:rsidR="00BA53F0">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the unexplained fall problem</w:t>
      </w:r>
      <w:bookmarkEnd w:id="416"/>
      <w:r>
        <w:rPr>
          <w:rFonts w:ascii="Times New Roman" w:hAnsi="Times New Roman" w:cs="Times New Roman"/>
          <w:color w:val="000000" w:themeColor="text1"/>
          <w:sz w:val="24"/>
          <w:szCs w:val="24"/>
        </w:rPr>
        <w:t xml:space="preserve">, the </w:t>
      </w:r>
      <w:r w:rsidRPr="00072428">
        <w:rPr>
          <w:rFonts w:ascii="Times New Roman" w:hAnsi="Times New Roman" w:cs="Times New Roman"/>
          <w:i/>
          <w:color w:val="000000" w:themeColor="text1"/>
          <w:sz w:val="24"/>
          <w:szCs w:val="24"/>
        </w:rPr>
        <w:t>Circle K</w:t>
      </w:r>
      <w:r>
        <w:rPr>
          <w:rFonts w:ascii="Times New Roman" w:hAnsi="Times New Roman" w:cs="Times New Roman"/>
          <w:color w:val="000000" w:themeColor="text1"/>
          <w:sz w:val="24"/>
          <w:szCs w:val="24"/>
        </w:rPr>
        <w:t xml:space="preserve"> court applied the positional risk doctrine, holding that because the employee was performing her work duties “</w:t>
      </w:r>
      <w:r w:rsidRPr="00072428">
        <w:rPr>
          <w:rFonts w:ascii="Times New Roman" w:hAnsi="Times New Roman" w:cs="Times New Roman"/>
          <w:color w:val="000000" w:themeColor="text1"/>
          <w:sz w:val="24"/>
          <w:szCs w:val="24"/>
        </w:rPr>
        <w:t xml:space="preserve">a presumption arises that her injuries </w:t>
      </w:r>
      <w:r>
        <w:rPr>
          <w:rFonts w:ascii="Times New Roman" w:hAnsi="Times New Roman" w:cs="Times New Roman"/>
          <w:color w:val="000000" w:themeColor="text1"/>
          <w:sz w:val="24"/>
          <w:szCs w:val="24"/>
        </w:rPr>
        <w:t>‘</w:t>
      </w:r>
      <w:r w:rsidRPr="00072428">
        <w:rPr>
          <w:rFonts w:ascii="Times New Roman" w:hAnsi="Times New Roman" w:cs="Times New Roman"/>
          <w:color w:val="000000" w:themeColor="text1"/>
          <w:sz w:val="24"/>
          <w:szCs w:val="24"/>
        </w:rPr>
        <w:t>arose out of</w:t>
      </w:r>
      <w:r>
        <w:rPr>
          <w:rFonts w:ascii="Times New Roman" w:hAnsi="Times New Roman" w:cs="Times New Roman"/>
          <w:color w:val="000000" w:themeColor="text1"/>
          <w:sz w:val="24"/>
          <w:szCs w:val="24"/>
        </w:rPr>
        <w:t>’</w:t>
      </w:r>
      <w:r w:rsidRPr="00072428">
        <w:rPr>
          <w:rFonts w:ascii="Times New Roman" w:hAnsi="Times New Roman" w:cs="Times New Roman"/>
          <w:color w:val="000000" w:themeColor="text1"/>
          <w:sz w:val="24"/>
          <w:szCs w:val="24"/>
        </w:rPr>
        <w:t xml:space="preserve"> her employment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03"/>
      </w:r>
      <w:r>
        <w:rPr>
          <w:rFonts w:ascii="Times New Roman" w:hAnsi="Times New Roman" w:cs="Times New Roman"/>
          <w:color w:val="000000" w:themeColor="text1"/>
          <w:sz w:val="24"/>
          <w:szCs w:val="24"/>
        </w:rPr>
        <w:t xml:space="preserve"> </w:t>
      </w:r>
    </w:p>
    <w:p w14:paraId="7AE83764" w14:textId="77777777" w:rsidR="00FF7482" w:rsidRDefault="00FF7482" w:rsidP="000A6A26">
      <w:pPr>
        <w:pStyle w:val="ListParagraph"/>
        <w:ind w:left="0" w:firstLine="720"/>
        <w:jc w:val="both"/>
        <w:rPr>
          <w:rFonts w:ascii="Times New Roman" w:hAnsi="Times New Roman" w:cs="Times New Roman"/>
          <w:color w:val="000000" w:themeColor="text1"/>
          <w:sz w:val="24"/>
          <w:szCs w:val="24"/>
        </w:rPr>
      </w:pPr>
    </w:p>
    <w:p w14:paraId="0310C0BA" w14:textId="41B0F173" w:rsidR="00FF7482" w:rsidRDefault="00FF7482" w:rsidP="003511BF">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Wyoming’s approach to these falls has been altered significantly by formal judicial adoption and application, beginning in 1990,</w:t>
      </w:r>
      <w:r w:rsidRPr="00112C9C">
        <w:rPr>
          <w:rFonts w:ascii="Times New Roman" w:hAnsi="Times New Roman" w:cs="Times New Roman"/>
          <w:sz w:val="24"/>
          <w:szCs w:val="24"/>
          <w:vertAlign w:val="superscript"/>
        </w:rPr>
        <w:footnoteReference w:id="304"/>
      </w:r>
      <w:r>
        <w:rPr>
          <w:rFonts w:ascii="Times New Roman" w:hAnsi="Times New Roman" w:cs="Times New Roman"/>
          <w:color w:val="000000" w:themeColor="text1"/>
          <w:sz w:val="24"/>
          <w:szCs w:val="24"/>
        </w:rPr>
        <w:t xml:space="preserve"> of the </w:t>
      </w:r>
      <w:r w:rsidRPr="00630369">
        <w:rPr>
          <w:rFonts w:ascii="Times New Roman" w:hAnsi="Times New Roman" w:cs="Times New Roman"/>
          <w:b/>
          <w:bCs/>
          <w:color w:val="000000" w:themeColor="text1"/>
          <w:sz w:val="24"/>
          <w:szCs w:val="24"/>
        </w:rPr>
        <w:t>“premises rule,”</w:t>
      </w:r>
      <w:r>
        <w:rPr>
          <w:rFonts w:ascii="Times New Roman" w:hAnsi="Times New Roman" w:cs="Times New Roman"/>
          <w:color w:val="000000" w:themeColor="text1"/>
          <w:sz w:val="24"/>
          <w:szCs w:val="24"/>
        </w:rPr>
        <w:t xml:space="preserve"> which will be explained momentarily, to “causal connection” situations. In </w:t>
      </w:r>
      <w:r w:rsidRPr="00502BA0">
        <w:rPr>
          <w:rFonts w:ascii="Times New Roman" w:hAnsi="Times New Roman" w:cs="Times New Roman"/>
          <w:i/>
          <w:color w:val="000000" w:themeColor="text1"/>
          <w:sz w:val="24"/>
          <w:szCs w:val="24"/>
        </w:rPr>
        <w:t>Matter of Williams</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05"/>
      </w:r>
      <w:r>
        <w:rPr>
          <w:rFonts w:ascii="Times New Roman" w:hAnsi="Times New Roman" w:cs="Times New Roman"/>
          <w:color w:val="000000" w:themeColor="text1"/>
          <w:sz w:val="24"/>
          <w:szCs w:val="24"/>
        </w:rPr>
        <w:t xml:space="preserve"> for example, Mr. Williams suffered a head injury on the work site.</w:t>
      </w:r>
      <w:r w:rsidRPr="00112C9C">
        <w:rPr>
          <w:rFonts w:ascii="Times New Roman" w:hAnsi="Times New Roman" w:cs="Times New Roman"/>
          <w:sz w:val="24"/>
          <w:szCs w:val="24"/>
          <w:vertAlign w:val="superscript"/>
        </w:rPr>
        <w:footnoteReference w:id="306"/>
      </w:r>
      <w:r>
        <w:rPr>
          <w:rFonts w:ascii="Times New Roman" w:hAnsi="Times New Roman" w:cs="Times New Roman"/>
          <w:color w:val="000000" w:themeColor="text1"/>
          <w:sz w:val="24"/>
          <w:szCs w:val="24"/>
        </w:rPr>
        <w:t xml:space="preserve"> While it was clear an injury had occurred at work,</w:t>
      </w:r>
      <w:r w:rsidRPr="00112C9C">
        <w:rPr>
          <w:rFonts w:ascii="Times New Roman" w:hAnsi="Times New Roman" w:cs="Times New Roman"/>
          <w:sz w:val="24"/>
          <w:szCs w:val="24"/>
          <w:vertAlign w:val="superscript"/>
        </w:rPr>
        <w:footnoteReference w:id="307"/>
      </w:r>
      <w:r>
        <w:rPr>
          <w:rFonts w:ascii="Times New Roman" w:hAnsi="Times New Roman" w:cs="Times New Roman"/>
          <w:color w:val="000000" w:themeColor="text1"/>
          <w:sz w:val="24"/>
          <w:szCs w:val="24"/>
        </w:rPr>
        <w:t xml:space="preserve"> as Williams was working,</w:t>
      </w:r>
      <w:r w:rsidRPr="00112C9C">
        <w:rPr>
          <w:rFonts w:ascii="Times New Roman" w:hAnsi="Times New Roman" w:cs="Times New Roman"/>
          <w:sz w:val="24"/>
          <w:szCs w:val="24"/>
          <w:vertAlign w:val="superscript"/>
        </w:rPr>
        <w:footnoteReference w:id="308"/>
      </w:r>
      <w:r>
        <w:rPr>
          <w:rFonts w:ascii="Times New Roman" w:hAnsi="Times New Roman" w:cs="Times New Roman"/>
          <w:color w:val="000000" w:themeColor="text1"/>
          <w:sz w:val="24"/>
          <w:szCs w:val="24"/>
        </w:rPr>
        <w:t xml:space="preserve"> there was evidence that the mechanism of the injury described by the claimant was not true. While Williams claimed he fell avoiding a flash fire, emergency personnel concluded such a fire did not occur.</w:t>
      </w:r>
      <w:r w:rsidRPr="00112C9C">
        <w:rPr>
          <w:rFonts w:ascii="Times New Roman" w:hAnsi="Times New Roman" w:cs="Times New Roman"/>
          <w:sz w:val="24"/>
          <w:szCs w:val="24"/>
          <w:vertAlign w:val="superscript"/>
        </w:rPr>
        <w:footnoteReference w:id="309"/>
      </w:r>
      <w:r>
        <w:rPr>
          <w:rFonts w:ascii="Times New Roman" w:hAnsi="Times New Roman" w:cs="Times New Roman"/>
          <w:color w:val="000000" w:themeColor="text1"/>
          <w:sz w:val="24"/>
          <w:szCs w:val="24"/>
        </w:rPr>
        <w:t xml:space="preserve"> Moreover, it was possible that administrative officials based their denial of Mr. Williams’ claim “</w:t>
      </w:r>
      <w:r w:rsidRPr="00922BFD">
        <w:rPr>
          <w:rFonts w:ascii="Times New Roman" w:hAnsi="Times New Roman" w:cs="Times New Roman"/>
          <w:color w:val="000000" w:themeColor="text1"/>
          <w:sz w:val="24"/>
          <w:szCs w:val="24"/>
        </w:rPr>
        <w:t>solely on speculation that something other than work, such as something idiopathic, caused Mr. Williams to fall</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10"/>
      </w:r>
      <w:r>
        <w:rPr>
          <w:rFonts w:ascii="Times New Roman" w:hAnsi="Times New Roman" w:cs="Times New Roman"/>
          <w:color w:val="000000" w:themeColor="text1"/>
          <w:sz w:val="24"/>
          <w:szCs w:val="24"/>
        </w:rPr>
        <w:t xml:space="preserve"> The problem was quite simply that, as was the case in </w:t>
      </w:r>
      <w:r w:rsidRPr="009A4C75">
        <w:rPr>
          <w:rFonts w:ascii="Times New Roman" w:hAnsi="Times New Roman" w:cs="Times New Roman"/>
          <w:i/>
          <w:color w:val="000000" w:themeColor="text1"/>
          <w:sz w:val="24"/>
          <w:szCs w:val="24"/>
        </w:rPr>
        <w:t>Circle K</w:t>
      </w:r>
      <w:r>
        <w:rPr>
          <w:rFonts w:ascii="Times New Roman" w:hAnsi="Times New Roman" w:cs="Times New Roman"/>
          <w:color w:val="000000" w:themeColor="text1"/>
          <w:sz w:val="24"/>
          <w:szCs w:val="24"/>
        </w:rPr>
        <w:t xml:space="preserve"> in the preceding paragraph, the injury was suffered “in the course of employment” (see next </w:t>
      </w:r>
      <w:r w:rsidR="003440D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ection of this Treatise), but whether the injury “arose out of” employment (or was “incident to” employment, if one prefers) was unknown. Arizona, as has been explained, formally applied the </w:t>
      </w:r>
      <w:r w:rsidRPr="00C01736">
        <w:rPr>
          <w:rFonts w:ascii="Times New Roman" w:hAnsi="Times New Roman" w:cs="Times New Roman"/>
          <w:i/>
          <w:iCs/>
          <w:color w:val="000000" w:themeColor="text1"/>
          <w:sz w:val="24"/>
          <w:szCs w:val="24"/>
        </w:rPr>
        <w:t>positional risk</w:t>
      </w:r>
      <w:r>
        <w:rPr>
          <w:rFonts w:ascii="Times New Roman" w:hAnsi="Times New Roman" w:cs="Times New Roman"/>
          <w:color w:val="000000" w:themeColor="text1"/>
          <w:sz w:val="24"/>
          <w:szCs w:val="24"/>
        </w:rPr>
        <w:t xml:space="preserve"> rule, creating a rebuttable presumption of compensability. The Court in </w:t>
      </w:r>
      <w:bookmarkStart w:id="426" w:name="_Hlk518421363"/>
      <w:r w:rsidRPr="009A4C75">
        <w:rPr>
          <w:rFonts w:ascii="Times New Roman" w:hAnsi="Times New Roman" w:cs="Times New Roman"/>
          <w:i/>
          <w:color w:val="000000" w:themeColor="text1"/>
          <w:sz w:val="24"/>
          <w:szCs w:val="24"/>
        </w:rPr>
        <w:t>Matter of Williams</w:t>
      </w:r>
      <w:r>
        <w:rPr>
          <w:rFonts w:ascii="Times New Roman" w:hAnsi="Times New Roman" w:cs="Times New Roman"/>
          <w:color w:val="000000" w:themeColor="text1"/>
          <w:sz w:val="24"/>
          <w:szCs w:val="24"/>
        </w:rPr>
        <w:t xml:space="preserve"> </w:t>
      </w:r>
      <w:bookmarkEnd w:id="426"/>
      <w:r>
        <w:rPr>
          <w:rFonts w:ascii="Times New Roman" w:hAnsi="Times New Roman" w:cs="Times New Roman"/>
          <w:color w:val="000000" w:themeColor="text1"/>
          <w:sz w:val="24"/>
          <w:szCs w:val="24"/>
        </w:rPr>
        <w:t>appears to have accomplished the same outcome by a different rationale:</w:t>
      </w:r>
    </w:p>
    <w:p w14:paraId="02E117EB" w14:textId="77777777" w:rsidR="00FF7482" w:rsidRDefault="00FF7482" w:rsidP="000A6A26">
      <w:pPr>
        <w:pStyle w:val="ListParagraph"/>
        <w:ind w:left="0" w:firstLine="720"/>
        <w:jc w:val="both"/>
        <w:rPr>
          <w:rFonts w:ascii="Times New Roman" w:hAnsi="Times New Roman" w:cs="Times New Roman"/>
          <w:color w:val="000000" w:themeColor="text1"/>
          <w:sz w:val="24"/>
          <w:szCs w:val="24"/>
        </w:rPr>
      </w:pPr>
    </w:p>
    <w:p w14:paraId="3359C04A" w14:textId="3A6A5051" w:rsidR="00FF7482" w:rsidRDefault="00FF7482" w:rsidP="00D57F28">
      <w:pPr>
        <w:pStyle w:val="ListParagraph"/>
        <w:ind w:right="720"/>
        <w:jc w:val="both"/>
        <w:rPr>
          <w:rStyle w:val="Hyperlink"/>
          <w:rFonts w:ascii="Times New Roman" w:hAnsi="Times New Roman" w:cs="Times New Roman"/>
          <w:sz w:val="24"/>
          <w:szCs w:val="24"/>
          <w:vertAlign w:val="superscript"/>
        </w:rPr>
      </w:pPr>
      <w:r w:rsidRPr="000B00B2">
        <w:rPr>
          <w:rFonts w:ascii="Times New Roman" w:hAnsi="Times New Roman" w:cs="Times New Roman"/>
          <w:color w:val="000000" w:themeColor="text1"/>
          <w:sz w:val="24"/>
          <w:szCs w:val="24"/>
        </w:rPr>
        <w:t xml:space="preserve">In other words, the premises rule, which we adopted in </w:t>
      </w:r>
      <w:r w:rsidRPr="000B00B2">
        <w:rPr>
          <w:rFonts w:ascii="Times New Roman" w:hAnsi="Times New Roman" w:cs="Times New Roman"/>
          <w:i/>
          <w:color w:val="000000" w:themeColor="text1"/>
          <w:sz w:val="24"/>
          <w:szCs w:val="24"/>
        </w:rPr>
        <w:t>Archuleta</w:t>
      </w:r>
      <w:r w:rsidRPr="000B00B2">
        <w:rPr>
          <w:rFonts w:ascii="Times New Roman" w:hAnsi="Times New Roman" w:cs="Times New Roman"/>
          <w:color w:val="000000" w:themeColor="text1"/>
          <w:sz w:val="24"/>
          <w:szCs w:val="24"/>
        </w:rPr>
        <w:t>, provides that when an employee is injured on the work premises, that fact will not conclusively establish the required causal link, but it will raise a presumption that the injury is work related</w:t>
      </w:r>
      <w:r>
        <w:rPr>
          <w:rFonts w:ascii="Times New Roman" w:hAnsi="Times New Roman" w:cs="Times New Roman"/>
          <w:color w:val="000000" w:themeColor="text1"/>
          <w:sz w:val="24"/>
          <w:szCs w:val="24"/>
        </w:rPr>
        <w:t xml:space="preserve"> . . . </w:t>
      </w:r>
      <w:r w:rsidRPr="000B00B2">
        <w:rPr>
          <w:rFonts w:ascii="Times New Roman" w:hAnsi="Times New Roman" w:cs="Times New Roman"/>
          <w:color w:val="000000" w:themeColor="text1"/>
          <w:sz w:val="24"/>
          <w:szCs w:val="24"/>
        </w:rPr>
        <w:t>Under the rule, once the employee makes a showing that the injury occurred on the work premises, the burden shifts to the Division (or employer) to present evidence that the injury was not work related</w:t>
      </w:r>
      <w:r>
        <w:rPr>
          <w:rFonts w:ascii="Times New Roman" w:hAnsi="Times New Roman" w:cs="Times New Roman"/>
          <w:color w:val="000000" w:themeColor="text1"/>
          <w:sz w:val="24"/>
          <w:szCs w:val="24"/>
        </w:rPr>
        <w:t xml:space="preserve"> . . . </w:t>
      </w:r>
      <w:r w:rsidRPr="000B00B2">
        <w:rPr>
          <w:rFonts w:ascii="Times New Roman" w:hAnsi="Times New Roman" w:cs="Times New Roman"/>
          <w:color w:val="000000" w:themeColor="text1"/>
          <w:sz w:val="24"/>
          <w:szCs w:val="24"/>
        </w:rPr>
        <w:t xml:space="preserve">In this case, no evidence was presented that Mr. Williams suffered his head injury anywhere other than the work site, and the work site is where he was located when emergency personnel responded to his 911 call. Given these undisputed facts, we can only conclude that Mr. Williams presented sufficient evidence to raise the presumption that his head injury </w:t>
      </w:r>
      <w:r w:rsidRPr="001D72A6">
        <w:rPr>
          <w:rFonts w:ascii="Times New Roman" w:hAnsi="Times New Roman" w:cs="Times New Roman"/>
          <w:b/>
          <w:color w:val="000000" w:themeColor="text1"/>
          <w:sz w:val="24"/>
          <w:szCs w:val="24"/>
        </w:rPr>
        <w:t>arose out of</w:t>
      </w:r>
      <w:r w:rsidRPr="000B00B2">
        <w:rPr>
          <w:rFonts w:ascii="Times New Roman" w:hAnsi="Times New Roman" w:cs="Times New Roman"/>
          <w:color w:val="000000" w:themeColor="text1"/>
          <w:sz w:val="24"/>
          <w:szCs w:val="24"/>
        </w:rPr>
        <w:t xml:space="preserve"> his employment. This presumption shifted to the Division the burden to present evidence to overcome the presumption</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11"/>
      </w:r>
    </w:p>
    <w:p w14:paraId="0566A6E9" w14:textId="77777777" w:rsidR="0066362C" w:rsidRDefault="0066362C" w:rsidP="0066362C">
      <w:pPr>
        <w:pStyle w:val="ListParagraph"/>
        <w:spacing w:after="0"/>
        <w:ind w:left="0"/>
        <w:jc w:val="both"/>
        <w:rPr>
          <w:rFonts w:ascii="Times New Roman" w:hAnsi="Times New Roman" w:cs="Times New Roman"/>
          <w:color w:val="000000" w:themeColor="text1"/>
          <w:sz w:val="24"/>
          <w:szCs w:val="24"/>
        </w:rPr>
      </w:pPr>
    </w:p>
    <w:p w14:paraId="0B546E18" w14:textId="43E1DF6D" w:rsidR="00FF7482" w:rsidRDefault="00FF7482" w:rsidP="0066362C">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problem is that </w:t>
      </w:r>
      <w:bookmarkStart w:id="428" w:name="_Hlk518421470"/>
      <w:r w:rsidRPr="00AE6B1E">
        <w:rPr>
          <w:rFonts w:ascii="Times New Roman" w:hAnsi="Times New Roman" w:cs="Times New Roman"/>
          <w:i/>
          <w:color w:val="000000" w:themeColor="text1"/>
          <w:sz w:val="24"/>
          <w:szCs w:val="24"/>
        </w:rPr>
        <w:t>Archuleta</w:t>
      </w:r>
      <w:bookmarkEnd w:id="428"/>
      <w:r>
        <w:rPr>
          <w:rFonts w:ascii="Times New Roman" w:hAnsi="Times New Roman" w:cs="Times New Roman"/>
          <w:color w:val="000000" w:themeColor="text1"/>
          <w:sz w:val="24"/>
          <w:szCs w:val="24"/>
        </w:rPr>
        <w:t xml:space="preserve"> was an “in the course of” not an “arising out of” case. The question in that case was whether the claimant was in the course of employment when he was killed in his truck in the employer’s parking lot but before leaving the “premises.”</w:t>
      </w:r>
      <w:r w:rsidRPr="00112C9C">
        <w:rPr>
          <w:rFonts w:ascii="Times New Roman" w:hAnsi="Times New Roman" w:cs="Times New Roman"/>
          <w:sz w:val="24"/>
          <w:szCs w:val="24"/>
          <w:vertAlign w:val="superscript"/>
        </w:rPr>
        <w:footnoteReference w:id="312"/>
      </w:r>
      <w:r>
        <w:rPr>
          <w:rFonts w:ascii="Times New Roman" w:hAnsi="Times New Roman" w:cs="Times New Roman"/>
          <w:color w:val="000000" w:themeColor="text1"/>
          <w:sz w:val="24"/>
          <w:szCs w:val="24"/>
        </w:rPr>
        <w:t xml:space="preserve"> The employer never contended that the death had not “arisen out of” employment; the sole ground of dispute was whether the claimant was barred by operation of the rule denying compensation to employees traveling to and from work, an in the course of employment question.</w:t>
      </w:r>
      <w:r w:rsidRPr="00112C9C">
        <w:rPr>
          <w:rFonts w:ascii="Times New Roman" w:hAnsi="Times New Roman" w:cs="Times New Roman"/>
          <w:sz w:val="24"/>
          <w:szCs w:val="24"/>
          <w:vertAlign w:val="superscript"/>
        </w:rPr>
        <w:footnoteReference w:id="313"/>
      </w:r>
      <w:r>
        <w:rPr>
          <w:rFonts w:ascii="Times New Roman" w:hAnsi="Times New Roman" w:cs="Times New Roman"/>
          <w:color w:val="000000" w:themeColor="text1"/>
          <w:sz w:val="24"/>
          <w:szCs w:val="24"/>
        </w:rPr>
        <w:t xml:space="preserve"> </w:t>
      </w:r>
      <w:bookmarkStart w:id="431" w:name="_Hlk518421439"/>
      <w:r w:rsidRPr="00F93F1B">
        <w:rPr>
          <w:rFonts w:ascii="Times New Roman" w:hAnsi="Times New Roman" w:cs="Times New Roman"/>
          <w:i/>
          <w:color w:val="000000" w:themeColor="text1"/>
          <w:sz w:val="24"/>
          <w:szCs w:val="24"/>
        </w:rPr>
        <w:t>Matter of Injury to Corean</w:t>
      </w:r>
      <w:r>
        <w:rPr>
          <w:rFonts w:ascii="Times New Roman" w:hAnsi="Times New Roman" w:cs="Times New Roman"/>
          <w:color w:val="000000" w:themeColor="text1"/>
          <w:sz w:val="24"/>
          <w:szCs w:val="24"/>
        </w:rPr>
        <w:t xml:space="preserve"> </w:t>
      </w:r>
      <w:bookmarkEnd w:id="431"/>
      <w:r>
        <w:rPr>
          <w:rFonts w:ascii="Times New Roman" w:hAnsi="Times New Roman" w:cs="Times New Roman"/>
          <w:color w:val="000000" w:themeColor="text1"/>
          <w:sz w:val="24"/>
          <w:szCs w:val="24"/>
        </w:rPr>
        <w:t>made the precise point that the premises rule made no sense outside of the context of a jurisdiction applying separate “arising out of” and “in the course of” analyses, for it has only been applied to “in the course of” causal connection contexts.</w:t>
      </w:r>
      <w:r w:rsidRPr="00112C9C">
        <w:rPr>
          <w:rFonts w:ascii="Times New Roman" w:hAnsi="Times New Roman" w:cs="Times New Roman"/>
          <w:sz w:val="24"/>
          <w:szCs w:val="24"/>
          <w:vertAlign w:val="superscript"/>
        </w:rPr>
        <w:footnoteReference w:id="314"/>
      </w:r>
      <w:r>
        <w:rPr>
          <w:rFonts w:ascii="Times New Roman" w:hAnsi="Times New Roman" w:cs="Times New Roman"/>
          <w:color w:val="000000" w:themeColor="text1"/>
          <w:sz w:val="24"/>
          <w:szCs w:val="24"/>
        </w:rPr>
        <w:t xml:space="preserve">  Indeed, the subject is discussed in the </w:t>
      </w:r>
      <w:r w:rsidRPr="009D4D25">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only in the “in the course of” section.</w:t>
      </w:r>
      <w:r w:rsidRPr="00112C9C">
        <w:rPr>
          <w:rFonts w:ascii="Times New Roman" w:hAnsi="Times New Roman" w:cs="Times New Roman"/>
          <w:sz w:val="24"/>
          <w:szCs w:val="24"/>
          <w:vertAlign w:val="superscript"/>
        </w:rPr>
        <w:footnoteReference w:id="315"/>
      </w:r>
      <w:r>
        <w:rPr>
          <w:rFonts w:ascii="Times New Roman" w:hAnsi="Times New Roman" w:cs="Times New Roman"/>
          <w:color w:val="000000" w:themeColor="text1"/>
          <w:sz w:val="24"/>
          <w:szCs w:val="24"/>
        </w:rPr>
        <w:t xml:space="preserve"> Thus, it is clear that </w:t>
      </w:r>
      <w:r w:rsidRPr="009D4D25">
        <w:rPr>
          <w:rFonts w:ascii="Times New Roman" w:hAnsi="Times New Roman" w:cs="Times New Roman"/>
          <w:i/>
          <w:color w:val="000000" w:themeColor="text1"/>
          <w:sz w:val="24"/>
          <w:szCs w:val="24"/>
        </w:rPr>
        <w:t>Matter of Williams</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has now superseded </w:t>
      </w:r>
      <w:r w:rsidRPr="009D4D25">
        <w:rPr>
          <w:rFonts w:ascii="Times New Roman" w:hAnsi="Times New Roman" w:cs="Times New Roman"/>
          <w:i/>
          <w:color w:val="000000" w:themeColor="text1"/>
          <w:sz w:val="24"/>
          <w:szCs w:val="24"/>
        </w:rPr>
        <w:t>Matter of Injury to Corean</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and greatly expanded </w:t>
      </w:r>
      <w:r w:rsidRPr="009D4D25">
        <w:rPr>
          <w:rFonts w:ascii="Times New Roman" w:hAnsi="Times New Roman" w:cs="Times New Roman"/>
          <w:i/>
          <w:color w:val="000000" w:themeColor="text1"/>
          <w:sz w:val="24"/>
          <w:szCs w:val="24"/>
        </w:rPr>
        <w:t>Archuleta</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16"/>
      </w:r>
      <w:r>
        <w:rPr>
          <w:rFonts w:ascii="Times New Roman" w:hAnsi="Times New Roman" w:cs="Times New Roman"/>
          <w:color w:val="000000" w:themeColor="text1"/>
          <w:sz w:val="24"/>
          <w:szCs w:val="24"/>
        </w:rPr>
        <w:t xml:space="preserve"> The </w:t>
      </w:r>
      <w:r w:rsidRPr="001D72A6">
        <w:rPr>
          <w:rFonts w:ascii="Times New Roman" w:hAnsi="Times New Roman" w:cs="Times New Roman"/>
          <w:i/>
          <w:color w:val="000000" w:themeColor="text1"/>
          <w:sz w:val="24"/>
          <w:szCs w:val="24"/>
        </w:rPr>
        <w:t>Williams</w:t>
      </w:r>
      <w:r>
        <w:rPr>
          <w:rFonts w:ascii="Times New Roman" w:hAnsi="Times New Roman" w:cs="Times New Roman"/>
          <w:color w:val="000000" w:themeColor="text1"/>
          <w:sz w:val="24"/>
          <w:szCs w:val="24"/>
        </w:rPr>
        <w:t xml:space="preserve"> Court left little doubt about its expansion of the “premises rule” beyond its “in the course of’ origins.</w:t>
      </w:r>
      <w:r w:rsidRPr="00112C9C">
        <w:rPr>
          <w:rFonts w:ascii="Times New Roman" w:hAnsi="Times New Roman" w:cs="Times New Roman"/>
          <w:sz w:val="24"/>
          <w:szCs w:val="24"/>
          <w:vertAlign w:val="superscript"/>
        </w:rPr>
        <w:footnoteReference w:id="317"/>
      </w:r>
      <w:r>
        <w:rPr>
          <w:rFonts w:ascii="Times New Roman" w:hAnsi="Times New Roman" w:cs="Times New Roman"/>
          <w:color w:val="000000" w:themeColor="text1"/>
          <w:sz w:val="24"/>
          <w:szCs w:val="24"/>
        </w:rPr>
        <w:t xml:space="preserve"> </w:t>
      </w:r>
    </w:p>
    <w:p w14:paraId="21081503" w14:textId="4E1ACA56" w:rsidR="00FF7482" w:rsidRDefault="00FF7482" w:rsidP="00AE6B1E">
      <w:pPr>
        <w:pStyle w:val="ListParagraph"/>
        <w:ind w:left="0" w:firstLine="720"/>
        <w:jc w:val="both"/>
        <w:rPr>
          <w:rFonts w:ascii="Times New Roman" w:hAnsi="Times New Roman" w:cs="Times New Roman"/>
          <w:color w:val="000000" w:themeColor="text1"/>
          <w:sz w:val="24"/>
          <w:szCs w:val="24"/>
        </w:rPr>
      </w:pPr>
    </w:p>
    <w:p w14:paraId="74D1328F" w14:textId="46AB6ECE" w:rsidR="00FF7482" w:rsidRDefault="00FF7482" w:rsidP="000469AB">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Of course, </w:t>
      </w:r>
      <w:bookmarkStart w:id="438" w:name="_Hlk518818723"/>
      <w:r w:rsidRPr="00D95901">
        <w:rPr>
          <w:rFonts w:ascii="Times New Roman" w:hAnsi="Times New Roman" w:cs="Times New Roman"/>
          <w:i/>
          <w:color w:val="000000" w:themeColor="text1"/>
          <w:sz w:val="24"/>
          <w:szCs w:val="24"/>
        </w:rPr>
        <w:t>Matter of Williams</w:t>
      </w:r>
      <w:r>
        <w:rPr>
          <w:rFonts w:ascii="Times New Roman" w:hAnsi="Times New Roman" w:cs="Times New Roman"/>
          <w:color w:val="000000" w:themeColor="text1"/>
          <w:sz w:val="24"/>
          <w:szCs w:val="24"/>
        </w:rPr>
        <w:t xml:space="preserve"> </w:t>
      </w:r>
      <w:bookmarkEnd w:id="438"/>
      <w:r>
        <w:rPr>
          <w:rFonts w:ascii="Times New Roman" w:hAnsi="Times New Roman" w:cs="Times New Roman"/>
          <w:color w:val="000000" w:themeColor="text1"/>
          <w:sz w:val="24"/>
          <w:szCs w:val="24"/>
        </w:rPr>
        <w:t xml:space="preserve">bears some relation to </w:t>
      </w:r>
      <w:r w:rsidRPr="00181977">
        <w:rPr>
          <w:rFonts w:ascii="Times New Roman" w:hAnsi="Times New Roman" w:cs="Times New Roman"/>
          <w:b/>
          <w:bCs/>
          <w:color w:val="000000" w:themeColor="text1"/>
          <w:sz w:val="24"/>
          <w:szCs w:val="24"/>
        </w:rPr>
        <w:t>“</w:t>
      </w:r>
      <w:r w:rsidRPr="00B325F8">
        <w:rPr>
          <w:rFonts w:ascii="Times New Roman" w:hAnsi="Times New Roman" w:cs="Times New Roman"/>
          <w:b/>
          <w:bCs/>
          <w:color w:val="000000" w:themeColor="text1"/>
          <w:sz w:val="24"/>
          <w:szCs w:val="24"/>
          <w:u w:val="single"/>
        </w:rPr>
        <w:t>unexplained death</w:t>
      </w:r>
      <w:r w:rsidRPr="00181977">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cases. </w:t>
      </w:r>
      <w:r w:rsidRPr="00181977">
        <w:rPr>
          <w:rFonts w:ascii="Times New Roman" w:hAnsi="Times New Roman" w:cs="Times New Roman"/>
          <w:b/>
          <w:bCs/>
          <w:color w:val="000000" w:themeColor="text1"/>
          <w:sz w:val="24"/>
          <w:szCs w:val="24"/>
        </w:rPr>
        <w:t>“</w:t>
      </w:r>
      <w:r w:rsidRPr="00D95901">
        <w:rPr>
          <w:rFonts w:ascii="Times New Roman" w:hAnsi="Times New Roman" w:cs="Times New Roman"/>
          <w:b/>
          <w:color w:val="000000" w:themeColor="text1"/>
          <w:sz w:val="24"/>
          <w:szCs w:val="24"/>
        </w:rPr>
        <w:t>When an employee is found dead under circumstances indicating that death took place within the time and space limits of the employment, in the absence of any evidence of what caused the death, most courts will indulge a presumption or inference that the death arose out of the employment</w:t>
      </w:r>
      <w:r w:rsidRPr="00181977">
        <w:rPr>
          <w:rFonts w:ascii="Times New Roman" w:hAnsi="Times New Roman" w:cs="Times New Roman"/>
          <w:b/>
          <w:bCs/>
          <w:color w:val="000000" w:themeColor="text1"/>
          <w:sz w:val="24"/>
          <w:szCs w:val="24"/>
        </w:rPr>
        <w:t>.”</w:t>
      </w:r>
      <w:r w:rsidRPr="00112C9C">
        <w:rPr>
          <w:rFonts w:ascii="Times New Roman" w:hAnsi="Times New Roman" w:cs="Times New Roman"/>
          <w:sz w:val="24"/>
          <w:szCs w:val="24"/>
          <w:vertAlign w:val="superscript"/>
        </w:rPr>
        <w:footnoteReference w:id="318"/>
      </w:r>
      <w:r>
        <w:rPr>
          <w:rFonts w:ascii="Times New Roman" w:hAnsi="Times New Roman" w:cs="Times New Roman"/>
          <w:color w:val="000000" w:themeColor="text1"/>
          <w:sz w:val="24"/>
          <w:szCs w:val="24"/>
        </w:rPr>
        <w:t xml:space="preserve"> This rule has been adopted by Wyoming courts.</w:t>
      </w:r>
      <w:r w:rsidRPr="00112C9C">
        <w:rPr>
          <w:rFonts w:ascii="Times New Roman" w:hAnsi="Times New Roman" w:cs="Times New Roman"/>
          <w:sz w:val="24"/>
          <w:szCs w:val="24"/>
          <w:vertAlign w:val="superscript"/>
        </w:rPr>
        <w:footnoteReference w:id="319"/>
      </w:r>
      <w:r>
        <w:rPr>
          <w:rFonts w:ascii="Times New Roman" w:hAnsi="Times New Roman" w:cs="Times New Roman"/>
          <w:color w:val="000000" w:themeColor="text1"/>
          <w:sz w:val="24"/>
          <w:szCs w:val="24"/>
        </w:rPr>
        <w:t xml:space="preserve"> </w:t>
      </w:r>
      <w:r w:rsidRPr="00803C57">
        <w:rPr>
          <w:rFonts w:ascii="Times New Roman" w:hAnsi="Times New Roman" w:cs="Times New Roman"/>
          <w:b/>
          <w:color w:val="000000" w:themeColor="text1"/>
          <w:sz w:val="24"/>
          <w:szCs w:val="24"/>
        </w:rPr>
        <w:t>The unexplained-death assumptions are rebuttable but apply as long as there is some evidence the employee continued in his</w:t>
      </w:r>
      <w:r>
        <w:rPr>
          <w:rFonts w:ascii="Times New Roman" w:hAnsi="Times New Roman" w:cs="Times New Roman"/>
          <w:b/>
          <w:color w:val="000000" w:themeColor="text1"/>
          <w:sz w:val="24"/>
          <w:szCs w:val="24"/>
        </w:rPr>
        <w:t xml:space="preserve"> or her</w:t>
      </w:r>
      <w:r w:rsidRPr="00803C57">
        <w:rPr>
          <w:rFonts w:ascii="Times New Roman" w:hAnsi="Times New Roman" w:cs="Times New Roman"/>
          <w:b/>
          <w:color w:val="000000" w:themeColor="text1"/>
          <w:sz w:val="24"/>
          <w:szCs w:val="24"/>
        </w:rPr>
        <w:t xml:space="preserve"> course of employment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20"/>
      </w:r>
      <w:r>
        <w:rPr>
          <w:rFonts w:ascii="Times New Roman" w:hAnsi="Times New Roman" w:cs="Times New Roman"/>
          <w:color w:val="000000" w:themeColor="text1"/>
          <w:sz w:val="24"/>
          <w:szCs w:val="24"/>
        </w:rPr>
        <w:t xml:space="preserve"> Again, however, the rule has not been directly connected to the premises rule, which is an “in the course of” consideration. As the </w:t>
      </w:r>
      <w:r w:rsidRPr="00FD55F8">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freely acknowledges,</w:t>
      </w:r>
    </w:p>
    <w:p w14:paraId="3CBD5616" w14:textId="469C6A20" w:rsidR="00FF7482" w:rsidRDefault="00FF7482" w:rsidP="00AE6B1E">
      <w:pPr>
        <w:pStyle w:val="ListParagraph"/>
        <w:ind w:left="0" w:firstLine="720"/>
        <w:jc w:val="both"/>
        <w:rPr>
          <w:rFonts w:ascii="Times New Roman" w:hAnsi="Times New Roman" w:cs="Times New Roman"/>
          <w:color w:val="000000" w:themeColor="text1"/>
          <w:sz w:val="24"/>
          <w:szCs w:val="24"/>
        </w:rPr>
      </w:pPr>
    </w:p>
    <w:p w14:paraId="79A0292F" w14:textId="375E1C24" w:rsidR="00FF7482" w:rsidRDefault="00FF7482" w:rsidP="00D57F28">
      <w:pPr>
        <w:pStyle w:val="ListParagraph"/>
        <w:ind w:right="720"/>
        <w:jc w:val="both"/>
        <w:rPr>
          <w:rFonts w:ascii="Times New Roman" w:hAnsi="Times New Roman" w:cs="Times New Roman"/>
          <w:color w:val="000000" w:themeColor="text1"/>
          <w:sz w:val="24"/>
          <w:szCs w:val="24"/>
        </w:rPr>
      </w:pPr>
      <w:r w:rsidRPr="00FD55F8">
        <w:rPr>
          <w:rFonts w:ascii="Times New Roman" w:hAnsi="Times New Roman" w:cs="Times New Roman"/>
          <w:color w:val="000000" w:themeColor="text1"/>
          <w:sz w:val="24"/>
          <w:szCs w:val="24"/>
        </w:rPr>
        <w:t xml:space="preserve">The occurrence of the death within the course of employment at least indicates that the employment brought deceased within range of the harm, and the cause of harm, being unknown, is neutral and not personal. The practical justification lies in the realization that, when the death itself has removed the only possible witness who could </w:t>
      </w:r>
      <w:r w:rsidRPr="00FD55F8">
        <w:rPr>
          <w:rFonts w:ascii="Times New Roman" w:hAnsi="Times New Roman" w:cs="Times New Roman"/>
          <w:color w:val="000000" w:themeColor="text1"/>
          <w:sz w:val="24"/>
          <w:szCs w:val="24"/>
        </w:rPr>
        <w:lastRenderedPageBreak/>
        <w:t>prove causal connection, fairness to the dependents suggests some softening of the rule requiring claimant to provide affirmative proof of each requisite element of compensability</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21"/>
      </w:r>
    </w:p>
    <w:p w14:paraId="7ED41C57" w14:textId="77777777" w:rsidR="00FF7482" w:rsidRDefault="00FF7482" w:rsidP="00AE6B1E">
      <w:pPr>
        <w:pStyle w:val="ListParagraph"/>
        <w:ind w:left="0" w:firstLine="720"/>
        <w:jc w:val="both"/>
        <w:rPr>
          <w:rFonts w:ascii="Times New Roman" w:hAnsi="Times New Roman" w:cs="Times New Roman"/>
          <w:color w:val="000000" w:themeColor="text1"/>
          <w:sz w:val="24"/>
          <w:szCs w:val="24"/>
        </w:rPr>
      </w:pPr>
    </w:p>
    <w:p w14:paraId="22EFB00B" w14:textId="023D83DE" w:rsidR="00FF7482" w:rsidRDefault="00FF7482" w:rsidP="00A55FCD">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Perhaps what the Wyoming Supreme Court has been doing in cases like </w:t>
      </w:r>
      <w:r w:rsidRPr="00DD0ED8">
        <w:rPr>
          <w:rFonts w:ascii="Times New Roman" w:hAnsi="Times New Roman" w:cs="Times New Roman"/>
          <w:i/>
          <w:color w:val="000000" w:themeColor="text1"/>
          <w:sz w:val="24"/>
          <w:szCs w:val="24"/>
        </w:rPr>
        <w:t>Matter of Williams</w:t>
      </w:r>
      <w:r>
        <w:rPr>
          <w:rFonts w:ascii="Times New Roman" w:hAnsi="Times New Roman" w:cs="Times New Roman"/>
          <w:color w:val="000000" w:themeColor="text1"/>
          <w:sz w:val="24"/>
          <w:szCs w:val="24"/>
        </w:rPr>
        <w:t xml:space="preserve"> is utilizing what the </w:t>
      </w:r>
      <w:r w:rsidRPr="00DD0ED8">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has referred to as a </w:t>
      </w:r>
      <w:r w:rsidRPr="003F1FA0">
        <w:rPr>
          <w:rFonts w:ascii="Times New Roman" w:hAnsi="Times New Roman" w:cs="Times New Roman"/>
          <w:b/>
          <w:color w:val="000000" w:themeColor="text1"/>
          <w:sz w:val="24"/>
          <w:szCs w:val="24"/>
        </w:rPr>
        <w:t>“Quantum Theory” of Work connection</w:t>
      </w:r>
      <w:r>
        <w:rPr>
          <w:rFonts w:ascii="Times New Roman" w:hAnsi="Times New Roman" w:cs="Times New Roman"/>
          <w:color w:val="000000" w:themeColor="text1"/>
          <w:sz w:val="24"/>
          <w:szCs w:val="24"/>
        </w:rPr>
        <w:t>. In discussing how difficult it has been for jurisdictions to keep “arising out of” and “in the course of” in separate “airtight compartments”—something Wyoming courts have insisted they do not wish to do—the treatise stated,</w:t>
      </w:r>
    </w:p>
    <w:p w14:paraId="0CF892A6" w14:textId="371EAA39" w:rsidR="00FF7482" w:rsidRDefault="00FF7482" w:rsidP="00AE6B1E">
      <w:pPr>
        <w:pStyle w:val="ListParagraph"/>
        <w:ind w:left="0" w:firstLine="720"/>
        <w:jc w:val="both"/>
        <w:rPr>
          <w:rFonts w:ascii="Times New Roman" w:hAnsi="Times New Roman" w:cs="Times New Roman"/>
          <w:color w:val="000000" w:themeColor="text1"/>
          <w:sz w:val="24"/>
          <w:szCs w:val="24"/>
        </w:rPr>
      </w:pPr>
    </w:p>
    <w:p w14:paraId="40859EC8" w14:textId="03F11CC4" w:rsidR="00FF7482" w:rsidRDefault="00FF7482" w:rsidP="00D57F28">
      <w:pPr>
        <w:pStyle w:val="ListParagraph"/>
        <w:spacing w:after="0"/>
        <w:ind w:right="720"/>
        <w:jc w:val="both"/>
        <w:rPr>
          <w:rFonts w:ascii="Times New Roman" w:hAnsi="Times New Roman" w:cs="Times New Roman"/>
          <w:color w:val="000000" w:themeColor="text1"/>
          <w:sz w:val="24"/>
          <w:szCs w:val="24"/>
        </w:rPr>
      </w:pPr>
      <w:r w:rsidRPr="00DD0ED8">
        <w:rPr>
          <w:rFonts w:ascii="Times New Roman" w:hAnsi="Times New Roman" w:cs="Times New Roman"/>
          <w:color w:val="000000" w:themeColor="text1"/>
          <w:sz w:val="24"/>
          <w:szCs w:val="24"/>
        </w:rPr>
        <w:t xml:space="preserve">One is almost tempted to formulate a sort of </w:t>
      </w:r>
      <w:r w:rsidRPr="00E96C94">
        <w:rPr>
          <w:rFonts w:ascii="Times New Roman" w:hAnsi="Times New Roman" w:cs="Times New Roman"/>
          <w:b/>
          <w:color w:val="000000" w:themeColor="text1"/>
          <w:sz w:val="24"/>
          <w:szCs w:val="24"/>
        </w:rPr>
        <w:t>quantum theory of work-connection</w:t>
      </w:r>
      <w:r w:rsidRPr="00DD0ED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D0ED8">
        <w:rPr>
          <w:rFonts w:ascii="Times New Roman" w:hAnsi="Times New Roman" w:cs="Times New Roman"/>
          <w:color w:val="000000" w:themeColor="text1"/>
          <w:sz w:val="24"/>
          <w:szCs w:val="24"/>
        </w:rPr>
        <w:t>that a certain minimum quantum of work-connection must be shown, and if the “course” quantity is very small, but the “arising” quantity is large, the quantum will add up to the necessary minimum, as it will also when the “arising” quantity is very small but the “course” quantity is relatively large.</w:t>
      </w:r>
      <w:r w:rsidRPr="00112C9C">
        <w:rPr>
          <w:rFonts w:ascii="Times New Roman" w:hAnsi="Times New Roman" w:cs="Times New Roman"/>
          <w:sz w:val="24"/>
          <w:szCs w:val="24"/>
          <w:vertAlign w:val="superscript"/>
        </w:rPr>
        <w:footnoteReference w:id="322"/>
      </w:r>
    </w:p>
    <w:p w14:paraId="0595446B" w14:textId="77777777" w:rsidR="00FF7482" w:rsidRDefault="00FF7482" w:rsidP="00E96C94">
      <w:pPr>
        <w:pStyle w:val="ListParagraph"/>
        <w:spacing w:after="0"/>
        <w:ind w:right="720"/>
        <w:jc w:val="both"/>
        <w:rPr>
          <w:rFonts w:ascii="Times New Roman" w:hAnsi="Times New Roman" w:cs="Times New Roman"/>
          <w:color w:val="000000" w:themeColor="text1"/>
          <w:sz w:val="24"/>
          <w:szCs w:val="24"/>
        </w:rPr>
      </w:pPr>
    </w:p>
    <w:p w14:paraId="46942578" w14:textId="13082737" w:rsidR="00FF7482" w:rsidRDefault="00FF7482" w:rsidP="00593869">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theory would seem to nicely fit the facts of </w:t>
      </w:r>
      <w:r w:rsidRPr="003F1FA0">
        <w:rPr>
          <w:rFonts w:ascii="Times New Roman" w:hAnsi="Times New Roman" w:cs="Times New Roman"/>
          <w:i/>
          <w:color w:val="000000" w:themeColor="text1"/>
          <w:sz w:val="24"/>
          <w:szCs w:val="24"/>
        </w:rPr>
        <w:t>Matter of Williams</w:t>
      </w:r>
      <w:r>
        <w:rPr>
          <w:rFonts w:ascii="Times New Roman" w:hAnsi="Times New Roman" w:cs="Times New Roman"/>
          <w:color w:val="000000" w:themeColor="text1"/>
          <w:sz w:val="24"/>
          <w:szCs w:val="24"/>
        </w:rPr>
        <w:t xml:space="preserve">, where the quantity of  “arising out of” evidence was small but the “in the course of” evidence was large, even without resort to the premises rule. </w:t>
      </w:r>
      <w:r w:rsidRPr="00C457FD">
        <w:rPr>
          <w:rFonts w:ascii="Times New Roman" w:hAnsi="Times New Roman" w:cs="Times New Roman"/>
          <w:b/>
          <w:bCs/>
          <w:color w:val="000000" w:themeColor="text1"/>
          <w:sz w:val="24"/>
          <w:szCs w:val="24"/>
        </w:rPr>
        <w:t xml:space="preserve">The “Quantum theory” may ultimately be more coherently explanatory </w:t>
      </w:r>
      <w:r>
        <w:rPr>
          <w:rFonts w:ascii="Times New Roman" w:hAnsi="Times New Roman" w:cs="Times New Roman"/>
          <w:b/>
          <w:bCs/>
          <w:color w:val="000000" w:themeColor="text1"/>
          <w:sz w:val="24"/>
          <w:szCs w:val="24"/>
        </w:rPr>
        <w:t xml:space="preserve">of Wyoming cases in this area </w:t>
      </w:r>
      <w:r w:rsidRPr="00C457FD">
        <w:rPr>
          <w:rFonts w:ascii="Times New Roman" w:hAnsi="Times New Roman" w:cs="Times New Roman"/>
          <w:b/>
          <w:bCs/>
          <w:color w:val="000000" w:themeColor="text1"/>
          <w:sz w:val="24"/>
          <w:szCs w:val="24"/>
        </w:rPr>
        <w:t>than resort to the premises rule</w:t>
      </w:r>
      <w:r w:rsidRPr="00181977">
        <w:rPr>
          <w:rFonts w:ascii="Times New Roman" w:hAnsi="Times New Roman" w:cs="Times New Roman"/>
          <w:color w:val="000000" w:themeColor="text1"/>
          <w:sz w:val="24"/>
          <w:szCs w:val="24"/>
        </w:rPr>
        <w:t>.</w:t>
      </w:r>
    </w:p>
    <w:p w14:paraId="6D5D2452" w14:textId="77777777" w:rsidR="00FF7482" w:rsidRDefault="00FF7482" w:rsidP="00AE6B1E">
      <w:pPr>
        <w:pStyle w:val="ListParagraph"/>
        <w:ind w:left="0" w:firstLine="720"/>
        <w:jc w:val="both"/>
        <w:rPr>
          <w:rFonts w:ascii="Times New Roman" w:hAnsi="Times New Roman" w:cs="Times New Roman"/>
          <w:color w:val="000000" w:themeColor="text1"/>
          <w:sz w:val="24"/>
          <w:szCs w:val="24"/>
        </w:rPr>
      </w:pPr>
    </w:p>
    <w:p w14:paraId="544BB41D" w14:textId="52CEEB88" w:rsidR="00FF7482" w:rsidRDefault="00FF7482" w:rsidP="000073B8">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any event, the Wyoming Supreme Court has made clear that an expanded presumption of causal connection as a </w:t>
      </w:r>
      <w:r w:rsidRPr="007934D0">
        <w:rPr>
          <w:rFonts w:ascii="Times New Roman" w:hAnsi="Times New Roman" w:cs="Times New Roman"/>
          <w:b/>
          <w:color w:val="000000" w:themeColor="text1"/>
          <w:sz w:val="24"/>
          <w:szCs w:val="24"/>
        </w:rPr>
        <w:t>matter of law</w:t>
      </w:r>
      <w:r>
        <w:rPr>
          <w:rFonts w:ascii="Times New Roman" w:hAnsi="Times New Roman" w:cs="Times New Roman"/>
          <w:color w:val="000000" w:themeColor="text1"/>
          <w:sz w:val="24"/>
          <w:szCs w:val="24"/>
        </w:rPr>
        <w:t xml:space="preserve"> does not obviate the requirement of the claimant to provide adequate </w:t>
      </w:r>
      <w:r w:rsidRPr="007934D0">
        <w:rPr>
          <w:rFonts w:ascii="Times New Roman" w:hAnsi="Times New Roman" w:cs="Times New Roman"/>
          <w:b/>
          <w:color w:val="000000" w:themeColor="text1"/>
          <w:sz w:val="24"/>
          <w:szCs w:val="24"/>
        </w:rPr>
        <w:t>factual</w:t>
      </w:r>
      <w:r>
        <w:rPr>
          <w:rFonts w:ascii="Times New Roman" w:hAnsi="Times New Roman" w:cs="Times New Roman"/>
          <w:color w:val="000000" w:themeColor="text1"/>
          <w:sz w:val="24"/>
          <w:szCs w:val="24"/>
        </w:rPr>
        <w:t xml:space="preserve"> medical evidence of causation where it would otherwise be required. Thus, in </w:t>
      </w:r>
      <w:r w:rsidRPr="00F20787">
        <w:rPr>
          <w:rFonts w:ascii="Times New Roman" w:hAnsi="Times New Roman" w:cs="Times New Roman"/>
          <w:i/>
          <w:color w:val="000000" w:themeColor="text1"/>
          <w:sz w:val="24"/>
          <w:szCs w:val="24"/>
        </w:rPr>
        <w:t xml:space="preserve">Leib v. </w:t>
      </w:r>
      <w:r>
        <w:rPr>
          <w:rFonts w:ascii="Times New Roman" w:hAnsi="Times New Roman" w:cs="Times New Roman"/>
          <w:i/>
          <w:color w:val="000000" w:themeColor="text1"/>
          <w:sz w:val="24"/>
          <w:szCs w:val="24"/>
        </w:rPr>
        <w:t>D</w:t>
      </w:r>
      <w:r w:rsidRPr="00F20787">
        <w:rPr>
          <w:rFonts w:ascii="Times New Roman" w:hAnsi="Times New Roman" w:cs="Times New Roman"/>
          <w:i/>
          <w:color w:val="000000" w:themeColor="text1"/>
          <w:sz w:val="24"/>
          <w:szCs w:val="24"/>
        </w:rPr>
        <w:t>epartment of Workforce Services</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23"/>
      </w:r>
      <w:r>
        <w:rPr>
          <w:rFonts w:ascii="Times New Roman" w:hAnsi="Times New Roman" w:cs="Times New Roman"/>
          <w:color w:val="000000" w:themeColor="text1"/>
          <w:sz w:val="24"/>
          <w:szCs w:val="24"/>
        </w:rPr>
        <w:t xml:space="preserve"> the Workers’ Compensation Division denied Ms. Leib’s claim for benefits premised on alleged contraction of a strep bacterial infection from manure-laced dirt. Affirming administrative proceedings below, the Wyoming Supreme Court stated, </w:t>
      </w:r>
      <w:r w:rsidRPr="007934D0">
        <w:rPr>
          <w:rFonts w:ascii="Times New Roman" w:hAnsi="Times New Roman" w:cs="Times New Roman"/>
          <w:b/>
          <w:color w:val="000000" w:themeColor="text1"/>
          <w:sz w:val="24"/>
          <w:szCs w:val="24"/>
        </w:rPr>
        <w:t>“where a medical question is complex, and the fact finding must be done in a realm that appropriately relies upon technical medical knowledge and expertise, medical testimony should not be ignored</w:t>
      </w:r>
      <w:r w:rsidRPr="00181977">
        <w:rPr>
          <w:rFonts w:ascii="Times New Roman" w:hAnsi="Times New Roman" w:cs="Times New Roman"/>
          <w:b/>
          <w:bCs/>
          <w:color w:val="000000" w:themeColor="text1"/>
          <w:sz w:val="24"/>
          <w:szCs w:val="24"/>
        </w:rPr>
        <w:t>.”</w:t>
      </w:r>
      <w:r w:rsidRPr="00112C9C">
        <w:rPr>
          <w:rFonts w:ascii="Times New Roman" w:hAnsi="Times New Roman" w:cs="Times New Roman"/>
          <w:sz w:val="24"/>
          <w:szCs w:val="24"/>
          <w:vertAlign w:val="superscript"/>
        </w:rPr>
        <w:footnoteReference w:id="324"/>
      </w:r>
      <w:r>
        <w:rPr>
          <w:rFonts w:ascii="Times New Roman" w:hAnsi="Times New Roman" w:cs="Times New Roman"/>
          <w:color w:val="000000" w:themeColor="text1"/>
          <w:sz w:val="24"/>
          <w:szCs w:val="24"/>
        </w:rPr>
        <w:t xml:space="preserve">  In light of conflicting medical evidence in the case the Court found that the fact-finder was entitled to find that causation of the claimant’s condition had not been established.</w:t>
      </w:r>
      <w:r w:rsidRPr="00112C9C">
        <w:rPr>
          <w:rFonts w:ascii="Times New Roman" w:hAnsi="Times New Roman" w:cs="Times New Roman"/>
          <w:sz w:val="24"/>
          <w:szCs w:val="24"/>
          <w:vertAlign w:val="superscript"/>
        </w:rPr>
        <w:footnoteReference w:id="325"/>
      </w:r>
      <w:r>
        <w:rPr>
          <w:rFonts w:ascii="Times New Roman" w:hAnsi="Times New Roman" w:cs="Times New Roman"/>
          <w:color w:val="000000" w:themeColor="text1"/>
          <w:sz w:val="24"/>
          <w:szCs w:val="24"/>
        </w:rPr>
        <w:t xml:space="preserve"> It is worth noting that in many states the question of the compensability of infectious diseases often turns either on the relationship </w:t>
      </w:r>
      <w:r>
        <w:rPr>
          <w:rFonts w:ascii="Times New Roman" w:hAnsi="Times New Roman" w:cs="Times New Roman"/>
          <w:color w:val="000000" w:themeColor="text1"/>
          <w:sz w:val="24"/>
          <w:szCs w:val="24"/>
        </w:rPr>
        <w:lastRenderedPageBreak/>
        <w:t xml:space="preserve">between the infectious disease and an occupational disease statute, or on whether an infectious disease can be classified an “accident.” Presumably because these questions are not germane to Wyoming law (which is focused on the definition of “injury”), </w:t>
      </w:r>
      <w:r w:rsidRPr="00920262">
        <w:rPr>
          <w:rFonts w:ascii="Times New Roman" w:hAnsi="Times New Roman" w:cs="Times New Roman"/>
          <w:i/>
          <w:iCs/>
          <w:color w:val="000000" w:themeColor="text1"/>
          <w:sz w:val="24"/>
          <w:szCs w:val="24"/>
        </w:rPr>
        <w:t>Leib</w:t>
      </w:r>
      <w:r>
        <w:rPr>
          <w:rFonts w:ascii="Times New Roman" w:hAnsi="Times New Roman" w:cs="Times New Roman"/>
          <w:color w:val="000000" w:themeColor="text1"/>
          <w:sz w:val="24"/>
          <w:szCs w:val="24"/>
        </w:rPr>
        <w:t xml:space="preserve"> did not engage typical treatise discussions on infectious diseases. </w:t>
      </w:r>
    </w:p>
    <w:p w14:paraId="29406C29" w14:textId="1207E793" w:rsidR="00FF7482" w:rsidRDefault="00FF7482" w:rsidP="00AD1851">
      <w:pPr>
        <w:pStyle w:val="ListParagraph"/>
        <w:spacing w:after="0"/>
        <w:ind w:left="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40C6D7B" w14:textId="7BA5B908" w:rsidR="00FF7482" w:rsidRPr="007D5125" w:rsidRDefault="00FF7482" w:rsidP="00D57F28">
      <w:pPr>
        <w:pStyle w:val="Heading2"/>
        <w:rPr>
          <w:rFonts w:ascii="Times New Roman" w:hAnsi="Times New Roman" w:cs="Times New Roman"/>
          <w:b/>
          <w:color w:val="auto"/>
        </w:rPr>
      </w:pPr>
      <w:bookmarkStart w:id="449" w:name="_Toc75269379"/>
      <w:bookmarkStart w:id="450" w:name="_Hlk520130889"/>
      <w:r w:rsidRPr="007D5125">
        <w:rPr>
          <w:rFonts w:ascii="Times New Roman" w:hAnsi="Times New Roman" w:cs="Times New Roman"/>
          <w:b/>
          <w:color w:val="auto"/>
        </w:rPr>
        <w:t>“In the Course of” Generally</w:t>
      </w:r>
      <w:bookmarkEnd w:id="449"/>
    </w:p>
    <w:bookmarkEnd w:id="450"/>
    <w:p w14:paraId="214D1686" w14:textId="77777777" w:rsidR="00FF7482" w:rsidRDefault="00FF7482" w:rsidP="00792F27">
      <w:pPr>
        <w:pStyle w:val="ListParagraph"/>
        <w:ind w:left="0" w:right="720"/>
        <w:jc w:val="both"/>
        <w:rPr>
          <w:rFonts w:ascii="Times New Roman" w:hAnsi="Times New Roman" w:cs="Times New Roman"/>
          <w:color w:val="000000" w:themeColor="text1"/>
          <w:sz w:val="24"/>
          <w:szCs w:val="24"/>
        </w:rPr>
      </w:pPr>
    </w:p>
    <w:p w14:paraId="174BE4A6" w14:textId="2386590A" w:rsidR="00FF7482" w:rsidRDefault="00FF7482" w:rsidP="006A3748">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noted above</w:t>
      </w:r>
      <w:r w:rsidRPr="00BD2B7F">
        <w:rPr>
          <w:rFonts w:ascii="Times New Roman" w:hAnsi="Times New Roman" w:cs="Times New Roman"/>
          <w:color w:val="000000" w:themeColor="text1"/>
          <w:sz w:val="24"/>
          <w:szCs w:val="24"/>
        </w:rPr>
        <w:t>, the “in the course of employment” portion of the</w:t>
      </w:r>
      <w:r>
        <w:rPr>
          <w:rFonts w:ascii="Times New Roman" w:hAnsi="Times New Roman" w:cs="Times New Roman"/>
          <w:color w:val="000000" w:themeColor="text1"/>
          <w:sz w:val="24"/>
          <w:szCs w:val="24"/>
        </w:rPr>
        <w:t xml:space="preserve"> causal connection </w:t>
      </w:r>
      <w:r w:rsidRPr="00BD2B7F">
        <w:rPr>
          <w:rFonts w:ascii="Times New Roman" w:hAnsi="Times New Roman" w:cs="Times New Roman"/>
          <w:color w:val="000000" w:themeColor="text1"/>
          <w:sz w:val="24"/>
          <w:szCs w:val="24"/>
        </w:rPr>
        <w:t xml:space="preserve"> definition refers to </w:t>
      </w:r>
      <w:r w:rsidRPr="00BD2B7F">
        <w:rPr>
          <w:rFonts w:ascii="Times New Roman" w:hAnsi="Times New Roman" w:cs="Times New Roman"/>
          <w:b/>
          <w:color w:val="000000" w:themeColor="text1"/>
          <w:sz w:val="24"/>
          <w:szCs w:val="24"/>
        </w:rPr>
        <w:t>the time, place, and circumstances of the accident in relation to the employment</w:t>
      </w:r>
      <w:r w:rsidRPr="00181977">
        <w:rPr>
          <w:rFonts w:ascii="Times New Roman" w:hAnsi="Times New Roman" w:cs="Times New Roman"/>
          <w:bCs/>
          <w:color w:val="000000" w:themeColor="text1"/>
          <w:sz w:val="24"/>
          <w:szCs w:val="24"/>
        </w:rPr>
        <w:t>.</w:t>
      </w:r>
      <w:r w:rsidRPr="00112C9C">
        <w:rPr>
          <w:rFonts w:ascii="Times New Roman" w:hAnsi="Times New Roman" w:cs="Times New Roman"/>
          <w:sz w:val="24"/>
          <w:szCs w:val="24"/>
          <w:vertAlign w:val="superscript"/>
        </w:rPr>
        <w:footnoteReference w:id="326"/>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The </w:t>
      </w:r>
      <w:r w:rsidRPr="00F966F9">
        <w:rPr>
          <w:rFonts w:ascii="Times New Roman" w:hAnsi="Times New Roman" w:cs="Times New Roman"/>
          <w:i/>
          <w:color w:val="000000" w:themeColor="text1"/>
          <w:sz w:val="24"/>
          <w:szCs w:val="24"/>
        </w:rPr>
        <w:t>Larson</w:t>
      </w:r>
      <w:r>
        <w:rPr>
          <w:rFonts w:ascii="Times New Roman" w:hAnsi="Times New Roman" w:cs="Times New Roman"/>
          <w:color w:val="000000" w:themeColor="text1"/>
          <w:sz w:val="24"/>
          <w:szCs w:val="24"/>
        </w:rPr>
        <w:t xml:space="preserve">’s treatise divides “in the course” problems into those having to do with whether an injury occurred </w:t>
      </w:r>
      <w:r w:rsidRPr="00F966F9">
        <w:rPr>
          <w:rFonts w:ascii="Times New Roman" w:hAnsi="Times New Roman" w:cs="Times New Roman"/>
          <w:color w:val="000000" w:themeColor="text1"/>
          <w:sz w:val="24"/>
          <w:szCs w:val="24"/>
        </w:rPr>
        <w:t xml:space="preserve">within the </w:t>
      </w:r>
      <w:r w:rsidRPr="001D72A6">
        <w:rPr>
          <w:rFonts w:ascii="Times New Roman" w:hAnsi="Times New Roman" w:cs="Times New Roman"/>
          <w:b/>
          <w:color w:val="000000" w:themeColor="text1"/>
          <w:sz w:val="24"/>
          <w:szCs w:val="24"/>
        </w:rPr>
        <w:t>“</w:t>
      </w:r>
      <w:r w:rsidRPr="001A6BCF">
        <w:rPr>
          <w:rFonts w:ascii="Times New Roman" w:hAnsi="Times New Roman" w:cs="Times New Roman"/>
          <w:b/>
          <w:color w:val="000000" w:themeColor="text1"/>
          <w:sz w:val="24"/>
          <w:szCs w:val="24"/>
          <w:u w:val="single"/>
        </w:rPr>
        <w:t>time and space boundaries of</w:t>
      </w:r>
      <w:r w:rsidRPr="001D72A6">
        <w:rPr>
          <w:rFonts w:ascii="Times New Roman" w:hAnsi="Times New Roman" w:cs="Times New Roman"/>
          <w:b/>
          <w:color w:val="000000" w:themeColor="text1"/>
          <w:sz w:val="24"/>
          <w:szCs w:val="24"/>
        </w:rPr>
        <w:t>”</w:t>
      </w:r>
      <w:r w:rsidRPr="00F966F9">
        <w:rPr>
          <w:rFonts w:ascii="Times New Roman" w:hAnsi="Times New Roman" w:cs="Times New Roman"/>
          <w:color w:val="000000" w:themeColor="text1"/>
          <w:sz w:val="24"/>
          <w:szCs w:val="24"/>
        </w:rPr>
        <w:t xml:space="preserve"> employment</w:t>
      </w:r>
      <w:r>
        <w:rPr>
          <w:rFonts w:ascii="Times New Roman" w:hAnsi="Times New Roman" w:cs="Times New Roman"/>
          <w:color w:val="000000" w:themeColor="text1"/>
          <w:sz w:val="24"/>
          <w:szCs w:val="24"/>
        </w:rPr>
        <w:t xml:space="preserve"> and those that involve </w:t>
      </w:r>
      <w:r w:rsidRPr="007934D0">
        <w:rPr>
          <w:rFonts w:ascii="Times New Roman" w:hAnsi="Times New Roman" w:cs="Times New Roman"/>
          <w:b/>
          <w:color w:val="000000" w:themeColor="text1"/>
          <w:sz w:val="24"/>
          <w:szCs w:val="24"/>
        </w:rPr>
        <w:t xml:space="preserve">whether an injury occurred </w:t>
      </w:r>
      <w:r w:rsidRPr="00195968">
        <w:rPr>
          <w:rFonts w:ascii="Times New Roman" w:hAnsi="Times New Roman" w:cs="Times New Roman"/>
          <w:b/>
          <w:color w:val="000000" w:themeColor="text1"/>
          <w:sz w:val="24"/>
          <w:szCs w:val="24"/>
          <w:u w:val="single"/>
        </w:rPr>
        <w:t>during an activity</w:t>
      </w:r>
      <w:r w:rsidRPr="007934D0">
        <w:rPr>
          <w:rFonts w:ascii="Times New Roman" w:hAnsi="Times New Roman" w:cs="Times New Roman"/>
          <w:b/>
          <w:color w:val="000000" w:themeColor="text1"/>
          <w:sz w:val="24"/>
          <w:szCs w:val="24"/>
        </w:rPr>
        <w:t xml:space="preserve"> whose purpose is related to</w:t>
      </w:r>
      <w:r w:rsidRPr="0008793C">
        <w:rPr>
          <w:rFonts w:ascii="Times New Roman" w:hAnsi="Times New Roman" w:cs="Times New Roman"/>
          <w:color w:val="000000" w:themeColor="text1"/>
          <w:sz w:val="24"/>
          <w:szCs w:val="24"/>
        </w:rPr>
        <w:t xml:space="preserve"> the employment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27"/>
      </w:r>
      <w:r>
        <w:rPr>
          <w:rFonts w:ascii="Times New Roman" w:hAnsi="Times New Roman" w:cs="Times New Roman"/>
          <w:color w:val="000000" w:themeColor="text1"/>
          <w:sz w:val="24"/>
          <w:szCs w:val="24"/>
        </w:rPr>
        <w:t xml:space="preserve">  The first set of problems is heavily focused on situations in which employees are arguably not where they are supposed to be, most frequently because they are travelling.</w:t>
      </w:r>
      <w:r w:rsidRPr="00112C9C">
        <w:rPr>
          <w:rFonts w:ascii="Times New Roman" w:hAnsi="Times New Roman" w:cs="Times New Roman"/>
          <w:sz w:val="24"/>
          <w:szCs w:val="24"/>
          <w:vertAlign w:val="superscript"/>
        </w:rPr>
        <w:footnoteReference w:id="328"/>
      </w:r>
      <w:r>
        <w:rPr>
          <w:rFonts w:ascii="Times New Roman" w:hAnsi="Times New Roman" w:cs="Times New Roman"/>
          <w:color w:val="000000" w:themeColor="text1"/>
          <w:sz w:val="24"/>
          <w:szCs w:val="24"/>
        </w:rPr>
        <w:t xml:space="preserve"> The second set of problems is heavily focused on </w:t>
      </w:r>
      <w:r w:rsidRPr="001D72A6">
        <w:rPr>
          <w:rFonts w:ascii="Times New Roman" w:hAnsi="Times New Roman" w:cs="Times New Roman"/>
          <w:b/>
          <w:color w:val="000000" w:themeColor="text1"/>
          <w:sz w:val="24"/>
          <w:szCs w:val="24"/>
        </w:rPr>
        <w:t>what an employee was doing</w:t>
      </w:r>
      <w:r>
        <w:rPr>
          <w:rFonts w:ascii="Times New Roman" w:hAnsi="Times New Roman" w:cs="Times New Roman"/>
          <w:color w:val="000000" w:themeColor="text1"/>
          <w:sz w:val="24"/>
          <w:szCs w:val="24"/>
        </w:rPr>
        <w:t xml:space="preserve"> at the time of injury and whether that activity was conferring a benefit on, or was in the interest of, the employer.</w:t>
      </w:r>
      <w:r w:rsidRPr="00112C9C">
        <w:rPr>
          <w:rFonts w:ascii="Times New Roman" w:hAnsi="Times New Roman" w:cs="Times New Roman"/>
          <w:sz w:val="24"/>
          <w:szCs w:val="24"/>
          <w:vertAlign w:val="superscript"/>
        </w:rPr>
        <w:footnoteReference w:id="329"/>
      </w:r>
      <w:r>
        <w:rPr>
          <w:rFonts w:ascii="Times New Roman" w:hAnsi="Times New Roman" w:cs="Times New Roman"/>
          <w:color w:val="000000" w:themeColor="text1"/>
          <w:sz w:val="24"/>
          <w:szCs w:val="24"/>
        </w:rPr>
        <w:t xml:space="preserve"> </w:t>
      </w:r>
    </w:p>
    <w:p w14:paraId="414A7D37" w14:textId="61B28B3C" w:rsidR="00FF7482" w:rsidRDefault="00FF7482" w:rsidP="00C83A4D">
      <w:pPr>
        <w:pStyle w:val="ListParagraph"/>
        <w:ind w:left="0" w:firstLine="720"/>
        <w:jc w:val="both"/>
        <w:rPr>
          <w:rFonts w:ascii="Times New Roman" w:hAnsi="Times New Roman" w:cs="Times New Roman"/>
          <w:color w:val="000000" w:themeColor="text1"/>
          <w:sz w:val="24"/>
          <w:szCs w:val="24"/>
        </w:rPr>
      </w:pPr>
    </w:p>
    <w:p w14:paraId="199457FD" w14:textId="5785C927" w:rsidR="00FF7482" w:rsidRPr="00167123" w:rsidRDefault="00FF7482" w:rsidP="00D57F28">
      <w:pPr>
        <w:pStyle w:val="ListParagraph"/>
        <w:ind w:right="720"/>
        <w:jc w:val="both"/>
        <w:rPr>
          <w:rFonts w:ascii="Times New Roman" w:hAnsi="Times New Roman" w:cs="Times New Roman"/>
          <w:color w:val="000000" w:themeColor="text1"/>
          <w:sz w:val="24"/>
          <w:szCs w:val="24"/>
        </w:rPr>
      </w:pPr>
      <w:r w:rsidRPr="00BF53A3">
        <w:rPr>
          <w:rFonts w:ascii="Times New Roman" w:hAnsi="Times New Roman" w:cs="Times New Roman"/>
          <w:color w:val="000000" w:themeColor="text1"/>
          <w:sz w:val="24"/>
          <w:szCs w:val="24"/>
        </w:rPr>
        <w:t>A definition widely adopted is that an injury to an employee is in the course of the employee's employment when it occurs within the period of the employment, at a place where the employee may reasonably be, and while the employee is reasonably fulfilling the duties of the employment or engaged in doing something incidental to it.</w:t>
      </w:r>
      <w:r w:rsidRPr="00112C9C">
        <w:rPr>
          <w:rFonts w:ascii="Times New Roman" w:hAnsi="Times New Roman" w:cs="Times New Roman"/>
          <w:sz w:val="24"/>
          <w:szCs w:val="24"/>
          <w:vertAlign w:val="superscript"/>
        </w:rPr>
        <w:footnoteReference w:id="330"/>
      </w:r>
    </w:p>
    <w:p w14:paraId="228CF64C" w14:textId="22A1C667" w:rsidR="00FF7482" w:rsidRDefault="00FF7482" w:rsidP="00511932">
      <w:pPr>
        <w:pStyle w:val="ListParagraph"/>
        <w:spacing w:line="252" w:lineRule="auto"/>
        <w:ind w:left="1224"/>
        <w:rPr>
          <w:rFonts w:ascii="Times New Roman" w:hAnsi="Times New Roman" w:cs="Times New Roman"/>
          <w:color w:val="000000" w:themeColor="text1"/>
          <w:sz w:val="24"/>
          <w:szCs w:val="24"/>
        </w:rPr>
      </w:pPr>
    </w:p>
    <w:p w14:paraId="4CDBC695" w14:textId="521A4C6C" w:rsidR="00FF7482" w:rsidRDefault="00FF7482" w:rsidP="00E52D13">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Treatise will not attempt to catalogue the multitude of problems that have emerged under the broad “in the course of” heading. In the category of “time and space boundaries,” for example, just the number of </w:t>
      </w:r>
      <w:r w:rsidRPr="003937A6">
        <w:rPr>
          <w:rFonts w:ascii="Times New Roman" w:hAnsi="Times New Roman" w:cs="Times New Roman"/>
          <w:b/>
          <w:bCs/>
          <w:i/>
          <w:color w:val="000000" w:themeColor="text1"/>
          <w:sz w:val="24"/>
          <w:szCs w:val="24"/>
        </w:rPr>
        <w:t>parking lot</w:t>
      </w:r>
      <w:r>
        <w:rPr>
          <w:rFonts w:ascii="Times New Roman" w:hAnsi="Times New Roman" w:cs="Times New Roman"/>
          <w:color w:val="000000" w:themeColor="text1"/>
          <w:sz w:val="24"/>
          <w:szCs w:val="24"/>
        </w:rPr>
        <w:t xml:space="preserve"> cases over the years are sufficiently impressive to communicate the breadth of such a discussion.</w:t>
      </w:r>
      <w:r w:rsidRPr="00112C9C">
        <w:rPr>
          <w:rFonts w:ascii="Times New Roman" w:hAnsi="Times New Roman" w:cs="Times New Roman"/>
          <w:sz w:val="24"/>
          <w:szCs w:val="24"/>
          <w:vertAlign w:val="superscript"/>
        </w:rPr>
        <w:footnoteReference w:id="331"/>
      </w:r>
      <w:r>
        <w:rPr>
          <w:rFonts w:ascii="Times New Roman" w:hAnsi="Times New Roman" w:cs="Times New Roman"/>
          <w:color w:val="000000" w:themeColor="text1"/>
          <w:sz w:val="24"/>
          <w:szCs w:val="24"/>
        </w:rPr>
        <w:t xml:space="preserve"> In the “purpose related to employment” category, employees may be injured at the workplace while smoking, eating, going to the bathroom, engaging in horseplay, fighting, playing in a company-sponsored softball game, and many other activities besides.</w:t>
      </w:r>
    </w:p>
    <w:p w14:paraId="061B6B79" w14:textId="77777777" w:rsidR="00FF7482" w:rsidRDefault="00FF7482" w:rsidP="00B26A4D">
      <w:pPr>
        <w:pStyle w:val="ListParagraph"/>
        <w:ind w:left="0" w:firstLine="720"/>
        <w:jc w:val="both"/>
        <w:rPr>
          <w:rFonts w:ascii="Times New Roman" w:hAnsi="Times New Roman" w:cs="Times New Roman"/>
          <w:color w:val="000000" w:themeColor="text1"/>
          <w:sz w:val="24"/>
          <w:szCs w:val="24"/>
        </w:rPr>
      </w:pPr>
    </w:p>
    <w:p w14:paraId="6EDC0A2C" w14:textId="3BFC59B7" w:rsidR="00FF7482" w:rsidRDefault="00FF7482" w:rsidP="00880196">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Three concepts that are especially important for understanding Wyoming law in this area are the </w:t>
      </w:r>
      <w:r w:rsidRPr="00AE70C1">
        <w:rPr>
          <w:rFonts w:ascii="Times New Roman" w:hAnsi="Times New Roman" w:cs="Times New Roman"/>
          <w:b/>
          <w:color w:val="000000" w:themeColor="text1"/>
          <w:sz w:val="24"/>
          <w:szCs w:val="24"/>
          <w:u w:val="single"/>
        </w:rPr>
        <w:t>premises rule</w:t>
      </w:r>
      <w:r>
        <w:rPr>
          <w:rFonts w:ascii="Times New Roman" w:hAnsi="Times New Roman" w:cs="Times New Roman"/>
          <w:color w:val="000000" w:themeColor="text1"/>
          <w:sz w:val="24"/>
          <w:szCs w:val="24"/>
        </w:rPr>
        <w:t xml:space="preserve"> (already discussed in the “arising out of section” above), the </w:t>
      </w:r>
      <w:r w:rsidRPr="00AE70C1">
        <w:rPr>
          <w:rFonts w:ascii="Times New Roman" w:hAnsi="Times New Roman" w:cs="Times New Roman"/>
          <w:b/>
          <w:color w:val="000000" w:themeColor="text1"/>
          <w:sz w:val="24"/>
          <w:szCs w:val="24"/>
          <w:u w:val="single"/>
        </w:rPr>
        <w:t>going and coming rule</w:t>
      </w:r>
      <w:r>
        <w:rPr>
          <w:rFonts w:ascii="Times New Roman" w:hAnsi="Times New Roman" w:cs="Times New Roman"/>
          <w:color w:val="000000" w:themeColor="text1"/>
          <w:sz w:val="24"/>
          <w:szCs w:val="24"/>
        </w:rPr>
        <w:t xml:space="preserve">, and the </w:t>
      </w:r>
      <w:r w:rsidRPr="00AE70C1">
        <w:rPr>
          <w:rFonts w:ascii="Times New Roman" w:hAnsi="Times New Roman" w:cs="Times New Roman"/>
          <w:b/>
          <w:color w:val="000000" w:themeColor="text1"/>
          <w:sz w:val="24"/>
          <w:szCs w:val="24"/>
          <w:u w:val="single"/>
        </w:rPr>
        <w:t>personal comfort doctrine</w:t>
      </w:r>
      <w:r>
        <w:rPr>
          <w:rFonts w:ascii="Times New Roman" w:hAnsi="Times New Roman" w:cs="Times New Roman"/>
          <w:color w:val="000000" w:themeColor="text1"/>
          <w:sz w:val="24"/>
          <w:szCs w:val="24"/>
        </w:rPr>
        <w:t xml:space="preserve">. These concepts have assisted jurisdictions in drawing lines to help simplify analyses of causal connection and work-relatedness. This Treatise will first discuss the concepts in </w:t>
      </w:r>
      <w:r w:rsidRPr="00D116FC">
        <w:rPr>
          <w:rFonts w:ascii="Times New Roman" w:hAnsi="Times New Roman" w:cs="Times New Roman"/>
          <w:b/>
          <w:bCs/>
          <w:color w:val="000000" w:themeColor="text1"/>
          <w:sz w:val="24"/>
          <w:szCs w:val="24"/>
        </w:rPr>
        <w:t>general doctrinal terms</w:t>
      </w:r>
      <w:r>
        <w:rPr>
          <w:rFonts w:ascii="Times New Roman" w:hAnsi="Times New Roman" w:cs="Times New Roman"/>
          <w:color w:val="000000" w:themeColor="text1"/>
          <w:sz w:val="24"/>
          <w:szCs w:val="24"/>
        </w:rPr>
        <w:t xml:space="preserve">, and then move on to discuss how the general legal doctrine has specifically impacted </w:t>
      </w:r>
      <w:r w:rsidRPr="00D116FC">
        <w:rPr>
          <w:rFonts w:ascii="Times New Roman" w:hAnsi="Times New Roman" w:cs="Times New Roman"/>
          <w:b/>
          <w:bCs/>
          <w:color w:val="000000" w:themeColor="text1"/>
          <w:sz w:val="24"/>
          <w:szCs w:val="24"/>
        </w:rPr>
        <w:t>Wyoming law</w:t>
      </w:r>
      <w:r>
        <w:rPr>
          <w:rFonts w:ascii="Times New Roman" w:hAnsi="Times New Roman" w:cs="Times New Roman"/>
          <w:color w:val="000000" w:themeColor="text1"/>
          <w:sz w:val="24"/>
          <w:szCs w:val="24"/>
        </w:rPr>
        <w:t xml:space="preserve">. </w:t>
      </w:r>
    </w:p>
    <w:p w14:paraId="3FF487DB" w14:textId="77777777" w:rsidR="00FF7482" w:rsidRDefault="00FF7482" w:rsidP="00B26A4D">
      <w:pPr>
        <w:pStyle w:val="ListParagraph"/>
        <w:ind w:left="0" w:firstLine="720"/>
        <w:jc w:val="both"/>
        <w:rPr>
          <w:rFonts w:ascii="Times New Roman" w:hAnsi="Times New Roman" w:cs="Times New Roman"/>
          <w:color w:val="000000" w:themeColor="text1"/>
          <w:sz w:val="24"/>
          <w:szCs w:val="24"/>
        </w:rPr>
      </w:pPr>
    </w:p>
    <w:p w14:paraId="77B08C4D" w14:textId="15363A44" w:rsidR="00FF7482" w:rsidRDefault="00FF7482" w:rsidP="00D57F28">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AE70C1">
        <w:rPr>
          <w:rFonts w:ascii="Times New Roman" w:hAnsi="Times New Roman" w:cs="Times New Roman"/>
          <w:b/>
          <w:color w:val="000000" w:themeColor="text1"/>
          <w:sz w:val="24"/>
          <w:szCs w:val="24"/>
        </w:rPr>
        <w:t>premises rule</w:t>
      </w:r>
      <w:r>
        <w:rPr>
          <w:rFonts w:ascii="Times New Roman" w:hAnsi="Times New Roman" w:cs="Times New Roman"/>
          <w:color w:val="000000" w:themeColor="text1"/>
          <w:sz w:val="24"/>
          <w:szCs w:val="24"/>
        </w:rPr>
        <w:t xml:space="preserve"> and the </w:t>
      </w:r>
      <w:r w:rsidRPr="00AE70C1">
        <w:rPr>
          <w:rFonts w:ascii="Times New Roman" w:hAnsi="Times New Roman" w:cs="Times New Roman"/>
          <w:b/>
          <w:color w:val="000000" w:themeColor="text1"/>
          <w:sz w:val="24"/>
          <w:szCs w:val="24"/>
        </w:rPr>
        <w:t>going and coming rule</w:t>
      </w:r>
      <w:r>
        <w:rPr>
          <w:rFonts w:ascii="Times New Roman" w:hAnsi="Times New Roman" w:cs="Times New Roman"/>
          <w:color w:val="000000" w:themeColor="text1"/>
          <w:sz w:val="24"/>
          <w:szCs w:val="24"/>
        </w:rPr>
        <w:t xml:space="preserve"> are closely interrelated. From the inception of workers’ compensation, it has been accepted that </w:t>
      </w:r>
      <w:r w:rsidRPr="00BA7085">
        <w:rPr>
          <w:rFonts w:ascii="Times New Roman" w:hAnsi="Times New Roman" w:cs="Times New Roman"/>
          <w:b/>
          <w:color w:val="000000" w:themeColor="text1"/>
          <w:sz w:val="24"/>
          <w:szCs w:val="24"/>
          <w:u w:val="single"/>
        </w:rPr>
        <w:t>injuries suffered by employees going to or coming from work are not compensable</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32"/>
      </w:r>
      <w:r>
        <w:rPr>
          <w:rFonts w:ascii="Times New Roman" w:hAnsi="Times New Roman" w:cs="Times New Roman"/>
          <w:color w:val="000000" w:themeColor="text1"/>
          <w:sz w:val="24"/>
          <w:szCs w:val="24"/>
        </w:rPr>
        <w:t xml:space="preserve"> There are different ways of conceptualizing why this is the case, but, essentially, travel to and from work carries risks that are not related to the workplace and are shared equally by members of the general public. Inevitably, however, situations unfold that present equitably challenging facts. An employee may be injured mere feet from the workplace, and it can seem quite arbitrary to conclude that had an employee been injured just moments later the injury would have been covered. To deal consistently with some of these close questions, a majority of jurisdictions have enacted the premises rule: </w:t>
      </w:r>
      <w:r w:rsidRPr="00BA7085">
        <w:rPr>
          <w:rFonts w:ascii="Times New Roman" w:hAnsi="Times New Roman" w:cs="Times New Roman"/>
          <w:b/>
          <w:color w:val="000000" w:themeColor="text1"/>
          <w:sz w:val="24"/>
          <w:szCs w:val="24"/>
          <w:u w:val="single"/>
        </w:rPr>
        <w:t>for an employee having fixed hours and place of work, going to and from work is covered only on the employer’s premises</w:t>
      </w:r>
      <w:r w:rsidRPr="00181977">
        <w:rPr>
          <w:rFonts w:ascii="Times New Roman" w:hAnsi="Times New Roman" w:cs="Times New Roman"/>
          <w:bCs/>
          <w:color w:val="000000" w:themeColor="text1"/>
          <w:sz w:val="24"/>
          <w:szCs w:val="24"/>
        </w:rPr>
        <w:t>.</w:t>
      </w:r>
      <w:r w:rsidRPr="00112C9C">
        <w:rPr>
          <w:rFonts w:ascii="Times New Roman" w:hAnsi="Times New Roman" w:cs="Times New Roman"/>
          <w:sz w:val="24"/>
          <w:szCs w:val="24"/>
          <w:vertAlign w:val="superscript"/>
        </w:rPr>
        <w:footnoteReference w:id="333"/>
      </w:r>
      <w:r>
        <w:rPr>
          <w:rFonts w:ascii="Times New Roman" w:hAnsi="Times New Roman" w:cs="Times New Roman"/>
          <w:color w:val="000000" w:themeColor="text1"/>
          <w:sz w:val="24"/>
          <w:szCs w:val="24"/>
        </w:rPr>
        <w:t xml:space="preserve"> The </w:t>
      </w:r>
      <w:r w:rsidRPr="0034757C">
        <w:rPr>
          <w:rFonts w:ascii="Times New Roman" w:hAnsi="Times New Roman" w:cs="Times New Roman"/>
          <w:i/>
          <w:color w:val="000000" w:themeColor="text1"/>
          <w:sz w:val="24"/>
          <w:szCs w:val="24"/>
        </w:rPr>
        <w:t>Larson’s</w:t>
      </w:r>
      <w:r>
        <w:rPr>
          <w:rFonts w:ascii="Times New Roman" w:hAnsi="Times New Roman" w:cs="Times New Roman"/>
          <w:color w:val="000000" w:themeColor="text1"/>
          <w:sz w:val="24"/>
          <w:szCs w:val="24"/>
        </w:rPr>
        <w:t xml:space="preserve"> treatise argues insistently that the premises rule should be accepted because it has stood the test of time and it has the virtue of being consistent.</w:t>
      </w:r>
      <w:r w:rsidRPr="00112C9C">
        <w:rPr>
          <w:rFonts w:ascii="Times New Roman" w:hAnsi="Times New Roman" w:cs="Times New Roman"/>
          <w:sz w:val="24"/>
          <w:szCs w:val="24"/>
          <w:vertAlign w:val="superscript"/>
        </w:rPr>
        <w:footnoteReference w:id="334"/>
      </w:r>
      <w:r>
        <w:rPr>
          <w:rFonts w:ascii="Times New Roman" w:hAnsi="Times New Roman" w:cs="Times New Roman"/>
          <w:color w:val="000000" w:themeColor="text1"/>
          <w:sz w:val="24"/>
          <w:szCs w:val="24"/>
        </w:rPr>
        <w:t xml:space="preserve">  </w:t>
      </w:r>
    </w:p>
    <w:p w14:paraId="1D9B8A1B" w14:textId="77777777" w:rsidR="00FF7482" w:rsidRDefault="00FF7482" w:rsidP="00B26A4D">
      <w:pPr>
        <w:pStyle w:val="ListParagraph"/>
        <w:ind w:left="0" w:firstLine="720"/>
        <w:jc w:val="both"/>
        <w:rPr>
          <w:rFonts w:ascii="Times New Roman" w:hAnsi="Times New Roman" w:cs="Times New Roman"/>
          <w:color w:val="000000" w:themeColor="text1"/>
          <w:sz w:val="24"/>
          <w:szCs w:val="24"/>
        </w:rPr>
      </w:pPr>
    </w:p>
    <w:p w14:paraId="33451DC8" w14:textId="4599D2AA" w:rsidR="00FF7482" w:rsidRDefault="00FF7482" w:rsidP="00D57F28">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well-known exception to the premises rule is when </w:t>
      </w:r>
      <w:r w:rsidRPr="00BA708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w:t>
      </w:r>
      <w:r w:rsidRPr="00BA7085">
        <w:rPr>
          <w:rFonts w:ascii="Times New Roman" w:hAnsi="Times New Roman" w:cs="Times New Roman"/>
          <w:color w:val="000000" w:themeColor="text1"/>
          <w:sz w:val="24"/>
          <w:szCs w:val="24"/>
        </w:rPr>
        <w:t xml:space="preserve">off-premises point at which the injury occurred lies on the only route, or at least on the normal route, which employees must traverse to reach the plant, and that therefore the </w:t>
      </w:r>
      <w:r w:rsidRPr="00BA7085">
        <w:rPr>
          <w:rFonts w:ascii="Times New Roman" w:hAnsi="Times New Roman" w:cs="Times New Roman"/>
          <w:b/>
          <w:color w:val="000000" w:themeColor="text1"/>
          <w:sz w:val="24"/>
          <w:szCs w:val="24"/>
          <w:u w:val="single"/>
        </w:rPr>
        <w:t>special hazards</w:t>
      </w:r>
      <w:r w:rsidRPr="00BA7085">
        <w:rPr>
          <w:rFonts w:ascii="Times New Roman" w:hAnsi="Times New Roman" w:cs="Times New Roman"/>
          <w:b/>
          <w:color w:val="000000" w:themeColor="text1"/>
          <w:sz w:val="24"/>
          <w:szCs w:val="24"/>
        </w:rPr>
        <w:t xml:space="preserve"> of that route become the hazards of the employment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35"/>
      </w:r>
      <w:r>
        <w:rPr>
          <w:rFonts w:ascii="Times New Roman" w:hAnsi="Times New Roman" w:cs="Times New Roman"/>
          <w:color w:val="000000" w:themeColor="text1"/>
          <w:sz w:val="24"/>
          <w:szCs w:val="24"/>
        </w:rPr>
        <w:t xml:space="preserve"> An equally well-known exception to the going and coming rule is that </w:t>
      </w:r>
      <w:r w:rsidRPr="00170C61">
        <w:rPr>
          <w:rFonts w:ascii="Times New Roman" w:hAnsi="Times New Roman" w:cs="Times New Roman"/>
          <w:color w:val="000000" w:themeColor="text1"/>
          <w:sz w:val="24"/>
          <w:szCs w:val="24"/>
        </w:rPr>
        <w:t xml:space="preserve">when “an employee, having identifiable time and space limits on the employment, makes an </w:t>
      </w:r>
      <w:r w:rsidRPr="00170C61">
        <w:rPr>
          <w:rFonts w:ascii="Times New Roman" w:hAnsi="Times New Roman" w:cs="Times New Roman"/>
          <w:b/>
          <w:color w:val="000000" w:themeColor="text1"/>
          <w:sz w:val="24"/>
          <w:szCs w:val="24"/>
        </w:rPr>
        <w:t>off-premises journey which would normally not be covered</w:t>
      </w:r>
      <w:r w:rsidRPr="00170C61">
        <w:rPr>
          <w:rFonts w:ascii="Times New Roman" w:hAnsi="Times New Roman" w:cs="Times New Roman"/>
          <w:color w:val="000000" w:themeColor="text1"/>
          <w:sz w:val="24"/>
          <w:szCs w:val="24"/>
        </w:rPr>
        <w:t xml:space="preserve"> under the usual going and coming rule, </w:t>
      </w:r>
      <w:r w:rsidRPr="00170C61">
        <w:rPr>
          <w:rFonts w:ascii="Times New Roman" w:hAnsi="Times New Roman" w:cs="Times New Roman"/>
          <w:b/>
          <w:color w:val="000000" w:themeColor="text1"/>
          <w:sz w:val="24"/>
          <w:szCs w:val="24"/>
        </w:rPr>
        <w:t>the journey may be brought within the course of employment</w:t>
      </w:r>
      <w:r w:rsidRPr="00170C61">
        <w:rPr>
          <w:rFonts w:ascii="Times New Roman" w:hAnsi="Times New Roman" w:cs="Times New Roman"/>
          <w:color w:val="000000" w:themeColor="text1"/>
          <w:sz w:val="24"/>
          <w:szCs w:val="24"/>
        </w:rPr>
        <w:t xml:space="preserve"> </w:t>
      </w:r>
      <w:r w:rsidRPr="00170C61">
        <w:rPr>
          <w:rFonts w:ascii="Times New Roman" w:hAnsi="Times New Roman" w:cs="Times New Roman"/>
          <w:b/>
          <w:color w:val="000000" w:themeColor="text1"/>
          <w:sz w:val="24"/>
          <w:szCs w:val="24"/>
        </w:rPr>
        <w:t>by the fact that the</w:t>
      </w:r>
      <w:r w:rsidRPr="00170C61">
        <w:rPr>
          <w:rFonts w:ascii="Times New Roman" w:hAnsi="Times New Roman" w:cs="Times New Roman"/>
          <w:color w:val="000000" w:themeColor="text1"/>
          <w:sz w:val="24"/>
          <w:szCs w:val="24"/>
        </w:rPr>
        <w:t xml:space="preserve"> trouble and time of making the journey, or the special inconvenience, hazard, or urgency of making it in the particular circumstances, </w:t>
      </w:r>
      <w:r w:rsidRPr="00170C61">
        <w:rPr>
          <w:rFonts w:ascii="Times New Roman" w:hAnsi="Times New Roman" w:cs="Times New Roman"/>
          <w:b/>
          <w:color w:val="000000" w:themeColor="text1"/>
          <w:sz w:val="24"/>
          <w:szCs w:val="24"/>
        </w:rPr>
        <w:t>is itself sufficiently substantial to be viewed as an integral part of the service itself</w:t>
      </w:r>
      <w:r w:rsidRPr="00170C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36"/>
      </w:r>
    </w:p>
    <w:p w14:paraId="6CDF0EA0" w14:textId="4441010B" w:rsidR="00FF7482" w:rsidRDefault="00FF7482" w:rsidP="00B26A4D">
      <w:pPr>
        <w:pStyle w:val="ListParagraph"/>
        <w:ind w:left="0" w:firstLine="720"/>
        <w:jc w:val="both"/>
        <w:rPr>
          <w:rFonts w:ascii="Times New Roman" w:hAnsi="Times New Roman" w:cs="Times New Roman"/>
          <w:color w:val="000000" w:themeColor="text1"/>
          <w:sz w:val="24"/>
          <w:szCs w:val="24"/>
        </w:rPr>
      </w:pPr>
    </w:p>
    <w:p w14:paraId="4BB5D89E" w14:textId="75606347" w:rsidR="00FF7482" w:rsidRDefault="00FF7482" w:rsidP="00175FDB">
      <w:pPr>
        <w:pStyle w:val="ListParagraph"/>
        <w:spacing w:after="0"/>
        <w:ind w:left="0"/>
        <w:jc w:val="both"/>
        <w:rPr>
          <w:rFonts w:ascii="Times New Roman" w:hAnsi="Times New Roman" w:cs="Times New Roman"/>
          <w:color w:val="000000" w:themeColor="text1"/>
          <w:sz w:val="24"/>
          <w:szCs w:val="24"/>
        </w:rPr>
      </w:pPr>
      <w:bookmarkStart w:id="467" w:name="_Hlk24632676"/>
      <w:r>
        <w:rPr>
          <w:rFonts w:ascii="Times New Roman" w:hAnsi="Times New Roman" w:cs="Times New Roman"/>
          <w:color w:val="000000" w:themeColor="text1"/>
          <w:sz w:val="24"/>
          <w:szCs w:val="24"/>
        </w:rPr>
        <w:t xml:space="preserve">The </w:t>
      </w:r>
      <w:r w:rsidR="005E5285">
        <w:rPr>
          <w:rFonts w:ascii="Times New Roman" w:hAnsi="Times New Roman" w:cs="Times New Roman"/>
          <w:b/>
          <w:color w:val="000000" w:themeColor="text1"/>
          <w:sz w:val="24"/>
          <w:szCs w:val="24"/>
          <w:u w:val="single"/>
        </w:rPr>
        <w:t>p</w:t>
      </w:r>
      <w:r w:rsidRPr="00AE70C1">
        <w:rPr>
          <w:rFonts w:ascii="Times New Roman" w:hAnsi="Times New Roman" w:cs="Times New Roman"/>
          <w:b/>
          <w:color w:val="000000" w:themeColor="text1"/>
          <w:sz w:val="24"/>
          <w:szCs w:val="24"/>
          <w:u w:val="single"/>
        </w:rPr>
        <w:t xml:space="preserve">ersonal </w:t>
      </w:r>
      <w:r w:rsidR="005E5285">
        <w:rPr>
          <w:rFonts w:ascii="Times New Roman" w:hAnsi="Times New Roman" w:cs="Times New Roman"/>
          <w:b/>
          <w:color w:val="000000" w:themeColor="text1"/>
          <w:sz w:val="24"/>
          <w:szCs w:val="24"/>
          <w:u w:val="single"/>
        </w:rPr>
        <w:t>c</w:t>
      </w:r>
      <w:r w:rsidRPr="00AE70C1">
        <w:rPr>
          <w:rFonts w:ascii="Times New Roman" w:hAnsi="Times New Roman" w:cs="Times New Roman"/>
          <w:b/>
          <w:color w:val="000000" w:themeColor="text1"/>
          <w:sz w:val="24"/>
          <w:szCs w:val="24"/>
          <w:u w:val="single"/>
        </w:rPr>
        <w:t xml:space="preserve">omfort </w:t>
      </w:r>
      <w:r w:rsidR="005E5285">
        <w:rPr>
          <w:rFonts w:ascii="Times New Roman" w:hAnsi="Times New Roman" w:cs="Times New Roman"/>
          <w:b/>
          <w:color w:val="000000" w:themeColor="text1"/>
          <w:sz w:val="24"/>
          <w:szCs w:val="24"/>
          <w:u w:val="single"/>
        </w:rPr>
        <w:t>d</w:t>
      </w:r>
      <w:r w:rsidRPr="00AE70C1">
        <w:rPr>
          <w:rFonts w:ascii="Times New Roman" w:hAnsi="Times New Roman" w:cs="Times New Roman"/>
          <w:b/>
          <w:color w:val="000000" w:themeColor="text1"/>
          <w:sz w:val="24"/>
          <w:szCs w:val="24"/>
          <w:u w:val="single"/>
        </w:rPr>
        <w:t>octrine</w:t>
      </w:r>
      <w:r>
        <w:rPr>
          <w:rFonts w:ascii="Times New Roman" w:hAnsi="Times New Roman" w:cs="Times New Roman"/>
          <w:b/>
          <w:color w:val="000000" w:themeColor="text1"/>
          <w:sz w:val="24"/>
          <w:szCs w:val="24"/>
        </w:rPr>
        <w:t xml:space="preserve"> </w:t>
      </w:r>
      <w:r w:rsidRPr="00170C61">
        <w:rPr>
          <w:rFonts w:ascii="Times New Roman" w:hAnsi="Times New Roman" w:cs="Times New Roman"/>
          <w:color w:val="000000" w:themeColor="text1"/>
          <w:sz w:val="24"/>
          <w:szCs w:val="24"/>
        </w:rPr>
        <w:t>holds that</w:t>
      </w:r>
      <w:r>
        <w:rPr>
          <w:rFonts w:ascii="Times New Roman" w:hAnsi="Times New Roman" w:cs="Times New Roman"/>
          <w:color w:val="000000" w:themeColor="text1"/>
          <w:sz w:val="24"/>
          <w:szCs w:val="24"/>
        </w:rPr>
        <w:t xml:space="preserve"> “[e]</w:t>
      </w:r>
      <w:r w:rsidRPr="00170C61">
        <w:rPr>
          <w:rFonts w:ascii="Times New Roman" w:hAnsi="Times New Roman" w:cs="Times New Roman"/>
          <w:color w:val="000000" w:themeColor="text1"/>
          <w:sz w:val="24"/>
          <w:szCs w:val="24"/>
        </w:rPr>
        <w:t xml:space="preserve">mployees who, within the time and space limits of their employment, engage in acts which </w:t>
      </w:r>
      <w:r w:rsidRPr="00170C61">
        <w:rPr>
          <w:rFonts w:ascii="Times New Roman" w:hAnsi="Times New Roman" w:cs="Times New Roman"/>
          <w:b/>
          <w:color w:val="000000" w:themeColor="text1"/>
          <w:sz w:val="24"/>
          <w:szCs w:val="24"/>
        </w:rPr>
        <w:t xml:space="preserve">minister to personal </w:t>
      </w:r>
      <w:r w:rsidRPr="00170C61">
        <w:rPr>
          <w:rFonts w:ascii="Times New Roman" w:hAnsi="Times New Roman" w:cs="Times New Roman"/>
          <w:b/>
          <w:color w:val="000000" w:themeColor="text1"/>
          <w:sz w:val="24"/>
          <w:szCs w:val="24"/>
        </w:rPr>
        <w:lastRenderedPageBreak/>
        <w:t>comfort do not thereby leave the course of employment</w:t>
      </w:r>
      <w:r w:rsidRPr="00170C61">
        <w:rPr>
          <w:rFonts w:ascii="Times New Roman" w:hAnsi="Times New Roman" w:cs="Times New Roman"/>
          <w:color w:val="000000" w:themeColor="text1"/>
          <w:sz w:val="24"/>
          <w:szCs w:val="24"/>
        </w:rPr>
        <w:t xml:space="preserve">, </w:t>
      </w:r>
      <w:r w:rsidRPr="00170C61">
        <w:rPr>
          <w:rFonts w:ascii="Times New Roman" w:hAnsi="Times New Roman" w:cs="Times New Roman"/>
          <w:b/>
          <w:color w:val="000000" w:themeColor="text1"/>
          <w:sz w:val="24"/>
          <w:szCs w:val="24"/>
        </w:rPr>
        <w:t>unless the</w:t>
      </w:r>
      <w:r w:rsidRPr="00170C61">
        <w:rPr>
          <w:rFonts w:ascii="Times New Roman" w:hAnsi="Times New Roman" w:cs="Times New Roman"/>
          <w:color w:val="000000" w:themeColor="text1"/>
          <w:sz w:val="24"/>
          <w:szCs w:val="24"/>
        </w:rPr>
        <w:t xml:space="preserve"> extent of the </w:t>
      </w:r>
      <w:r w:rsidRPr="00170C61">
        <w:rPr>
          <w:rFonts w:ascii="Times New Roman" w:hAnsi="Times New Roman" w:cs="Times New Roman"/>
          <w:b/>
          <w:color w:val="000000" w:themeColor="text1"/>
          <w:sz w:val="24"/>
          <w:szCs w:val="24"/>
        </w:rPr>
        <w:t>departure is so great that an intent to abandon the job temporarily may be inferred</w:t>
      </w:r>
      <w:r w:rsidRPr="00170C61">
        <w:rPr>
          <w:rFonts w:ascii="Times New Roman" w:hAnsi="Times New Roman" w:cs="Times New Roman"/>
          <w:color w:val="000000" w:themeColor="text1"/>
          <w:sz w:val="24"/>
          <w:szCs w:val="24"/>
        </w:rPr>
        <w:t>, or unless, in some jurisdictions, the method chosen is so unusual and unreasonable that the conduct cannot be considered an incident of the employment.</w:t>
      </w:r>
      <w:r w:rsidR="005E5285">
        <w:rPr>
          <w:rFonts w:ascii="Times New Roman" w:hAnsi="Times New Roman" w:cs="Times New Roman"/>
          <w:color w:val="000000" w:themeColor="text1"/>
          <w:sz w:val="24"/>
          <w:szCs w:val="24"/>
        </w:rPr>
        <w:t>”</w:t>
      </w:r>
      <w:r w:rsidRPr="00112C9C">
        <w:rPr>
          <w:rFonts w:ascii="Times New Roman" w:hAnsi="Times New Roman" w:cs="Times New Roman"/>
          <w:sz w:val="24"/>
          <w:szCs w:val="24"/>
          <w:vertAlign w:val="superscript"/>
        </w:rPr>
        <w:footnoteReference w:id="337"/>
      </w:r>
      <w:r>
        <w:rPr>
          <w:rFonts w:ascii="Times New Roman" w:hAnsi="Times New Roman" w:cs="Times New Roman"/>
          <w:color w:val="000000" w:themeColor="text1"/>
          <w:sz w:val="24"/>
          <w:szCs w:val="24"/>
        </w:rPr>
        <w:t xml:space="preserve"> The principal is cited to establish that workers in various situations not </w:t>
      </w:r>
      <w:r w:rsidRPr="00AE70C1">
        <w:rPr>
          <w:rFonts w:ascii="Times New Roman" w:hAnsi="Times New Roman" w:cs="Times New Roman"/>
          <w:b/>
          <w:color w:val="000000" w:themeColor="text1"/>
          <w:sz w:val="24"/>
          <w:szCs w:val="24"/>
        </w:rPr>
        <w:t>immediately</w:t>
      </w:r>
      <w:r>
        <w:rPr>
          <w:rFonts w:ascii="Times New Roman" w:hAnsi="Times New Roman" w:cs="Times New Roman"/>
          <w:color w:val="000000" w:themeColor="text1"/>
          <w:sz w:val="24"/>
          <w:szCs w:val="24"/>
        </w:rPr>
        <w:t xml:space="preserve"> conferring a benefit on their employers should nevertheless be deemed eligible for benefits.</w:t>
      </w:r>
    </w:p>
    <w:bookmarkEnd w:id="467"/>
    <w:p w14:paraId="00639584" w14:textId="77777777" w:rsidR="00A051D3" w:rsidRDefault="00A051D3" w:rsidP="00A051D3">
      <w:pPr>
        <w:pStyle w:val="ListParagraph"/>
        <w:ind w:left="0"/>
        <w:jc w:val="both"/>
        <w:rPr>
          <w:rFonts w:ascii="Times New Roman" w:hAnsi="Times New Roman" w:cs="Times New Roman"/>
          <w:color w:val="000000" w:themeColor="text1"/>
          <w:sz w:val="24"/>
          <w:szCs w:val="24"/>
        </w:rPr>
      </w:pPr>
    </w:p>
    <w:p w14:paraId="48257615" w14:textId="34EBAE32" w:rsidR="00FF7482" w:rsidRDefault="00FF7482" w:rsidP="00A051D3">
      <w:pPr>
        <w:pStyle w:val="ListParagraph"/>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Before moving on to Wyoming “in the course of” doctrine, it is worth reviewing the following passage from</w:t>
      </w:r>
      <w:r w:rsidR="00A051D3">
        <w:rPr>
          <w:rFonts w:ascii="Times New Roman" w:hAnsi="Times New Roman" w:cs="Times New Roman"/>
          <w:color w:val="000000" w:themeColor="text1"/>
          <w:sz w:val="24"/>
          <w:szCs w:val="24"/>
        </w:rPr>
        <w:t xml:space="preserve"> the</w:t>
      </w:r>
      <w:r w:rsidRPr="00DA21B9">
        <w:rPr>
          <w:rFonts w:ascii="Times New Roman" w:hAnsi="Times New Roman" w:cs="Times New Roman"/>
          <w:i/>
          <w:color w:val="000000" w:themeColor="text1"/>
          <w:sz w:val="24"/>
          <w:szCs w:val="24"/>
        </w:rPr>
        <w:t xml:space="preserve"> Larson’s</w:t>
      </w:r>
      <w:r>
        <w:rPr>
          <w:rFonts w:ascii="Times New Roman" w:hAnsi="Times New Roman" w:cs="Times New Roman"/>
          <w:color w:val="000000" w:themeColor="text1"/>
          <w:sz w:val="24"/>
          <w:szCs w:val="24"/>
        </w:rPr>
        <w:t xml:space="preserve"> treatise:</w:t>
      </w:r>
    </w:p>
    <w:p w14:paraId="10B1DE62" w14:textId="77777777" w:rsidR="00FF7482" w:rsidRDefault="00FF7482" w:rsidP="00DA21B9">
      <w:pPr>
        <w:pStyle w:val="ListParagraph"/>
        <w:ind w:right="720"/>
        <w:jc w:val="both"/>
        <w:rPr>
          <w:rFonts w:ascii="Times New Roman" w:hAnsi="Times New Roman" w:cs="Times New Roman"/>
          <w:color w:val="000000" w:themeColor="text1"/>
          <w:sz w:val="24"/>
          <w:szCs w:val="24"/>
        </w:rPr>
      </w:pPr>
    </w:p>
    <w:p w14:paraId="0CD1D2A6" w14:textId="112A3634" w:rsidR="00FF7482" w:rsidRDefault="00FF7482" w:rsidP="00D57F28">
      <w:pPr>
        <w:pStyle w:val="ListParagraph"/>
        <w:ind w:right="720"/>
        <w:jc w:val="both"/>
        <w:rPr>
          <w:rFonts w:ascii="Times New Roman" w:hAnsi="Times New Roman" w:cs="Times New Roman"/>
          <w:color w:val="000000" w:themeColor="text1"/>
          <w:sz w:val="24"/>
          <w:szCs w:val="24"/>
        </w:rPr>
      </w:pPr>
      <w:r w:rsidRPr="00DA21B9">
        <w:rPr>
          <w:rFonts w:ascii="Times New Roman" w:hAnsi="Times New Roman" w:cs="Times New Roman"/>
          <w:color w:val="000000" w:themeColor="text1"/>
          <w:sz w:val="24"/>
          <w:szCs w:val="24"/>
        </w:rPr>
        <w:t xml:space="preserve">There are at least four situations in which the course of employment goes beyond an employee’s fixed hours of work: the time spent going and coming </w:t>
      </w:r>
      <w:r w:rsidRPr="00DA21B9">
        <w:rPr>
          <w:rFonts w:ascii="Times New Roman" w:hAnsi="Times New Roman" w:cs="Times New Roman"/>
          <w:b/>
          <w:color w:val="000000" w:themeColor="text1"/>
          <w:sz w:val="24"/>
          <w:szCs w:val="24"/>
        </w:rPr>
        <w:t>on the premises</w:t>
      </w:r>
      <w:r w:rsidRPr="00DA21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A21B9">
        <w:rPr>
          <w:rFonts w:ascii="Times New Roman" w:hAnsi="Times New Roman" w:cs="Times New Roman"/>
          <w:color w:val="000000" w:themeColor="text1"/>
          <w:sz w:val="24"/>
          <w:szCs w:val="24"/>
        </w:rPr>
        <w:t>an interval before working hours while waiting to begin</w:t>
      </w:r>
      <w:r>
        <w:rPr>
          <w:rFonts w:ascii="Times New Roman" w:hAnsi="Times New Roman" w:cs="Times New Roman"/>
          <w:color w:val="000000" w:themeColor="text1"/>
          <w:sz w:val="24"/>
          <w:szCs w:val="24"/>
        </w:rPr>
        <w:t xml:space="preserve"> </w:t>
      </w:r>
      <w:r w:rsidRPr="00DA21B9">
        <w:rPr>
          <w:rFonts w:ascii="Times New Roman" w:hAnsi="Times New Roman" w:cs="Times New Roman"/>
          <w:color w:val="000000" w:themeColor="text1"/>
          <w:sz w:val="24"/>
          <w:szCs w:val="24"/>
        </w:rPr>
        <w:t>or making preparations, and a similar interval after hours;</w:t>
      </w:r>
      <w:r>
        <w:rPr>
          <w:rFonts w:ascii="Times New Roman" w:hAnsi="Times New Roman" w:cs="Times New Roman"/>
          <w:color w:val="000000" w:themeColor="text1"/>
          <w:sz w:val="24"/>
          <w:szCs w:val="24"/>
        </w:rPr>
        <w:t xml:space="preserve"> </w:t>
      </w:r>
      <w:r w:rsidRPr="00DA21B9">
        <w:rPr>
          <w:rFonts w:ascii="Times New Roman" w:hAnsi="Times New Roman" w:cs="Times New Roman"/>
          <w:color w:val="000000" w:themeColor="text1"/>
          <w:sz w:val="24"/>
          <w:szCs w:val="24"/>
        </w:rPr>
        <w:t>regular unpaid rest periods taken on the premises,</w:t>
      </w:r>
      <w:r>
        <w:rPr>
          <w:rFonts w:ascii="Times New Roman" w:hAnsi="Times New Roman" w:cs="Times New Roman"/>
          <w:color w:val="000000" w:themeColor="text1"/>
          <w:sz w:val="24"/>
          <w:szCs w:val="24"/>
        </w:rPr>
        <w:t xml:space="preserve"> </w:t>
      </w:r>
      <w:r w:rsidRPr="00DA21B9">
        <w:rPr>
          <w:rFonts w:ascii="Times New Roman" w:hAnsi="Times New Roman" w:cs="Times New Roman"/>
          <w:color w:val="000000" w:themeColor="text1"/>
          <w:sz w:val="24"/>
          <w:szCs w:val="24"/>
        </w:rPr>
        <w:t xml:space="preserve">and unpaid lunch hours on the premises. A definite pattern can be discerned here. In each instance the time, although strictly outside the fixed working hours, is </w:t>
      </w:r>
      <w:r w:rsidRPr="00DA21B9">
        <w:rPr>
          <w:rFonts w:ascii="Times New Roman" w:hAnsi="Times New Roman" w:cs="Times New Roman"/>
          <w:b/>
          <w:color w:val="000000" w:themeColor="text1"/>
          <w:sz w:val="24"/>
          <w:szCs w:val="24"/>
        </w:rPr>
        <w:t>closely contiguous</w:t>
      </w:r>
      <w:r w:rsidRPr="00DA21B9">
        <w:rPr>
          <w:rFonts w:ascii="Times New Roman" w:hAnsi="Times New Roman" w:cs="Times New Roman"/>
          <w:color w:val="000000" w:themeColor="text1"/>
          <w:sz w:val="24"/>
          <w:szCs w:val="24"/>
        </w:rPr>
        <w:t xml:space="preserve"> to them; the activity to which that time is devoted is </w:t>
      </w:r>
      <w:r w:rsidRPr="00DA21B9">
        <w:rPr>
          <w:rFonts w:ascii="Times New Roman" w:hAnsi="Times New Roman" w:cs="Times New Roman"/>
          <w:b/>
          <w:color w:val="000000" w:themeColor="text1"/>
          <w:sz w:val="24"/>
          <w:szCs w:val="24"/>
        </w:rPr>
        <w:t>related to the employment</w:t>
      </w:r>
      <w:r w:rsidRPr="00DA21B9">
        <w:rPr>
          <w:rFonts w:ascii="Times New Roman" w:hAnsi="Times New Roman" w:cs="Times New Roman"/>
          <w:color w:val="000000" w:themeColor="text1"/>
          <w:sz w:val="24"/>
          <w:szCs w:val="24"/>
        </w:rPr>
        <w:t>, whether it takes the form of going or coming, preparing for work, or ministering to personal necessities such as food and rest; and, above all, the employee is within the spatial limits of his or her employment</w:t>
      </w:r>
      <w:r w:rsidR="00B17347" w:rsidRPr="00DA21B9">
        <w:rPr>
          <w:rFonts w:ascii="Times New Roman" w:hAnsi="Times New Roman" w:cs="Times New Roman"/>
          <w:color w:val="000000" w:themeColor="text1"/>
          <w:sz w:val="24"/>
          <w:szCs w:val="24"/>
        </w:rPr>
        <w:t>.</w:t>
      </w:r>
      <w:r w:rsidR="00B17347">
        <w:rPr>
          <w:rFonts w:ascii="Times New Roman" w:hAnsi="Times New Roman" w:cs="Times New Roman"/>
          <w:color w:val="000000" w:themeColor="text1"/>
          <w:sz w:val="24"/>
          <w:szCs w:val="24"/>
        </w:rPr>
        <w:t xml:space="preserve"> </w:t>
      </w:r>
    </w:p>
    <w:p w14:paraId="5513DE7E" w14:textId="764B77CA" w:rsidR="00FF7482" w:rsidRDefault="00FF7482" w:rsidP="00DA21B9">
      <w:pPr>
        <w:pStyle w:val="ListParagraph"/>
        <w:ind w:right="720"/>
        <w:jc w:val="both"/>
        <w:rPr>
          <w:rFonts w:ascii="Times New Roman" w:hAnsi="Times New Roman" w:cs="Times New Roman"/>
          <w:color w:val="000000" w:themeColor="text1"/>
          <w:sz w:val="24"/>
          <w:szCs w:val="24"/>
        </w:rPr>
      </w:pPr>
    </w:p>
    <w:p w14:paraId="4318FCC2" w14:textId="08283BC5" w:rsidR="00FF7482" w:rsidRDefault="00FF7482" w:rsidP="00A051D3">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important to remember that this </w:t>
      </w:r>
      <w:r w:rsidR="003440D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ection’s discussion of in the course of employment deals with employees with fixed times and places of employment. </w:t>
      </w:r>
      <w:r w:rsidRPr="00D116FC">
        <w:rPr>
          <w:rFonts w:ascii="Times New Roman" w:hAnsi="Times New Roman" w:cs="Times New Roman"/>
          <w:b/>
          <w:bCs/>
          <w:color w:val="000000" w:themeColor="text1"/>
          <w:sz w:val="24"/>
          <w:szCs w:val="24"/>
        </w:rPr>
        <w:t>Travelling employees</w:t>
      </w:r>
      <w:r>
        <w:rPr>
          <w:rFonts w:ascii="Times New Roman" w:hAnsi="Times New Roman" w:cs="Times New Roman"/>
          <w:color w:val="000000" w:themeColor="text1"/>
          <w:sz w:val="24"/>
          <w:szCs w:val="24"/>
        </w:rPr>
        <w:t xml:space="preserve"> are a special “in the course of” case that will be discussed in a separate section.</w:t>
      </w:r>
    </w:p>
    <w:p w14:paraId="36A86903" w14:textId="77777777" w:rsidR="00FF7482" w:rsidRDefault="00FF7482" w:rsidP="00C402E8">
      <w:pPr>
        <w:pStyle w:val="ListParagraph"/>
        <w:spacing w:after="0"/>
        <w:ind w:left="0" w:firstLine="720"/>
        <w:jc w:val="both"/>
        <w:rPr>
          <w:rFonts w:ascii="Times New Roman" w:hAnsi="Times New Roman" w:cs="Times New Roman"/>
          <w:color w:val="000000" w:themeColor="text1"/>
          <w:sz w:val="24"/>
          <w:szCs w:val="24"/>
        </w:rPr>
      </w:pPr>
    </w:p>
    <w:p w14:paraId="483F6F6D" w14:textId="40F15861" w:rsidR="00FF7482" w:rsidRDefault="00FF7482" w:rsidP="00D57F28">
      <w:pPr>
        <w:pStyle w:val="Heading2"/>
        <w:rPr>
          <w:rFonts w:ascii="Times New Roman" w:hAnsi="Times New Roman" w:cs="Times New Roman"/>
          <w:b/>
          <w:color w:val="auto"/>
        </w:rPr>
      </w:pPr>
      <w:bookmarkStart w:id="469" w:name="_Toc75269380"/>
      <w:bookmarkStart w:id="470" w:name="_Hlk518763285"/>
      <w:r w:rsidRPr="00DA21B9">
        <w:rPr>
          <w:rFonts w:ascii="Times New Roman" w:hAnsi="Times New Roman" w:cs="Times New Roman"/>
          <w:b/>
          <w:color w:val="auto"/>
        </w:rPr>
        <w:t>“In the Course of” in Wyoming</w:t>
      </w:r>
      <w:r>
        <w:rPr>
          <w:rFonts w:ascii="Times New Roman" w:hAnsi="Times New Roman" w:cs="Times New Roman"/>
          <w:b/>
          <w:color w:val="auto"/>
        </w:rPr>
        <w:t xml:space="preserve"> – Time, Place, and Circumstances: Fixed Times and Places of Employment</w:t>
      </w:r>
      <w:bookmarkEnd w:id="469"/>
    </w:p>
    <w:bookmarkEnd w:id="470"/>
    <w:p w14:paraId="579D713D" w14:textId="7D038B9D" w:rsidR="00FF7482" w:rsidRDefault="00FF7482" w:rsidP="00195968">
      <w:pPr>
        <w:pStyle w:val="ListParagraph"/>
        <w:ind w:left="0" w:firstLine="720"/>
        <w:jc w:val="both"/>
      </w:pPr>
    </w:p>
    <w:p w14:paraId="0C1010BB" w14:textId="1979EB29" w:rsidR="00FF7482" w:rsidRDefault="00FF7482" w:rsidP="00D57F28">
      <w:pPr>
        <w:pStyle w:val="ListParagraph"/>
        <w:ind w:left="0"/>
        <w:jc w:val="both"/>
        <w:rPr>
          <w:rFonts w:ascii="Times New Roman" w:hAnsi="Times New Roman" w:cs="Times New Roman"/>
          <w:sz w:val="24"/>
          <w:szCs w:val="24"/>
        </w:rPr>
      </w:pPr>
      <w:r w:rsidRPr="00195968">
        <w:rPr>
          <w:rFonts w:ascii="Times New Roman" w:hAnsi="Times New Roman" w:cs="Times New Roman"/>
          <w:sz w:val="24"/>
          <w:szCs w:val="24"/>
        </w:rPr>
        <w:t>Wyoming follows the</w:t>
      </w:r>
      <w:r>
        <w:rPr>
          <w:rFonts w:ascii="Times New Roman" w:hAnsi="Times New Roman" w:cs="Times New Roman"/>
          <w:sz w:val="24"/>
          <w:szCs w:val="24"/>
        </w:rPr>
        <w:t xml:space="preserve"> </w:t>
      </w:r>
      <w:r w:rsidR="005E5285">
        <w:rPr>
          <w:rFonts w:ascii="Times New Roman" w:hAnsi="Times New Roman" w:cs="Times New Roman"/>
          <w:sz w:val="24"/>
          <w:szCs w:val="24"/>
        </w:rPr>
        <w:t>g</w:t>
      </w:r>
      <w:r>
        <w:rPr>
          <w:rFonts w:ascii="Times New Roman" w:hAnsi="Times New Roman" w:cs="Times New Roman"/>
          <w:sz w:val="24"/>
          <w:szCs w:val="24"/>
        </w:rPr>
        <w:t xml:space="preserve">oing and </w:t>
      </w:r>
      <w:r w:rsidR="005E5285">
        <w:rPr>
          <w:rFonts w:ascii="Times New Roman" w:hAnsi="Times New Roman" w:cs="Times New Roman"/>
          <w:sz w:val="24"/>
          <w:szCs w:val="24"/>
        </w:rPr>
        <w:t>c</w:t>
      </w:r>
      <w:r>
        <w:rPr>
          <w:rFonts w:ascii="Times New Roman" w:hAnsi="Times New Roman" w:cs="Times New Roman"/>
          <w:sz w:val="24"/>
          <w:szCs w:val="24"/>
        </w:rPr>
        <w:t xml:space="preserve">oming </w:t>
      </w:r>
      <w:r w:rsidR="008F2AA8">
        <w:rPr>
          <w:rFonts w:ascii="Times New Roman" w:hAnsi="Times New Roman" w:cs="Times New Roman"/>
          <w:sz w:val="24"/>
          <w:szCs w:val="24"/>
        </w:rPr>
        <w:t>r</w:t>
      </w:r>
      <w:r>
        <w:rPr>
          <w:rFonts w:ascii="Times New Roman" w:hAnsi="Times New Roman" w:cs="Times New Roman"/>
          <w:sz w:val="24"/>
          <w:szCs w:val="24"/>
        </w:rPr>
        <w:t xml:space="preserve">ule. </w:t>
      </w:r>
      <w:r w:rsidRPr="00BD429B">
        <w:rPr>
          <w:rFonts w:ascii="Times New Roman" w:hAnsi="Times New Roman" w:cs="Times New Roman"/>
          <w:b/>
          <w:sz w:val="24"/>
          <w:szCs w:val="24"/>
          <w:u w:val="single"/>
        </w:rPr>
        <w:t>Injuries sustained by an employee who is “going to or coming from” the duties of his employment are not covered by worker</w:t>
      </w:r>
      <w:r w:rsidR="008F2AA8">
        <w:rPr>
          <w:rFonts w:ascii="Times New Roman" w:hAnsi="Times New Roman" w:cs="Times New Roman"/>
          <w:b/>
          <w:sz w:val="24"/>
          <w:szCs w:val="24"/>
          <w:u w:val="single"/>
        </w:rPr>
        <w:t>’</w:t>
      </w:r>
      <w:r w:rsidRPr="00BD429B">
        <w:rPr>
          <w:rFonts w:ascii="Times New Roman" w:hAnsi="Times New Roman" w:cs="Times New Roman"/>
          <w:b/>
          <w:sz w:val="24"/>
          <w:szCs w:val="24"/>
          <w:u w:val="single"/>
        </w:rPr>
        <w:t>s compensation</w:t>
      </w:r>
      <w:r>
        <w:rPr>
          <w:rFonts w:ascii="Times New Roman" w:hAnsi="Times New Roman" w:cs="Times New Roman"/>
          <w:sz w:val="24"/>
          <w:szCs w:val="24"/>
        </w:rPr>
        <w:t>. Historically, Wyoming courts followed the rule.</w:t>
      </w:r>
      <w:r w:rsidRPr="00112C9C">
        <w:rPr>
          <w:rFonts w:ascii="Times New Roman" w:hAnsi="Times New Roman" w:cs="Times New Roman"/>
          <w:sz w:val="24"/>
          <w:szCs w:val="24"/>
          <w:vertAlign w:val="superscript"/>
        </w:rPr>
        <w:footnoteReference w:id="338"/>
      </w:r>
      <w:r>
        <w:rPr>
          <w:rFonts w:ascii="Times New Roman" w:hAnsi="Times New Roman" w:cs="Times New Roman"/>
          <w:sz w:val="24"/>
          <w:szCs w:val="24"/>
        </w:rPr>
        <w:t xml:space="preserve"> </w:t>
      </w:r>
      <w:r>
        <w:rPr>
          <w:rFonts w:ascii="Times New Roman" w:hAnsi="Times New Roman" w:cs="Times New Roman"/>
          <w:sz w:val="24"/>
          <w:szCs w:val="24"/>
        </w:rPr>
        <w:lastRenderedPageBreak/>
        <w:t>The principle is embedded by statute</w:t>
      </w:r>
      <w:r w:rsidRPr="00112C9C">
        <w:rPr>
          <w:rFonts w:ascii="Times New Roman" w:hAnsi="Times New Roman" w:cs="Times New Roman"/>
          <w:sz w:val="24"/>
          <w:szCs w:val="24"/>
          <w:vertAlign w:val="superscript"/>
        </w:rPr>
        <w:footnoteReference w:id="339"/>
      </w:r>
      <w:r>
        <w:rPr>
          <w:rFonts w:ascii="Times New Roman" w:hAnsi="Times New Roman" w:cs="Times New Roman"/>
          <w:sz w:val="24"/>
          <w:szCs w:val="24"/>
        </w:rPr>
        <w:t xml:space="preserve"> </w:t>
      </w:r>
      <w:bookmarkStart w:id="473" w:name="_Hlk518821837"/>
      <w:r>
        <w:rPr>
          <w:rFonts w:ascii="Times New Roman" w:hAnsi="Times New Roman" w:cs="Times New Roman"/>
          <w:sz w:val="24"/>
          <w:szCs w:val="24"/>
        </w:rPr>
        <w:t xml:space="preserve">in </w:t>
      </w:r>
      <w:r w:rsidRPr="00BE237A">
        <w:rPr>
          <w:rFonts w:ascii="Times New Roman" w:hAnsi="Times New Roman" w:cs="Times New Roman"/>
          <w:sz w:val="24"/>
          <w:szCs w:val="24"/>
        </w:rPr>
        <w:t xml:space="preserve">W.S. § </w:t>
      </w:r>
      <w:hyperlink r:id="rId71" w:history="1">
        <w:r w:rsidRPr="00BE237A">
          <w:rPr>
            <w:rStyle w:val="Hyperlink"/>
            <w:rFonts w:ascii="Times New Roman" w:hAnsi="Times New Roman" w:cs="Times New Roman"/>
            <w:sz w:val="24"/>
            <w:szCs w:val="24"/>
          </w:rPr>
          <w:t>27-14-102</w:t>
        </w:r>
      </w:hyperlink>
      <w:r>
        <w:rPr>
          <w:rFonts w:ascii="Times New Roman" w:hAnsi="Times New Roman" w:cs="Times New Roman"/>
          <w:sz w:val="24"/>
          <w:szCs w:val="24"/>
        </w:rPr>
        <w:t xml:space="preserve">(a)(xi)(D): </w:t>
      </w:r>
      <w:bookmarkEnd w:id="473"/>
      <w:r>
        <w:rPr>
          <w:rFonts w:ascii="Times New Roman" w:hAnsi="Times New Roman" w:cs="Times New Roman"/>
          <w:sz w:val="24"/>
          <w:szCs w:val="24"/>
        </w:rPr>
        <w:t>“‘Injury’ does not include . . .</w:t>
      </w:r>
      <w:r w:rsidRPr="00195968">
        <w:rPr>
          <w:rFonts w:ascii="Times New Roman" w:hAnsi="Times New Roman" w:cs="Times New Roman"/>
          <w:sz w:val="24"/>
          <w:szCs w:val="24"/>
        </w:rPr>
        <w:t xml:space="preserve"> </w:t>
      </w:r>
      <w:r w:rsidRPr="00371F25">
        <w:rPr>
          <w:rFonts w:ascii="Times New Roman" w:hAnsi="Times New Roman" w:cs="Times New Roman"/>
          <w:sz w:val="24"/>
          <w:szCs w:val="24"/>
        </w:rPr>
        <w:t xml:space="preserve">Any injury sustained during travel to or from employment </w:t>
      </w:r>
      <w:r w:rsidRPr="00695715">
        <w:rPr>
          <w:rFonts w:ascii="Times New Roman" w:hAnsi="Times New Roman" w:cs="Times New Roman"/>
          <w:b/>
          <w:sz w:val="24"/>
          <w:szCs w:val="24"/>
          <w:u w:val="single"/>
        </w:rPr>
        <w:t>unless the employee is reimbursed for travel expenses or is transported by a vehicle of the employer</w:t>
      </w:r>
      <w:r>
        <w:rPr>
          <w:rFonts w:ascii="Times New Roman" w:hAnsi="Times New Roman" w:cs="Times New Roman"/>
          <w:sz w:val="24"/>
          <w:szCs w:val="24"/>
        </w:rPr>
        <w:t xml:space="preserve"> . . .”  The </w:t>
      </w:r>
      <w:r w:rsidRPr="00695715">
        <w:rPr>
          <w:rFonts w:ascii="Times New Roman" w:hAnsi="Times New Roman" w:cs="Times New Roman"/>
          <w:b/>
          <w:sz w:val="24"/>
          <w:szCs w:val="24"/>
        </w:rPr>
        <w:t>“reimbursement for travel”</w:t>
      </w:r>
      <w:r>
        <w:rPr>
          <w:rFonts w:ascii="Times New Roman" w:hAnsi="Times New Roman" w:cs="Times New Roman"/>
          <w:sz w:val="24"/>
          <w:szCs w:val="24"/>
        </w:rPr>
        <w:t xml:space="preserve"> and </w:t>
      </w:r>
      <w:r w:rsidRPr="00695715">
        <w:rPr>
          <w:rFonts w:ascii="Times New Roman" w:hAnsi="Times New Roman" w:cs="Times New Roman"/>
          <w:b/>
          <w:sz w:val="24"/>
          <w:szCs w:val="24"/>
        </w:rPr>
        <w:t>‘transport by employer vehicle”</w:t>
      </w:r>
      <w:r>
        <w:rPr>
          <w:rFonts w:ascii="Times New Roman" w:hAnsi="Times New Roman" w:cs="Times New Roman"/>
          <w:sz w:val="24"/>
          <w:szCs w:val="24"/>
        </w:rPr>
        <w:t xml:space="preserve"> provisos codify prior Wyoming cases finding exceptions to the going and coming rule.</w:t>
      </w:r>
      <w:r w:rsidRPr="00112C9C">
        <w:rPr>
          <w:rFonts w:ascii="Times New Roman" w:hAnsi="Times New Roman" w:cs="Times New Roman"/>
          <w:sz w:val="24"/>
          <w:szCs w:val="24"/>
          <w:vertAlign w:val="superscript"/>
        </w:rPr>
        <w:footnoteReference w:id="340"/>
      </w:r>
      <w:r>
        <w:rPr>
          <w:rFonts w:ascii="Times New Roman" w:hAnsi="Times New Roman" w:cs="Times New Roman"/>
          <w:sz w:val="24"/>
          <w:szCs w:val="24"/>
        </w:rPr>
        <w:t xml:space="preserve"> </w:t>
      </w:r>
    </w:p>
    <w:p w14:paraId="03A8911B" w14:textId="56DEA2D3" w:rsidR="00FF7482" w:rsidRDefault="00FF7482" w:rsidP="00195968">
      <w:pPr>
        <w:pStyle w:val="ListParagraph"/>
        <w:ind w:left="0" w:firstLine="720"/>
        <w:jc w:val="both"/>
        <w:rPr>
          <w:rFonts w:ascii="Times New Roman" w:hAnsi="Times New Roman" w:cs="Times New Roman"/>
          <w:sz w:val="24"/>
          <w:szCs w:val="24"/>
        </w:rPr>
      </w:pPr>
    </w:p>
    <w:p w14:paraId="5B228901" w14:textId="13C5FE46" w:rsidR="00FF7482" w:rsidRDefault="00FF7482" w:rsidP="001A0DF6">
      <w:pPr>
        <w:pStyle w:val="ListParagraph"/>
        <w:ind w:left="0"/>
        <w:jc w:val="both"/>
        <w:rPr>
          <w:rFonts w:ascii="Times New Roman" w:hAnsi="Times New Roman" w:cs="Times New Roman"/>
          <w:sz w:val="24"/>
          <w:szCs w:val="24"/>
        </w:rPr>
      </w:pPr>
      <w:r w:rsidRPr="001F02A9">
        <w:rPr>
          <w:rFonts w:ascii="Times New Roman" w:hAnsi="Times New Roman" w:cs="Times New Roman"/>
          <w:b/>
          <w:sz w:val="24"/>
          <w:szCs w:val="24"/>
          <w:u w:val="single"/>
        </w:rPr>
        <w:t>The premises rule was adopted in Wyoming</w:t>
      </w:r>
      <w:r>
        <w:rPr>
          <w:rFonts w:ascii="Times New Roman" w:hAnsi="Times New Roman" w:cs="Times New Roman"/>
          <w:sz w:val="24"/>
          <w:szCs w:val="24"/>
        </w:rPr>
        <w:t xml:space="preserve"> in </w:t>
      </w:r>
      <w:bookmarkStart w:id="475" w:name="_Hlk518678647"/>
      <w:r w:rsidRPr="0002254F">
        <w:rPr>
          <w:rFonts w:ascii="Times New Roman" w:hAnsi="Times New Roman" w:cs="Times New Roman"/>
          <w:i/>
          <w:sz w:val="24"/>
          <w:szCs w:val="24"/>
        </w:rPr>
        <w:t>Archuleta v. Carbon County School Dist. No. 1</w:t>
      </w:r>
      <w:bookmarkEnd w:id="475"/>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41"/>
      </w:r>
      <w:r>
        <w:rPr>
          <w:rFonts w:ascii="Times New Roman" w:hAnsi="Times New Roman" w:cs="Times New Roman"/>
          <w:sz w:val="24"/>
          <w:szCs w:val="24"/>
        </w:rPr>
        <w:t xml:space="preserve"> In </w:t>
      </w:r>
      <w:r w:rsidRPr="0002254F">
        <w:rPr>
          <w:rFonts w:ascii="Times New Roman" w:hAnsi="Times New Roman" w:cs="Times New Roman"/>
          <w:i/>
          <w:sz w:val="24"/>
          <w:szCs w:val="24"/>
        </w:rPr>
        <w:t>Archuleta</w:t>
      </w:r>
      <w:r>
        <w:rPr>
          <w:rFonts w:ascii="Times New Roman" w:hAnsi="Times New Roman" w:cs="Times New Roman"/>
          <w:sz w:val="24"/>
          <w:szCs w:val="24"/>
        </w:rPr>
        <w:t xml:space="preserve">, </w:t>
      </w:r>
      <w:r w:rsidRPr="0002254F">
        <w:rPr>
          <w:rFonts w:ascii="Times New Roman" w:hAnsi="Times New Roman" w:cs="Times New Roman"/>
          <w:sz w:val="24"/>
          <w:szCs w:val="24"/>
        </w:rPr>
        <w:t xml:space="preserve">a </w:t>
      </w:r>
      <w:r>
        <w:rPr>
          <w:rFonts w:ascii="Times New Roman" w:hAnsi="Times New Roman" w:cs="Times New Roman"/>
          <w:sz w:val="24"/>
          <w:szCs w:val="24"/>
        </w:rPr>
        <w:t xml:space="preserve">school district </w:t>
      </w:r>
      <w:r w:rsidRPr="0002254F">
        <w:rPr>
          <w:rFonts w:ascii="Times New Roman" w:hAnsi="Times New Roman" w:cs="Times New Roman"/>
          <w:sz w:val="24"/>
          <w:szCs w:val="24"/>
        </w:rPr>
        <w:t>custodian</w:t>
      </w:r>
      <w:r>
        <w:rPr>
          <w:rFonts w:ascii="Times New Roman" w:hAnsi="Times New Roman" w:cs="Times New Roman"/>
          <w:sz w:val="24"/>
          <w:szCs w:val="24"/>
        </w:rPr>
        <w:t xml:space="preserve"> was killed when he drove his pickup truck into a light pole in the parking lot of</w:t>
      </w:r>
      <w:r w:rsidRPr="0002254F">
        <w:rPr>
          <w:rFonts w:ascii="Times New Roman" w:hAnsi="Times New Roman" w:cs="Times New Roman"/>
          <w:sz w:val="24"/>
          <w:szCs w:val="24"/>
        </w:rPr>
        <w:t xml:space="preserve"> Rawlins High School</w:t>
      </w:r>
      <w:r>
        <w:rPr>
          <w:rFonts w:ascii="Times New Roman" w:hAnsi="Times New Roman" w:cs="Times New Roman"/>
          <w:sz w:val="24"/>
          <w:szCs w:val="24"/>
        </w:rPr>
        <w:t>, apparently during snowy weather.</w:t>
      </w:r>
      <w:r w:rsidRPr="00112C9C">
        <w:rPr>
          <w:rFonts w:ascii="Times New Roman" w:hAnsi="Times New Roman" w:cs="Times New Roman"/>
          <w:sz w:val="24"/>
          <w:szCs w:val="24"/>
          <w:vertAlign w:val="superscript"/>
        </w:rPr>
        <w:footnoteReference w:id="342"/>
      </w:r>
      <w:r>
        <w:rPr>
          <w:rFonts w:ascii="Times New Roman" w:hAnsi="Times New Roman" w:cs="Times New Roman"/>
          <w:sz w:val="24"/>
          <w:szCs w:val="24"/>
        </w:rPr>
        <w:t xml:space="preserve"> The school district argued that the custodian’s claim was not compensable because he was not in the scope of employment. In disagreement, the Wyoming Supreme Court formally adopted the premises rule: </w:t>
      </w:r>
    </w:p>
    <w:p w14:paraId="219D073A" w14:textId="77777777" w:rsidR="00FF7482" w:rsidRDefault="00FF7482" w:rsidP="00195968">
      <w:pPr>
        <w:pStyle w:val="ListParagraph"/>
        <w:ind w:left="0" w:firstLine="720"/>
        <w:jc w:val="both"/>
        <w:rPr>
          <w:rFonts w:ascii="Times New Roman" w:hAnsi="Times New Roman" w:cs="Times New Roman"/>
          <w:sz w:val="24"/>
          <w:szCs w:val="24"/>
        </w:rPr>
      </w:pPr>
    </w:p>
    <w:p w14:paraId="3619526B" w14:textId="50916446" w:rsidR="00FF7482" w:rsidRDefault="00FF7482" w:rsidP="00D57F28">
      <w:pPr>
        <w:pStyle w:val="ListParagraph"/>
        <w:ind w:right="720"/>
        <w:jc w:val="both"/>
        <w:rPr>
          <w:rFonts w:ascii="Times New Roman" w:hAnsi="Times New Roman" w:cs="Times New Roman"/>
          <w:sz w:val="24"/>
          <w:szCs w:val="24"/>
        </w:rPr>
      </w:pPr>
      <w:r w:rsidRPr="00D41C46">
        <w:rPr>
          <w:rFonts w:ascii="Times New Roman" w:hAnsi="Times New Roman" w:cs="Times New Roman"/>
          <w:sz w:val="24"/>
          <w:szCs w:val="24"/>
        </w:rPr>
        <w:t>A trend toward adoption of a premises rule, insofar as it creates a rebuttable presumption of causal connection, has been foreshadowed by a number of our prior decisions</w:t>
      </w:r>
      <w:r>
        <w:rPr>
          <w:rFonts w:ascii="Times New Roman" w:hAnsi="Times New Roman" w:cs="Times New Roman"/>
          <w:sz w:val="24"/>
          <w:szCs w:val="24"/>
        </w:rPr>
        <w:t xml:space="preserve">. </w:t>
      </w:r>
      <w:r w:rsidRPr="00D41C46">
        <w:rPr>
          <w:rFonts w:ascii="Times New Roman" w:hAnsi="Times New Roman" w:cs="Times New Roman"/>
          <w:sz w:val="24"/>
          <w:szCs w:val="24"/>
        </w:rPr>
        <w:t>We have held, for instance, that “acts necessary to the life, comfort, or convenience of an employee while at work are incidental to the service, and an injury occurring while in the performance of such acts may be compensable.”</w:t>
      </w:r>
      <w:r>
        <w:rPr>
          <w:rFonts w:ascii="Times New Roman" w:hAnsi="Times New Roman" w:cs="Times New Roman"/>
          <w:sz w:val="24"/>
          <w:szCs w:val="24"/>
        </w:rPr>
        <w:t xml:space="preserve"> . . . </w:t>
      </w:r>
      <w:r w:rsidRPr="00D41C46">
        <w:rPr>
          <w:rFonts w:ascii="Times New Roman" w:hAnsi="Times New Roman" w:cs="Times New Roman"/>
          <w:sz w:val="24"/>
          <w:szCs w:val="24"/>
        </w:rPr>
        <w:t>We have implicitly accepted the proposition that a causal relation exists between an injury and the employment where an employee is hurt during such diverse activities as using a bathroom on his employer</w:t>
      </w:r>
      <w:r>
        <w:rPr>
          <w:rFonts w:ascii="Times New Roman" w:hAnsi="Times New Roman" w:cs="Times New Roman"/>
          <w:sz w:val="24"/>
          <w:szCs w:val="24"/>
        </w:rPr>
        <w:t>’</w:t>
      </w:r>
      <w:r w:rsidRPr="00D41C46">
        <w:rPr>
          <w:rFonts w:ascii="Times New Roman" w:hAnsi="Times New Roman" w:cs="Times New Roman"/>
          <w:sz w:val="24"/>
          <w:szCs w:val="24"/>
        </w:rPr>
        <w:t>s premises or while taking lunch or coffee breaks in an area provided by the employer. It is a logical progression now to extend that proposition to such necessary incidents of the employee</w:t>
      </w:r>
      <w:r>
        <w:rPr>
          <w:rFonts w:ascii="Times New Roman" w:hAnsi="Times New Roman" w:cs="Times New Roman"/>
          <w:sz w:val="24"/>
          <w:szCs w:val="24"/>
        </w:rPr>
        <w:t>’</w:t>
      </w:r>
      <w:r w:rsidRPr="00D41C46">
        <w:rPr>
          <w:rFonts w:ascii="Times New Roman" w:hAnsi="Times New Roman" w:cs="Times New Roman"/>
          <w:sz w:val="24"/>
          <w:szCs w:val="24"/>
        </w:rPr>
        <w:t>s service as punching a time clock or entering and leaving the employer</w:t>
      </w:r>
      <w:r>
        <w:rPr>
          <w:rFonts w:ascii="Times New Roman" w:hAnsi="Times New Roman" w:cs="Times New Roman"/>
          <w:sz w:val="24"/>
          <w:szCs w:val="24"/>
        </w:rPr>
        <w:t>’</w:t>
      </w:r>
      <w:r w:rsidRPr="00D41C46">
        <w:rPr>
          <w:rFonts w:ascii="Times New Roman" w:hAnsi="Times New Roman" w:cs="Times New Roman"/>
          <w:sz w:val="24"/>
          <w:szCs w:val="24"/>
        </w:rPr>
        <w:t>s premises during those periods immediately before and after work. Indeed, we have previously upheld a worker's compensation claim for an injury arising from a dangerous condition on the employer's premises even though the claimant, at the time of the injury, had completed his daily shift and had finished filling out his time card</w:t>
      </w:r>
      <w:r>
        <w:rPr>
          <w:rFonts w:ascii="Times New Roman" w:hAnsi="Times New Roman" w:cs="Times New Roman"/>
          <w:sz w:val="24"/>
          <w:szCs w:val="24"/>
        </w:rPr>
        <w:t xml:space="preserve">. . . . </w:t>
      </w:r>
      <w:r w:rsidRPr="00D41C46">
        <w:rPr>
          <w:rFonts w:ascii="Times New Roman" w:hAnsi="Times New Roman" w:cs="Times New Roman"/>
          <w:sz w:val="24"/>
          <w:szCs w:val="24"/>
        </w:rPr>
        <w:t xml:space="preserve">We have also recognized that injuries occurring after an employee has quit or has been fired are compensable if they occur while he is in the process of winding </w:t>
      </w:r>
      <w:r w:rsidRPr="00D41C46">
        <w:rPr>
          <w:rFonts w:ascii="Times New Roman" w:hAnsi="Times New Roman" w:cs="Times New Roman"/>
          <w:sz w:val="24"/>
          <w:szCs w:val="24"/>
        </w:rPr>
        <w:lastRenderedPageBreak/>
        <w:t>up his affairs and leaving the premises if they occur within a reasonable time after his termination</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43"/>
      </w:r>
    </w:p>
    <w:p w14:paraId="66125F9B" w14:textId="69EAB531" w:rsidR="00FF7482" w:rsidRDefault="00FF7482" w:rsidP="00D41C46">
      <w:pPr>
        <w:pStyle w:val="ListParagraph"/>
        <w:ind w:right="720"/>
        <w:jc w:val="both"/>
        <w:rPr>
          <w:rFonts w:ascii="Times New Roman" w:hAnsi="Times New Roman" w:cs="Times New Roman"/>
          <w:sz w:val="24"/>
          <w:szCs w:val="24"/>
        </w:rPr>
      </w:pPr>
    </w:p>
    <w:p w14:paraId="6DC24A1B" w14:textId="6620520B" w:rsidR="00FF7482" w:rsidRDefault="00FF7482" w:rsidP="00D57F28">
      <w:pPr>
        <w:pStyle w:val="ListParagraph"/>
        <w:ind w:left="0"/>
        <w:jc w:val="both"/>
        <w:rPr>
          <w:rFonts w:ascii="Times New Roman" w:hAnsi="Times New Roman" w:cs="Times New Roman"/>
          <w:sz w:val="24"/>
          <w:szCs w:val="24"/>
        </w:rPr>
      </w:pPr>
      <w:r>
        <w:rPr>
          <w:rFonts w:ascii="Times New Roman" w:hAnsi="Times New Roman" w:cs="Times New Roman"/>
          <w:sz w:val="24"/>
          <w:szCs w:val="24"/>
        </w:rPr>
        <w:t>Finding little difference between the case before it and prior cases of the kind it had discussed in which it had awarded benefits, the Court reversed the denial of the claim below.</w:t>
      </w:r>
      <w:r w:rsidRPr="00112C9C">
        <w:rPr>
          <w:rFonts w:ascii="Times New Roman" w:hAnsi="Times New Roman" w:cs="Times New Roman"/>
          <w:sz w:val="24"/>
          <w:szCs w:val="24"/>
          <w:vertAlign w:val="superscript"/>
        </w:rPr>
        <w:footnoteReference w:id="344"/>
      </w:r>
      <w:r>
        <w:rPr>
          <w:rFonts w:ascii="Times New Roman" w:hAnsi="Times New Roman" w:cs="Times New Roman"/>
          <w:sz w:val="24"/>
          <w:szCs w:val="24"/>
        </w:rPr>
        <w:t xml:space="preserve"> </w:t>
      </w:r>
    </w:p>
    <w:p w14:paraId="090CC131" w14:textId="77777777" w:rsidR="00FF7482" w:rsidRDefault="00FF7482" w:rsidP="001F02A9">
      <w:pPr>
        <w:pStyle w:val="ListParagraph"/>
        <w:ind w:left="0" w:firstLine="720"/>
        <w:jc w:val="both"/>
        <w:rPr>
          <w:rFonts w:ascii="Times New Roman" w:hAnsi="Times New Roman" w:cs="Times New Roman"/>
          <w:sz w:val="24"/>
          <w:szCs w:val="24"/>
        </w:rPr>
      </w:pPr>
    </w:p>
    <w:p w14:paraId="6C360A9D" w14:textId="51AA2AB1" w:rsidR="00FF7482" w:rsidRDefault="00FF7482" w:rsidP="00C35314">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The precise rule articulated by the Court was that</w:t>
      </w:r>
      <w:r w:rsidRPr="00EA71D8">
        <w:rPr>
          <w:rFonts w:ascii="Times New Roman" w:hAnsi="Times New Roman" w:cs="Times New Roman"/>
          <w:sz w:val="24"/>
          <w:szCs w:val="24"/>
        </w:rPr>
        <w:t xml:space="preserve"> </w:t>
      </w:r>
      <w:r w:rsidRPr="001F02A9">
        <w:rPr>
          <w:rFonts w:ascii="Times New Roman" w:hAnsi="Times New Roman" w:cs="Times New Roman"/>
          <w:b/>
          <w:sz w:val="24"/>
          <w:szCs w:val="24"/>
          <w:u w:val="single"/>
        </w:rPr>
        <w:t>a rebuttable presumption of a causal nexus between injury and employment is created where an employee has fixed hours and a fixed place of employment, and establishes that an accident occurred on the employer's premises</w:t>
      </w:r>
      <w:r w:rsidRPr="00EA71D8">
        <w:rPr>
          <w:rFonts w:ascii="Times New Roman" w:hAnsi="Times New Roman" w:cs="Times New Roman"/>
          <w:b/>
          <w:sz w:val="24"/>
          <w:szCs w:val="24"/>
        </w:rPr>
        <w:t>.</w:t>
      </w:r>
      <w:r w:rsidRPr="00112C9C">
        <w:rPr>
          <w:rFonts w:ascii="Times New Roman" w:hAnsi="Times New Roman" w:cs="Times New Roman"/>
          <w:sz w:val="24"/>
          <w:szCs w:val="24"/>
          <w:vertAlign w:val="superscript"/>
        </w:rPr>
        <w:footnoteReference w:id="345"/>
      </w:r>
      <w:r>
        <w:rPr>
          <w:rFonts w:ascii="Times New Roman" w:hAnsi="Times New Roman" w:cs="Times New Roman"/>
          <w:b/>
          <w:sz w:val="24"/>
          <w:szCs w:val="24"/>
        </w:rPr>
        <w:t xml:space="preserve"> </w:t>
      </w:r>
      <w:r w:rsidRPr="00EA71D8">
        <w:rPr>
          <w:rFonts w:ascii="Times New Roman" w:hAnsi="Times New Roman" w:cs="Times New Roman"/>
          <w:b/>
          <w:sz w:val="24"/>
          <w:szCs w:val="24"/>
        </w:rPr>
        <w:t xml:space="preserve">Under the rule, </w:t>
      </w:r>
      <w:r w:rsidRPr="001F02A9">
        <w:rPr>
          <w:rFonts w:ascii="Times New Roman" w:hAnsi="Times New Roman" w:cs="Times New Roman"/>
          <w:b/>
          <w:sz w:val="24"/>
          <w:szCs w:val="24"/>
          <w:u w:val="single"/>
        </w:rPr>
        <w:t>once the employee makes a showing that the injury occurred on the work premises, the burden shifts to the Division (or employer) to present evidence that the injury was not work</w:t>
      </w:r>
      <w:r w:rsidR="00925BE4">
        <w:rPr>
          <w:rFonts w:ascii="Times New Roman" w:hAnsi="Times New Roman" w:cs="Times New Roman"/>
          <w:b/>
          <w:sz w:val="24"/>
          <w:szCs w:val="24"/>
          <w:u w:val="single"/>
        </w:rPr>
        <w:t>-</w:t>
      </w:r>
      <w:r w:rsidRPr="001F02A9">
        <w:rPr>
          <w:rFonts w:ascii="Times New Roman" w:hAnsi="Times New Roman" w:cs="Times New Roman"/>
          <w:b/>
          <w:sz w:val="24"/>
          <w:szCs w:val="24"/>
          <w:u w:val="single"/>
        </w:rPr>
        <w:t>related</w:t>
      </w:r>
      <w:r w:rsidRPr="00181977">
        <w:rPr>
          <w:rFonts w:ascii="Times New Roman" w:hAnsi="Times New Roman" w:cs="Times New Roman"/>
          <w:bCs/>
          <w:sz w:val="24"/>
          <w:szCs w:val="24"/>
        </w:rPr>
        <w:t>.</w:t>
      </w:r>
      <w:r w:rsidRPr="00112C9C">
        <w:rPr>
          <w:rFonts w:ascii="Times New Roman" w:hAnsi="Times New Roman" w:cs="Times New Roman"/>
          <w:sz w:val="24"/>
          <w:szCs w:val="24"/>
          <w:vertAlign w:val="superscript"/>
        </w:rPr>
        <w:footnoteReference w:id="346"/>
      </w:r>
    </w:p>
    <w:p w14:paraId="6C37EFF0" w14:textId="38FCC7EB" w:rsidR="00FF7482" w:rsidRDefault="00FF7482" w:rsidP="001F02A9">
      <w:pPr>
        <w:pStyle w:val="ListParagraph"/>
        <w:ind w:left="0" w:firstLine="720"/>
        <w:jc w:val="both"/>
        <w:rPr>
          <w:rFonts w:ascii="Times New Roman" w:hAnsi="Times New Roman" w:cs="Times New Roman"/>
          <w:sz w:val="24"/>
          <w:szCs w:val="24"/>
        </w:rPr>
      </w:pPr>
    </w:p>
    <w:p w14:paraId="2039C39A" w14:textId="41AD3918" w:rsidR="00FF7482" w:rsidRDefault="00FF7482" w:rsidP="005726AC">
      <w:pPr>
        <w:pStyle w:val="ListParagraph"/>
        <w:ind w:left="0"/>
        <w:jc w:val="both"/>
        <w:rPr>
          <w:rFonts w:ascii="Times New Roman" w:hAnsi="Times New Roman" w:cs="Times New Roman"/>
          <w:sz w:val="24"/>
          <w:szCs w:val="24"/>
        </w:rPr>
      </w:pPr>
      <w:r>
        <w:rPr>
          <w:rFonts w:ascii="Times New Roman" w:hAnsi="Times New Roman" w:cs="Times New Roman"/>
          <w:b/>
          <w:sz w:val="24"/>
          <w:szCs w:val="24"/>
          <w:u w:val="single"/>
        </w:rPr>
        <w:t>T</w:t>
      </w:r>
      <w:r w:rsidRPr="00683B02">
        <w:rPr>
          <w:rFonts w:ascii="Times New Roman" w:hAnsi="Times New Roman" w:cs="Times New Roman"/>
          <w:b/>
          <w:sz w:val="24"/>
          <w:szCs w:val="24"/>
          <w:u w:val="single"/>
        </w:rPr>
        <w:t xml:space="preserve">he </w:t>
      </w:r>
      <w:r w:rsidR="005E5285">
        <w:rPr>
          <w:rFonts w:ascii="Times New Roman" w:hAnsi="Times New Roman" w:cs="Times New Roman"/>
          <w:b/>
          <w:sz w:val="24"/>
          <w:szCs w:val="24"/>
          <w:u w:val="single"/>
        </w:rPr>
        <w:t>p</w:t>
      </w:r>
      <w:r w:rsidRPr="00683B02">
        <w:rPr>
          <w:rFonts w:ascii="Times New Roman" w:hAnsi="Times New Roman" w:cs="Times New Roman"/>
          <w:b/>
          <w:sz w:val="24"/>
          <w:szCs w:val="24"/>
          <w:u w:val="single"/>
        </w:rPr>
        <w:t xml:space="preserve">ersonal </w:t>
      </w:r>
      <w:r w:rsidR="005E5285">
        <w:rPr>
          <w:rFonts w:ascii="Times New Roman" w:hAnsi="Times New Roman" w:cs="Times New Roman"/>
          <w:b/>
          <w:sz w:val="24"/>
          <w:szCs w:val="24"/>
          <w:u w:val="single"/>
        </w:rPr>
        <w:t>c</w:t>
      </w:r>
      <w:r w:rsidRPr="00683B02">
        <w:rPr>
          <w:rFonts w:ascii="Times New Roman" w:hAnsi="Times New Roman" w:cs="Times New Roman"/>
          <w:b/>
          <w:sz w:val="24"/>
          <w:szCs w:val="24"/>
          <w:u w:val="single"/>
        </w:rPr>
        <w:t>omfort Doctrine has</w:t>
      </w:r>
      <w:r>
        <w:rPr>
          <w:rFonts w:ascii="Times New Roman" w:hAnsi="Times New Roman" w:cs="Times New Roman"/>
          <w:b/>
          <w:sz w:val="24"/>
          <w:szCs w:val="24"/>
          <w:u w:val="single"/>
        </w:rPr>
        <w:t xml:space="preserve"> also</w:t>
      </w:r>
      <w:r w:rsidRPr="00683B02">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apparently </w:t>
      </w:r>
      <w:r w:rsidRPr="00683B02">
        <w:rPr>
          <w:rFonts w:ascii="Times New Roman" w:hAnsi="Times New Roman" w:cs="Times New Roman"/>
          <w:b/>
          <w:sz w:val="24"/>
          <w:szCs w:val="24"/>
          <w:u w:val="single"/>
        </w:rPr>
        <w:t>been adopted in Wyoming</w:t>
      </w:r>
      <w:r>
        <w:rPr>
          <w:rFonts w:ascii="Times New Roman" w:hAnsi="Times New Roman" w:cs="Times New Roman"/>
          <w:sz w:val="24"/>
          <w:szCs w:val="24"/>
        </w:rPr>
        <w:t xml:space="preserve">. In </w:t>
      </w:r>
      <w:r w:rsidRPr="00683B02">
        <w:rPr>
          <w:rFonts w:ascii="Times New Roman" w:hAnsi="Times New Roman" w:cs="Times New Roman"/>
          <w:i/>
          <w:sz w:val="24"/>
          <w:szCs w:val="24"/>
        </w:rPr>
        <w:t>Rocky Mountain Tank &amp; Steel Co</w:t>
      </w:r>
      <w:r>
        <w:rPr>
          <w:rFonts w:ascii="Times New Roman" w:hAnsi="Times New Roman" w:cs="Times New Roman"/>
          <w:sz w:val="24"/>
          <w:szCs w:val="24"/>
        </w:rPr>
        <w:t xml:space="preserve">. </w:t>
      </w:r>
      <w:r w:rsidRPr="006B2167">
        <w:rPr>
          <w:rFonts w:ascii="Times New Roman" w:hAnsi="Times New Roman" w:cs="Times New Roman"/>
          <w:i/>
          <w:iCs/>
          <w:sz w:val="24"/>
          <w:szCs w:val="24"/>
        </w:rPr>
        <w:t>v. Rager</w:t>
      </w:r>
      <w:r>
        <w:rPr>
          <w:rFonts w:ascii="Times New Roman" w:hAnsi="Times New Roman" w:cs="Times New Roman"/>
          <w:sz w:val="24"/>
          <w:szCs w:val="24"/>
        </w:rPr>
        <w:t xml:space="preserve">, the Wyoming Supreme Court stated, </w:t>
      </w:r>
    </w:p>
    <w:p w14:paraId="3980DE2B" w14:textId="77777777" w:rsidR="00FF7482" w:rsidRDefault="00FF7482" w:rsidP="001F02A9">
      <w:pPr>
        <w:pStyle w:val="ListParagraph"/>
        <w:ind w:left="0" w:firstLine="720"/>
        <w:jc w:val="both"/>
        <w:rPr>
          <w:rFonts w:ascii="Times New Roman" w:hAnsi="Times New Roman" w:cs="Times New Roman"/>
          <w:sz w:val="24"/>
          <w:szCs w:val="24"/>
        </w:rPr>
      </w:pPr>
    </w:p>
    <w:p w14:paraId="548E546B" w14:textId="59DD1BDE" w:rsidR="00FF7482" w:rsidRDefault="00FF7482" w:rsidP="00D57F28">
      <w:pPr>
        <w:pStyle w:val="ListParagraph"/>
        <w:ind w:right="720"/>
        <w:jc w:val="both"/>
        <w:rPr>
          <w:rFonts w:ascii="Times New Roman" w:hAnsi="Times New Roman" w:cs="Times New Roman"/>
          <w:sz w:val="24"/>
          <w:szCs w:val="24"/>
        </w:rPr>
      </w:pPr>
      <w:r w:rsidRPr="00683B02">
        <w:rPr>
          <w:rFonts w:ascii="Times New Roman" w:hAnsi="Times New Roman" w:cs="Times New Roman"/>
          <w:sz w:val="24"/>
          <w:szCs w:val="24"/>
        </w:rPr>
        <w:t xml:space="preserve">As we indicated earlier, the question of responsibility under the Workmen's Compensation Law for injury </w:t>
      </w:r>
      <w:r w:rsidRPr="00683B02">
        <w:rPr>
          <w:rFonts w:ascii="Times New Roman" w:hAnsi="Times New Roman" w:cs="Times New Roman"/>
          <w:b/>
          <w:sz w:val="24"/>
          <w:szCs w:val="24"/>
        </w:rPr>
        <w:t>during times of rest and the like</w:t>
      </w:r>
      <w:r w:rsidRPr="00683B02">
        <w:rPr>
          <w:rFonts w:ascii="Times New Roman" w:hAnsi="Times New Roman" w:cs="Times New Roman"/>
          <w:sz w:val="24"/>
          <w:szCs w:val="24"/>
        </w:rPr>
        <w:t xml:space="preserve"> is one which is indeed difficult and cannot be categorically resolved; but in general, it is said that acts necessary to the </w:t>
      </w:r>
      <w:r w:rsidRPr="00683B02">
        <w:rPr>
          <w:rFonts w:ascii="Times New Roman" w:hAnsi="Times New Roman" w:cs="Times New Roman"/>
          <w:b/>
          <w:sz w:val="24"/>
          <w:szCs w:val="24"/>
        </w:rPr>
        <w:t>life, comfort, or convenience</w:t>
      </w:r>
      <w:r w:rsidRPr="00683B02">
        <w:rPr>
          <w:rFonts w:ascii="Times New Roman" w:hAnsi="Times New Roman" w:cs="Times New Roman"/>
          <w:sz w:val="24"/>
          <w:szCs w:val="24"/>
        </w:rPr>
        <w:t xml:space="preserve"> of an employee while at work are incidental to the service, and an injury occurring while in the performance of such acts may be compensable. Of course, this principle can be applied only restrictively and in the light of facts and circumstances ar</w:t>
      </w:r>
      <w:r>
        <w:rPr>
          <w:rFonts w:ascii="Times New Roman" w:hAnsi="Times New Roman" w:cs="Times New Roman"/>
          <w:sz w:val="24"/>
          <w:szCs w:val="24"/>
        </w:rPr>
        <w:t>i</w:t>
      </w:r>
      <w:r w:rsidRPr="00683B02">
        <w:rPr>
          <w:rFonts w:ascii="Times New Roman" w:hAnsi="Times New Roman" w:cs="Times New Roman"/>
          <w:sz w:val="24"/>
          <w:szCs w:val="24"/>
        </w:rPr>
        <w:t>sing in any given instance.</w:t>
      </w:r>
      <w:r w:rsidRPr="00112C9C">
        <w:rPr>
          <w:rFonts w:ascii="Times New Roman" w:hAnsi="Times New Roman" w:cs="Times New Roman"/>
          <w:sz w:val="24"/>
          <w:szCs w:val="24"/>
          <w:vertAlign w:val="superscript"/>
        </w:rPr>
        <w:footnoteReference w:id="347"/>
      </w:r>
    </w:p>
    <w:p w14:paraId="0782BF13" w14:textId="77777777" w:rsidR="00FF7482" w:rsidRDefault="00FF7482" w:rsidP="00683B02">
      <w:pPr>
        <w:pStyle w:val="ListParagraph"/>
        <w:ind w:left="0" w:right="720"/>
        <w:jc w:val="both"/>
        <w:rPr>
          <w:rFonts w:ascii="Times New Roman" w:hAnsi="Times New Roman" w:cs="Times New Roman"/>
          <w:sz w:val="24"/>
          <w:szCs w:val="24"/>
        </w:rPr>
      </w:pPr>
    </w:p>
    <w:p w14:paraId="27F17CB7" w14:textId="0BFFC80E" w:rsidR="00FF7482" w:rsidRDefault="00FF7482" w:rsidP="00D116B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Court in </w:t>
      </w:r>
      <w:r w:rsidRPr="00683B02">
        <w:rPr>
          <w:rFonts w:ascii="Times New Roman" w:hAnsi="Times New Roman" w:cs="Times New Roman"/>
          <w:i/>
          <w:sz w:val="24"/>
          <w:szCs w:val="24"/>
        </w:rPr>
        <w:t>Archuleta v. Carbon County School Dist. No. 1</w:t>
      </w:r>
      <w:r>
        <w:rPr>
          <w:rFonts w:ascii="Times New Roman" w:hAnsi="Times New Roman" w:cs="Times New Roman"/>
          <w:sz w:val="24"/>
          <w:szCs w:val="24"/>
        </w:rPr>
        <w:t xml:space="preserve"> cited this passage with approval and arguably adopted it. The best evidence that the rule has been firmly embraced may be the language of the current statute. Injury is defined in </w:t>
      </w:r>
      <w:r w:rsidRPr="00BE237A">
        <w:rPr>
          <w:rFonts w:ascii="Times New Roman" w:hAnsi="Times New Roman" w:cs="Times New Roman"/>
          <w:sz w:val="24"/>
          <w:szCs w:val="24"/>
        </w:rPr>
        <w:t xml:space="preserve">W.S. § </w:t>
      </w:r>
      <w:hyperlink r:id="rId72" w:history="1">
        <w:r w:rsidRPr="00BE237A">
          <w:rPr>
            <w:rStyle w:val="Hyperlink"/>
            <w:rFonts w:ascii="Times New Roman" w:hAnsi="Times New Roman" w:cs="Times New Roman"/>
            <w:sz w:val="24"/>
            <w:szCs w:val="24"/>
          </w:rPr>
          <w:t>27-14-102</w:t>
        </w:r>
      </w:hyperlink>
      <w:r>
        <w:rPr>
          <w:rFonts w:ascii="Times New Roman" w:hAnsi="Times New Roman" w:cs="Times New Roman"/>
          <w:sz w:val="24"/>
          <w:szCs w:val="24"/>
        </w:rPr>
        <w:t>(xi) as “</w:t>
      </w:r>
      <w:r w:rsidRPr="00683B02">
        <w:rPr>
          <w:rFonts w:ascii="Times New Roman" w:hAnsi="Times New Roman" w:cs="Times New Roman"/>
          <w:sz w:val="24"/>
          <w:szCs w:val="24"/>
        </w:rPr>
        <w:t>any harmful change in the human organism</w:t>
      </w:r>
      <w:r>
        <w:rPr>
          <w:rFonts w:ascii="Times New Roman" w:hAnsi="Times New Roman" w:cs="Times New Roman"/>
          <w:sz w:val="24"/>
          <w:szCs w:val="24"/>
        </w:rPr>
        <w:t xml:space="preserve"> . . . </w:t>
      </w:r>
      <w:r w:rsidRPr="00683B02">
        <w:rPr>
          <w:rFonts w:ascii="Times New Roman" w:hAnsi="Times New Roman" w:cs="Times New Roman"/>
          <w:sz w:val="24"/>
          <w:szCs w:val="24"/>
        </w:rPr>
        <w:t xml:space="preserve">arising out of and in the course of employment </w:t>
      </w:r>
      <w:r w:rsidRPr="00863380">
        <w:rPr>
          <w:rFonts w:ascii="Times New Roman" w:hAnsi="Times New Roman" w:cs="Times New Roman"/>
          <w:b/>
          <w:sz w:val="24"/>
          <w:szCs w:val="24"/>
        </w:rPr>
        <w:t>while at work in or about the premises occupied</w:t>
      </w:r>
      <w:r w:rsidRPr="00683B02">
        <w:rPr>
          <w:rFonts w:ascii="Times New Roman" w:hAnsi="Times New Roman" w:cs="Times New Roman"/>
          <w:sz w:val="24"/>
          <w:szCs w:val="24"/>
        </w:rPr>
        <w:t xml:space="preserve">, </w:t>
      </w:r>
      <w:r w:rsidRPr="00863380">
        <w:rPr>
          <w:rFonts w:ascii="Times New Roman" w:hAnsi="Times New Roman" w:cs="Times New Roman"/>
          <w:b/>
          <w:sz w:val="24"/>
          <w:szCs w:val="24"/>
        </w:rPr>
        <w:t>used or controlled by the employer and incurred while at work in places where the employer's business requires an employee's presence and which subjects the employee to extrahazardous duties incident to the business</w:t>
      </w:r>
      <w:r w:rsidRPr="00683B02">
        <w:rPr>
          <w:rFonts w:ascii="Times New Roman" w:hAnsi="Times New Roman" w:cs="Times New Roman"/>
          <w:sz w:val="24"/>
          <w:szCs w:val="24"/>
        </w:rPr>
        <w:t>.</w:t>
      </w:r>
      <w:r>
        <w:rPr>
          <w:rFonts w:ascii="Times New Roman" w:hAnsi="Times New Roman" w:cs="Times New Roman"/>
          <w:sz w:val="24"/>
          <w:szCs w:val="24"/>
        </w:rPr>
        <w:t xml:space="preserve"> Thus, if the harmful </w:t>
      </w:r>
      <w:r w:rsidRPr="00D116FC">
        <w:rPr>
          <w:rFonts w:ascii="Times New Roman" w:hAnsi="Times New Roman" w:cs="Times New Roman"/>
          <w:i/>
          <w:iCs/>
          <w:sz w:val="24"/>
          <w:szCs w:val="24"/>
        </w:rPr>
        <w:t>change</w:t>
      </w:r>
      <w:r>
        <w:rPr>
          <w:rFonts w:ascii="Times New Roman" w:hAnsi="Times New Roman" w:cs="Times New Roman"/>
          <w:sz w:val="24"/>
          <w:szCs w:val="24"/>
        </w:rPr>
        <w:t xml:space="preserve"> to the claimant occurs:</w:t>
      </w:r>
    </w:p>
    <w:p w14:paraId="61B594A3" w14:textId="0E142EB9" w:rsidR="00FF7482" w:rsidRDefault="00FF7482" w:rsidP="00683B02">
      <w:pPr>
        <w:pStyle w:val="ListParagraph"/>
        <w:ind w:left="0" w:right="720"/>
        <w:jc w:val="both"/>
        <w:rPr>
          <w:rFonts w:ascii="Times New Roman" w:hAnsi="Times New Roman" w:cs="Times New Roman"/>
          <w:sz w:val="24"/>
          <w:szCs w:val="24"/>
        </w:rPr>
      </w:pPr>
    </w:p>
    <w:p w14:paraId="37512C33" w14:textId="2DC32ABC" w:rsidR="00FF7482" w:rsidRDefault="00FF7482" w:rsidP="00D57F28">
      <w:pPr>
        <w:pStyle w:val="ListParagraph"/>
        <w:numPr>
          <w:ilvl w:val="0"/>
          <w:numId w:val="4"/>
        </w:numPr>
        <w:ind w:right="720"/>
        <w:contextualSpacing w:val="0"/>
        <w:jc w:val="both"/>
        <w:rPr>
          <w:rFonts w:ascii="Times New Roman" w:hAnsi="Times New Roman" w:cs="Times New Roman"/>
          <w:sz w:val="24"/>
          <w:szCs w:val="24"/>
        </w:rPr>
      </w:pPr>
      <w:r w:rsidRPr="001102AD">
        <w:rPr>
          <w:rFonts w:ascii="Times New Roman" w:hAnsi="Times New Roman" w:cs="Times New Roman"/>
          <w:b/>
          <w:bCs/>
          <w:sz w:val="24"/>
          <w:szCs w:val="24"/>
        </w:rPr>
        <w:lastRenderedPageBreak/>
        <w:t>While at work</w:t>
      </w:r>
      <w:r>
        <w:rPr>
          <w:rFonts w:ascii="Times New Roman" w:hAnsi="Times New Roman" w:cs="Times New Roman"/>
          <w:sz w:val="24"/>
          <w:szCs w:val="24"/>
        </w:rPr>
        <w:t>;</w:t>
      </w:r>
    </w:p>
    <w:p w14:paraId="3AB0C7EC" w14:textId="284DFA11" w:rsidR="00FF7482" w:rsidRDefault="00FF7482" w:rsidP="00D57F28">
      <w:pPr>
        <w:pStyle w:val="ListParagraph"/>
        <w:numPr>
          <w:ilvl w:val="0"/>
          <w:numId w:val="4"/>
        </w:numPr>
        <w:ind w:right="720"/>
        <w:contextualSpacing w:val="0"/>
        <w:jc w:val="both"/>
        <w:rPr>
          <w:rFonts w:ascii="Times New Roman" w:hAnsi="Times New Roman" w:cs="Times New Roman"/>
          <w:sz w:val="24"/>
          <w:szCs w:val="24"/>
        </w:rPr>
      </w:pPr>
      <w:r w:rsidRPr="001102AD">
        <w:rPr>
          <w:rFonts w:ascii="Times New Roman" w:hAnsi="Times New Roman" w:cs="Times New Roman"/>
          <w:b/>
          <w:bCs/>
          <w:sz w:val="24"/>
          <w:szCs w:val="24"/>
        </w:rPr>
        <w:t>In or about the premises</w:t>
      </w:r>
      <w:r>
        <w:rPr>
          <w:rFonts w:ascii="Times New Roman" w:hAnsi="Times New Roman" w:cs="Times New Roman"/>
          <w:sz w:val="24"/>
          <w:szCs w:val="24"/>
        </w:rPr>
        <w:t xml:space="preserve"> occupied, used, or controlled by the employer;</w:t>
      </w:r>
    </w:p>
    <w:p w14:paraId="527F1459" w14:textId="5D0EF579" w:rsidR="00FF7482" w:rsidRDefault="00FF7482" w:rsidP="00D57F28">
      <w:pPr>
        <w:pStyle w:val="ListParagraph"/>
        <w:numPr>
          <w:ilvl w:val="0"/>
          <w:numId w:val="4"/>
        </w:numPr>
        <w:ind w:righ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Is incurred while at work </w:t>
      </w:r>
      <w:r w:rsidRPr="001102AD">
        <w:rPr>
          <w:rFonts w:ascii="Times New Roman" w:hAnsi="Times New Roman" w:cs="Times New Roman"/>
          <w:b/>
          <w:bCs/>
          <w:sz w:val="24"/>
          <w:szCs w:val="24"/>
        </w:rPr>
        <w:t>in places where the employer’s business requires an employee’s presence</w:t>
      </w:r>
      <w:r>
        <w:rPr>
          <w:rFonts w:ascii="Times New Roman" w:hAnsi="Times New Roman" w:cs="Times New Roman"/>
          <w:sz w:val="24"/>
          <w:szCs w:val="24"/>
        </w:rPr>
        <w:t>;</w:t>
      </w:r>
    </w:p>
    <w:p w14:paraId="6BAAF9A9" w14:textId="3815031E" w:rsidR="00FF7482" w:rsidRDefault="00FF7482" w:rsidP="00112C9C">
      <w:pPr>
        <w:pStyle w:val="ListParagraph"/>
        <w:numPr>
          <w:ilvl w:val="0"/>
          <w:numId w:val="4"/>
        </w:numPr>
        <w:spacing w:after="0"/>
        <w:ind w:right="720"/>
        <w:contextualSpacing w:val="0"/>
        <w:jc w:val="both"/>
        <w:rPr>
          <w:rFonts w:ascii="Times New Roman" w:hAnsi="Times New Roman" w:cs="Times New Roman"/>
          <w:sz w:val="24"/>
          <w:szCs w:val="24"/>
        </w:rPr>
      </w:pPr>
      <w:r w:rsidRPr="001102AD">
        <w:rPr>
          <w:rFonts w:ascii="Times New Roman" w:hAnsi="Times New Roman" w:cs="Times New Roman"/>
          <w:b/>
          <w:bCs/>
          <w:sz w:val="24"/>
          <w:szCs w:val="24"/>
        </w:rPr>
        <w:t>The presence subjects the employee to extrahazardous duties</w:t>
      </w:r>
      <w:r>
        <w:rPr>
          <w:rFonts w:ascii="Times New Roman" w:hAnsi="Times New Roman" w:cs="Times New Roman"/>
          <w:sz w:val="24"/>
          <w:szCs w:val="24"/>
        </w:rPr>
        <w:t xml:space="preserve"> incident to the business.</w:t>
      </w:r>
    </w:p>
    <w:p w14:paraId="19257A61" w14:textId="77777777" w:rsidR="00112C9C" w:rsidRPr="00112C9C" w:rsidRDefault="00112C9C" w:rsidP="00112C9C">
      <w:pPr>
        <w:pStyle w:val="ListParagraph"/>
        <w:spacing w:after="0"/>
        <w:ind w:right="720"/>
        <w:contextualSpacing w:val="0"/>
        <w:jc w:val="both"/>
        <w:rPr>
          <w:rFonts w:ascii="Times New Roman" w:hAnsi="Times New Roman" w:cs="Times New Roman"/>
          <w:sz w:val="24"/>
          <w:szCs w:val="24"/>
        </w:rPr>
      </w:pPr>
    </w:p>
    <w:p w14:paraId="28704D93" w14:textId="361C0FBF" w:rsidR="00FF7482" w:rsidRDefault="00FF7482" w:rsidP="00112C9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 . the claimant is covered. This is essentially a codification of the judicially-created premises rule, and it greatly simplifies “in the course of” analyses by, among other things, effectively incorporating the Personal Comfort Doctrine.</w:t>
      </w:r>
    </w:p>
    <w:p w14:paraId="129C2FF4" w14:textId="77777777" w:rsidR="00FF7482" w:rsidRDefault="00FF7482" w:rsidP="00AD1851">
      <w:pPr>
        <w:pStyle w:val="ListParagraph"/>
        <w:spacing w:after="0"/>
        <w:ind w:left="0" w:right="720"/>
        <w:jc w:val="both"/>
        <w:rPr>
          <w:rFonts w:ascii="Times New Roman" w:hAnsi="Times New Roman" w:cs="Times New Roman"/>
          <w:sz w:val="24"/>
          <w:szCs w:val="24"/>
        </w:rPr>
      </w:pPr>
    </w:p>
    <w:p w14:paraId="176F35A1" w14:textId="2DDEC834" w:rsidR="00FF7482" w:rsidRPr="00FB34C7" w:rsidRDefault="00FF7482" w:rsidP="00D57F28">
      <w:pPr>
        <w:pStyle w:val="Heading2"/>
        <w:rPr>
          <w:rFonts w:ascii="Times New Roman" w:hAnsi="Times New Roman" w:cs="Times New Roman"/>
          <w:b/>
          <w:color w:val="auto"/>
        </w:rPr>
      </w:pPr>
      <w:bookmarkStart w:id="484" w:name="_Toc75269381"/>
      <w:bookmarkStart w:id="485" w:name="_Hlk520131023"/>
      <w:r w:rsidRPr="009F4D9B">
        <w:rPr>
          <w:rFonts w:ascii="Times New Roman" w:hAnsi="Times New Roman" w:cs="Times New Roman"/>
          <w:b/>
          <w:color w:val="auto"/>
        </w:rPr>
        <w:t>“In the Course of” in Wyoming – Time, Place, and Circumstances: Travelling Employees</w:t>
      </w:r>
      <w:bookmarkEnd w:id="484"/>
    </w:p>
    <w:bookmarkEnd w:id="485"/>
    <w:p w14:paraId="56B34C21" w14:textId="377C74A4" w:rsidR="00FF7482" w:rsidRDefault="00FF7482" w:rsidP="00CF4B80">
      <w:pPr>
        <w:spacing w:after="0"/>
      </w:pPr>
    </w:p>
    <w:p w14:paraId="6F26603F" w14:textId="6D94E4BB" w:rsidR="00FF7482" w:rsidRDefault="00FF7482" w:rsidP="00C701C1">
      <w:pPr>
        <w:pStyle w:val="ListParagraph"/>
        <w:ind w:left="0"/>
        <w:jc w:val="both"/>
        <w:rPr>
          <w:rFonts w:ascii="Times New Roman" w:hAnsi="Times New Roman" w:cs="Times New Roman"/>
          <w:sz w:val="24"/>
          <w:szCs w:val="24"/>
        </w:rPr>
      </w:pPr>
      <w:r w:rsidRPr="001D7088">
        <w:rPr>
          <w:rFonts w:ascii="Times New Roman" w:hAnsi="Times New Roman" w:cs="Times New Roman"/>
          <w:sz w:val="24"/>
          <w:szCs w:val="24"/>
        </w:rPr>
        <w:t>The immediately preceding discussion applied to employees with fixed places and times of employment.</w:t>
      </w:r>
      <w:r>
        <w:rPr>
          <w:rFonts w:ascii="Times New Roman" w:hAnsi="Times New Roman" w:cs="Times New Roman"/>
          <w:sz w:val="24"/>
          <w:szCs w:val="24"/>
        </w:rPr>
        <w:t xml:space="preserve"> Some employees, however, travel regularly as part of their employment. To the extent that the employer has </w:t>
      </w:r>
      <w:r w:rsidRPr="001102AD">
        <w:rPr>
          <w:rFonts w:ascii="Times New Roman" w:hAnsi="Times New Roman" w:cs="Times New Roman"/>
          <w:b/>
          <w:bCs/>
          <w:sz w:val="24"/>
          <w:szCs w:val="24"/>
        </w:rPr>
        <w:t>paid for their travel, injuries sustained while in travel status are not excluded from workers’ compensation coverage</w:t>
      </w:r>
      <w:r>
        <w:rPr>
          <w:rFonts w:ascii="Times New Roman" w:hAnsi="Times New Roman" w:cs="Times New Roman"/>
          <w:sz w:val="24"/>
          <w:szCs w:val="24"/>
        </w:rPr>
        <w:t xml:space="preserve"> under </w:t>
      </w:r>
      <w:r w:rsidRPr="00BE237A">
        <w:rPr>
          <w:rFonts w:ascii="Times New Roman" w:hAnsi="Times New Roman" w:cs="Times New Roman"/>
          <w:sz w:val="24"/>
          <w:szCs w:val="24"/>
        </w:rPr>
        <w:t xml:space="preserve">W.S. § </w:t>
      </w:r>
      <w:hyperlink r:id="rId73" w:history="1">
        <w:r w:rsidRPr="00BE237A">
          <w:rPr>
            <w:rStyle w:val="Hyperlink"/>
            <w:rFonts w:ascii="Times New Roman" w:hAnsi="Times New Roman" w:cs="Times New Roman"/>
            <w:sz w:val="24"/>
            <w:szCs w:val="24"/>
          </w:rPr>
          <w:t>27-14-102</w:t>
        </w:r>
      </w:hyperlink>
      <w:r>
        <w:rPr>
          <w:rFonts w:ascii="Times New Roman" w:hAnsi="Times New Roman" w:cs="Times New Roman"/>
          <w:sz w:val="24"/>
          <w:szCs w:val="24"/>
        </w:rPr>
        <w:t xml:space="preserve">(a)(xi)(D): “Injury does not include . . . </w:t>
      </w:r>
      <w:r w:rsidRPr="00180B06">
        <w:rPr>
          <w:rFonts w:ascii="Times New Roman" w:hAnsi="Times New Roman" w:cs="Times New Roman"/>
          <w:sz w:val="24"/>
          <w:szCs w:val="24"/>
        </w:rPr>
        <w:t xml:space="preserve">Any injury sustained during travel to or from employment </w:t>
      </w:r>
      <w:r w:rsidRPr="001102AD">
        <w:rPr>
          <w:rFonts w:ascii="Times New Roman" w:hAnsi="Times New Roman" w:cs="Times New Roman"/>
          <w:b/>
          <w:sz w:val="24"/>
          <w:szCs w:val="24"/>
          <w:u w:val="single"/>
        </w:rPr>
        <w:t>unless the employee is reimbursed for travel expenses or is transported by a vehicle of the employer</w:t>
      </w:r>
      <w:r>
        <w:rPr>
          <w:rFonts w:ascii="Times New Roman" w:hAnsi="Times New Roman" w:cs="Times New Roman"/>
          <w:sz w:val="24"/>
          <w:szCs w:val="24"/>
        </w:rPr>
        <w:t xml:space="preserve">.” The corollary of course is </w:t>
      </w:r>
      <w:r w:rsidRPr="001102AD">
        <w:rPr>
          <w:rFonts w:ascii="Times New Roman" w:hAnsi="Times New Roman" w:cs="Times New Roman"/>
          <w:bCs/>
          <w:sz w:val="24"/>
          <w:szCs w:val="24"/>
        </w:rPr>
        <w:t>that</w:t>
      </w:r>
      <w:r>
        <w:rPr>
          <w:rFonts w:ascii="Times New Roman" w:hAnsi="Times New Roman" w:cs="Times New Roman"/>
          <w:bCs/>
          <w:sz w:val="24"/>
          <w:szCs w:val="24"/>
        </w:rPr>
        <w:t>,</w:t>
      </w:r>
      <w:r w:rsidRPr="00180B06">
        <w:rPr>
          <w:rFonts w:ascii="Times New Roman" w:hAnsi="Times New Roman" w:cs="Times New Roman"/>
          <w:b/>
          <w:sz w:val="24"/>
          <w:szCs w:val="24"/>
        </w:rPr>
        <w:t xml:space="preserve"> </w:t>
      </w:r>
      <w:r w:rsidRPr="001102AD">
        <w:rPr>
          <w:rFonts w:ascii="Times New Roman" w:hAnsi="Times New Roman" w:cs="Times New Roman"/>
          <w:b/>
          <w:sz w:val="24"/>
          <w:szCs w:val="24"/>
          <w:u w:val="single"/>
        </w:rPr>
        <w:t>if the employee is reimbursed for travel expenses or transported by a vehicle of the employer an injury otherwise connected to employment is compensable</w:t>
      </w:r>
      <w:r>
        <w:rPr>
          <w:rFonts w:ascii="Times New Roman" w:hAnsi="Times New Roman" w:cs="Times New Roman"/>
          <w:sz w:val="24"/>
          <w:szCs w:val="24"/>
        </w:rPr>
        <w:t>.</w:t>
      </w:r>
    </w:p>
    <w:p w14:paraId="088A9936" w14:textId="77777777" w:rsidR="00FF7482" w:rsidRDefault="00FF7482" w:rsidP="001D7088">
      <w:pPr>
        <w:pStyle w:val="ListParagraph"/>
        <w:ind w:left="0" w:firstLine="720"/>
        <w:jc w:val="both"/>
        <w:rPr>
          <w:rFonts w:ascii="Times New Roman" w:hAnsi="Times New Roman" w:cs="Times New Roman"/>
          <w:sz w:val="24"/>
          <w:szCs w:val="24"/>
        </w:rPr>
      </w:pPr>
    </w:p>
    <w:p w14:paraId="6021F350" w14:textId="24AD7085" w:rsidR="00FF7482" w:rsidRDefault="00FF7482" w:rsidP="00D57F2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This has been the state of the law in Wyoming for decades, even before it was included in the Wyoming Workers’ Compensation Act. In </w:t>
      </w:r>
      <w:r w:rsidRPr="00E44156">
        <w:rPr>
          <w:rFonts w:ascii="Times New Roman" w:hAnsi="Times New Roman" w:cs="Times New Roman"/>
          <w:i/>
          <w:sz w:val="24"/>
          <w:szCs w:val="24"/>
        </w:rPr>
        <w:t>In re Jensen</w:t>
      </w:r>
      <w:r>
        <w:rPr>
          <w:rFonts w:ascii="Times New Roman" w:hAnsi="Times New Roman" w:cs="Times New Roman"/>
          <w:sz w:val="24"/>
          <w:szCs w:val="24"/>
        </w:rPr>
        <w:t>, for example, a seminal traveling employee case decided in the 1940s,</w:t>
      </w:r>
      <w:r w:rsidRPr="00112C9C">
        <w:rPr>
          <w:rFonts w:ascii="Times New Roman" w:hAnsi="Times New Roman" w:cs="Times New Roman"/>
          <w:sz w:val="24"/>
          <w:szCs w:val="24"/>
          <w:vertAlign w:val="superscript"/>
        </w:rPr>
        <w:footnoteReference w:id="348"/>
      </w:r>
      <w:r>
        <w:rPr>
          <w:rFonts w:ascii="Times New Roman" w:hAnsi="Times New Roman" w:cs="Times New Roman"/>
          <w:sz w:val="24"/>
          <w:szCs w:val="24"/>
        </w:rPr>
        <w:t xml:space="preserve"> Paul Jensen was injured in an automobile accident in which the employee-driver of the car and another employee-passenger were killed.</w:t>
      </w:r>
      <w:r w:rsidRPr="00112C9C">
        <w:rPr>
          <w:rFonts w:ascii="Times New Roman" w:hAnsi="Times New Roman" w:cs="Times New Roman"/>
          <w:sz w:val="24"/>
          <w:szCs w:val="24"/>
          <w:vertAlign w:val="superscript"/>
        </w:rPr>
        <w:footnoteReference w:id="349"/>
      </w:r>
      <w:r>
        <w:rPr>
          <w:rFonts w:ascii="Times New Roman" w:hAnsi="Times New Roman" w:cs="Times New Roman"/>
          <w:sz w:val="24"/>
          <w:szCs w:val="24"/>
        </w:rPr>
        <w:t xml:space="preserve"> The company had begun reimbursing employees for travel between their residences in Thermopolis and work on a well site 50 miles distant.</w:t>
      </w:r>
      <w:r w:rsidRPr="00112C9C">
        <w:rPr>
          <w:rFonts w:ascii="Times New Roman" w:hAnsi="Times New Roman" w:cs="Times New Roman"/>
          <w:sz w:val="24"/>
          <w:szCs w:val="24"/>
          <w:vertAlign w:val="superscript"/>
        </w:rPr>
        <w:footnoteReference w:id="350"/>
      </w:r>
      <w:r>
        <w:rPr>
          <w:rFonts w:ascii="Times New Roman" w:hAnsi="Times New Roman" w:cs="Times New Roman"/>
          <w:sz w:val="24"/>
          <w:szCs w:val="24"/>
        </w:rPr>
        <w:t xml:space="preserve"> Reversing a trial court dismissal of the claim on “going to or coming from” grounds, the Court focused on several factors:</w:t>
      </w:r>
    </w:p>
    <w:p w14:paraId="7DB419CF" w14:textId="77777777" w:rsidR="00FF7482" w:rsidRDefault="00FF7482" w:rsidP="001D7088">
      <w:pPr>
        <w:pStyle w:val="ListParagraph"/>
        <w:ind w:left="0" w:firstLine="720"/>
        <w:jc w:val="both"/>
        <w:rPr>
          <w:rFonts w:ascii="Times New Roman" w:hAnsi="Times New Roman" w:cs="Times New Roman"/>
          <w:sz w:val="24"/>
          <w:szCs w:val="24"/>
        </w:rPr>
      </w:pPr>
    </w:p>
    <w:p w14:paraId="3C938B93" w14:textId="35F6FF60" w:rsidR="00FF7482" w:rsidRDefault="00FF7482" w:rsidP="00D57F28">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 . . that t</w:t>
      </w:r>
      <w:r w:rsidRPr="00DA65ED">
        <w:rPr>
          <w:rFonts w:ascii="Times New Roman" w:hAnsi="Times New Roman" w:cs="Times New Roman"/>
          <w:sz w:val="24"/>
          <w:szCs w:val="24"/>
        </w:rPr>
        <w:t xml:space="preserve">he oil well where the claimant and the rest of the drilling crew worked was at a place where no arrangements for their accommodation had been made and approximately 50 miles from </w:t>
      </w:r>
      <w:r w:rsidRPr="00DA65ED">
        <w:rPr>
          <w:rFonts w:ascii="Times New Roman" w:hAnsi="Times New Roman" w:cs="Times New Roman"/>
          <w:sz w:val="24"/>
          <w:szCs w:val="24"/>
        </w:rPr>
        <w:lastRenderedPageBreak/>
        <w:t>the place where they resided; that carriage by automobile was the only practical means of getting to and from the work at the well site; that the employer paid that member of the cre</w:t>
      </w:r>
      <w:r>
        <w:rPr>
          <w:rFonts w:ascii="Times New Roman" w:hAnsi="Times New Roman" w:cs="Times New Roman"/>
          <w:sz w:val="24"/>
          <w:szCs w:val="24"/>
        </w:rPr>
        <w:t xml:space="preserve">w . . . </w:t>
      </w:r>
      <w:r w:rsidRPr="00DA65ED">
        <w:rPr>
          <w:rFonts w:ascii="Times New Roman" w:hAnsi="Times New Roman" w:cs="Times New Roman"/>
          <w:sz w:val="24"/>
          <w:szCs w:val="24"/>
        </w:rPr>
        <w:t>who used his car to transport the remaining members of the crew to and from their homes; that both the company and these employees contemplated that free carriage to and from their homes was to be furnished them; that the consideration for the employer</w:t>
      </w:r>
      <w:r>
        <w:rPr>
          <w:rFonts w:ascii="Times New Roman" w:hAnsi="Times New Roman" w:cs="Times New Roman"/>
          <w:sz w:val="24"/>
          <w:szCs w:val="24"/>
        </w:rPr>
        <w:t>’</w:t>
      </w:r>
      <w:r w:rsidRPr="00DA65ED">
        <w:rPr>
          <w:rFonts w:ascii="Times New Roman" w:hAnsi="Times New Roman" w:cs="Times New Roman"/>
          <w:sz w:val="24"/>
          <w:szCs w:val="24"/>
        </w:rPr>
        <w:t>s agreement to furnish this transportation was, in part at least, based on the performance of work for the company by the claimant at the oil well for ‘they didn't receive transportation unless they worked tower’; that under the unusual war condition which prevailed in this state at that time, the arrangement and practice adopted was for the mutual advantage of both the employer and employee; and finally that whoever drove the car for which service he was paid by the company on a mileage basis as before stated, became as a matter of fact that day, the agent of the employer in furnishing the promised transportation, thereby establishing the vehicle in some measure within the control of the employer, we are constrained to conclude that the company supplied claimant with free transportation to and from his home as an incident of the contract of employment. As we have seen, the treasurer of the company admitted that ‘these men really got their transportation in addition to their wages.</w:t>
      </w:r>
      <w:r>
        <w:rPr>
          <w:rFonts w:ascii="Times New Roman" w:hAnsi="Times New Roman" w:cs="Times New Roman"/>
          <w:sz w:val="24"/>
          <w:szCs w:val="24"/>
        </w:rPr>
        <w:t>’</w:t>
      </w:r>
      <w:r w:rsidRPr="00DA65ED">
        <w:rPr>
          <w:rFonts w:ascii="Times New Roman" w:hAnsi="Times New Roman" w:cs="Times New Roman"/>
          <w:sz w:val="24"/>
          <w:szCs w:val="24"/>
        </w:rPr>
        <w:t xml:space="preserve"> In consequence of this arrangement and the detailed facts above set forth, we also conclude that under the great weight of authority as we find it, the injuries suffered by claimant through the accident in question should be regarded as compensable under the Workmen's Compensation Act of this state.</w:t>
      </w:r>
      <w:r w:rsidRPr="00112C9C">
        <w:rPr>
          <w:rFonts w:ascii="Times New Roman" w:hAnsi="Times New Roman" w:cs="Times New Roman"/>
          <w:sz w:val="24"/>
          <w:szCs w:val="24"/>
          <w:vertAlign w:val="superscript"/>
        </w:rPr>
        <w:footnoteReference w:id="351"/>
      </w:r>
      <w:r>
        <w:rPr>
          <w:rFonts w:ascii="Times New Roman" w:hAnsi="Times New Roman" w:cs="Times New Roman"/>
          <w:sz w:val="24"/>
          <w:szCs w:val="24"/>
        </w:rPr>
        <w:t xml:space="preserve">    </w:t>
      </w:r>
    </w:p>
    <w:p w14:paraId="228D18EE" w14:textId="39484ABF" w:rsidR="00FF7482" w:rsidRDefault="00FF7482" w:rsidP="00DA65ED">
      <w:pPr>
        <w:pStyle w:val="ListParagraph"/>
        <w:ind w:right="720"/>
        <w:jc w:val="both"/>
        <w:rPr>
          <w:rFonts w:ascii="Times New Roman" w:hAnsi="Times New Roman" w:cs="Times New Roman"/>
          <w:sz w:val="24"/>
          <w:szCs w:val="24"/>
        </w:rPr>
      </w:pPr>
    </w:p>
    <w:p w14:paraId="2E817AFB" w14:textId="0BAAB682" w:rsidR="00FF7482" w:rsidRDefault="00FF7482" w:rsidP="00236124">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It has now been well-established by statute that, </w:t>
      </w:r>
      <w:r w:rsidRPr="00444E48">
        <w:rPr>
          <w:rFonts w:ascii="Times New Roman" w:hAnsi="Times New Roman" w:cs="Times New Roman"/>
          <w:sz w:val="24"/>
          <w:szCs w:val="24"/>
        </w:rPr>
        <w:t xml:space="preserve">while no compensable nexus with the employment is generally present when an employee is traveling between home and work, such a nexus </w:t>
      </w:r>
      <w:r w:rsidRPr="001102AD">
        <w:rPr>
          <w:rFonts w:ascii="Times New Roman" w:hAnsi="Times New Roman" w:cs="Times New Roman"/>
          <w:i/>
          <w:iCs/>
          <w:sz w:val="24"/>
          <w:szCs w:val="24"/>
        </w:rPr>
        <w:t>is</w:t>
      </w:r>
      <w:r w:rsidRPr="00444E48">
        <w:rPr>
          <w:rFonts w:ascii="Times New Roman" w:hAnsi="Times New Roman" w:cs="Times New Roman"/>
          <w:sz w:val="24"/>
          <w:szCs w:val="24"/>
        </w:rPr>
        <w:t xml:space="preserve"> created where the employer has assumed the cost of that travel</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52"/>
      </w:r>
      <w:r>
        <w:rPr>
          <w:rFonts w:ascii="Times New Roman" w:hAnsi="Times New Roman" w:cs="Times New Roman"/>
          <w:sz w:val="24"/>
          <w:szCs w:val="24"/>
        </w:rPr>
        <w:t xml:space="preserve"> Still, novel questions have arisen under the provision. For example, in </w:t>
      </w:r>
      <w:r w:rsidRPr="002131AC">
        <w:rPr>
          <w:rFonts w:ascii="Times New Roman" w:hAnsi="Times New Roman" w:cs="Times New Roman"/>
          <w:i/>
          <w:sz w:val="24"/>
          <w:szCs w:val="24"/>
        </w:rPr>
        <w:t>In re Worker's Compensation Claim of Barlow</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53"/>
      </w:r>
      <w:r>
        <w:rPr>
          <w:rFonts w:ascii="Times New Roman" w:hAnsi="Times New Roman" w:cs="Times New Roman"/>
          <w:sz w:val="24"/>
          <w:szCs w:val="24"/>
        </w:rPr>
        <w:t xml:space="preserve"> the Wyoming Supreme Court upheld the administrative denial of a claim for an injury suffered when </w:t>
      </w:r>
      <w:r w:rsidRPr="002131AC">
        <w:rPr>
          <w:rFonts w:ascii="Times New Roman" w:hAnsi="Times New Roman" w:cs="Times New Roman"/>
          <w:sz w:val="24"/>
          <w:szCs w:val="24"/>
        </w:rPr>
        <w:t>James W. Barlow injured his knee while climbing into his employer-provided truck as he was preparing to leave on a work-related trip.</w:t>
      </w:r>
      <w:r w:rsidRPr="00112C9C">
        <w:rPr>
          <w:rFonts w:ascii="Times New Roman" w:hAnsi="Times New Roman" w:cs="Times New Roman"/>
          <w:sz w:val="24"/>
          <w:szCs w:val="24"/>
          <w:vertAlign w:val="superscript"/>
        </w:rPr>
        <w:footnoteReference w:id="354"/>
      </w:r>
      <w:r>
        <w:rPr>
          <w:rFonts w:ascii="Times New Roman" w:hAnsi="Times New Roman" w:cs="Times New Roman"/>
          <w:sz w:val="24"/>
          <w:szCs w:val="24"/>
        </w:rPr>
        <w:t xml:space="preserve"> This somewhat surprising result generated dissents from Chief Justice Kite and Justice Burke.</w:t>
      </w:r>
      <w:r w:rsidRPr="00112C9C">
        <w:rPr>
          <w:rFonts w:ascii="Times New Roman" w:hAnsi="Times New Roman" w:cs="Times New Roman"/>
          <w:sz w:val="24"/>
          <w:szCs w:val="24"/>
          <w:vertAlign w:val="superscript"/>
        </w:rPr>
        <w:footnoteReference w:id="355"/>
      </w:r>
      <w:r>
        <w:rPr>
          <w:rFonts w:ascii="Times New Roman" w:hAnsi="Times New Roman" w:cs="Times New Roman"/>
          <w:sz w:val="24"/>
          <w:szCs w:val="24"/>
        </w:rPr>
        <w:t xml:space="preserve"> </w:t>
      </w:r>
    </w:p>
    <w:p w14:paraId="2AD9B02E" w14:textId="77777777" w:rsidR="00FF7482" w:rsidRDefault="00FF7482" w:rsidP="00CF4B80">
      <w:pPr>
        <w:pStyle w:val="ListParagraph"/>
        <w:spacing w:after="0"/>
        <w:ind w:left="0" w:firstLine="720"/>
        <w:jc w:val="both"/>
        <w:rPr>
          <w:rFonts w:ascii="Times New Roman" w:hAnsi="Times New Roman" w:cs="Times New Roman"/>
          <w:sz w:val="24"/>
          <w:szCs w:val="24"/>
        </w:rPr>
      </w:pPr>
    </w:p>
    <w:p w14:paraId="10F2812B" w14:textId="45E48431" w:rsidR="00FF7482" w:rsidRDefault="00FF7482" w:rsidP="00D57F28">
      <w:pPr>
        <w:pStyle w:val="Heading2"/>
        <w:rPr>
          <w:rFonts w:ascii="Times New Roman" w:hAnsi="Times New Roman" w:cs="Times New Roman"/>
          <w:b/>
          <w:color w:val="auto"/>
        </w:rPr>
      </w:pPr>
      <w:bookmarkStart w:id="494" w:name="_Toc75269382"/>
      <w:r>
        <w:rPr>
          <w:rFonts w:ascii="Times New Roman" w:hAnsi="Times New Roman" w:cs="Times New Roman"/>
          <w:b/>
          <w:color w:val="auto"/>
        </w:rPr>
        <w:lastRenderedPageBreak/>
        <w:t>“In the Course of” in Wyoming</w:t>
      </w:r>
      <w:r w:rsidR="00320134">
        <w:rPr>
          <w:rFonts w:ascii="Times New Roman" w:hAnsi="Times New Roman" w:cs="Times New Roman"/>
          <w:b/>
          <w:color w:val="auto"/>
        </w:rPr>
        <w:t xml:space="preserve"> – </w:t>
      </w:r>
      <w:r>
        <w:rPr>
          <w:rFonts w:ascii="Times New Roman" w:hAnsi="Times New Roman" w:cs="Times New Roman"/>
          <w:b/>
          <w:color w:val="auto"/>
        </w:rPr>
        <w:t>Deviations and Detours</w:t>
      </w:r>
      <w:bookmarkEnd w:id="494"/>
    </w:p>
    <w:p w14:paraId="4BE338A1" w14:textId="6B40BBCD" w:rsidR="00FF7482" w:rsidRDefault="00DD727D" w:rsidP="00D57F28">
      <w:pPr>
        <w:pStyle w:val="ListParagraph"/>
        <w:ind w:left="0"/>
        <w:jc w:val="both"/>
        <w:rPr>
          <w:rFonts w:ascii="Times New Roman" w:hAnsi="Times New Roman" w:cs="Times New Roman"/>
          <w:sz w:val="24"/>
          <w:szCs w:val="24"/>
        </w:rPr>
      </w:pPr>
      <w:r>
        <w:rPr>
          <w:rFonts w:ascii="Times New Roman" w:hAnsi="Times New Roman" w:cs="Times New Roman"/>
          <w:sz w:val="24"/>
          <w:szCs w:val="24"/>
        </w:rPr>
        <w:br/>
      </w:r>
      <w:r w:rsidR="00FF7482" w:rsidRPr="00773428">
        <w:rPr>
          <w:rFonts w:ascii="Times New Roman" w:hAnsi="Times New Roman" w:cs="Times New Roman"/>
          <w:sz w:val="24"/>
          <w:szCs w:val="24"/>
        </w:rPr>
        <w:t xml:space="preserve">Even if an employee is being paid by the employer for transportation, thereby bringing the employee within the protection of the </w:t>
      </w:r>
      <w:r w:rsidR="00FF7482">
        <w:rPr>
          <w:rFonts w:ascii="Times New Roman" w:hAnsi="Times New Roman" w:cs="Times New Roman"/>
          <w:sz w:val="24"/>
          <w:szCs w:val="24"/>
        </w:rPr>
        <w:t>Wyoming W</w:t>
      </w:r>
      <w:r w:rsidR="00FF7482" w:rsidRPr="00773428">
        <w:rPr>
          <w:rFonts w:ascii="Times New Roman" w:hAnsi="Times New Roman" w:cs="Times New Roman"/>
          <w:sz w:val="24"/>
          <w:szCs w:val="24"/>
        </w:rPr>
        <w:t xml:space="preserve">orkers’ </w:t>
      </w:r>
      <w:r w:rsidR="00FF7482">
        <w:rPr>
          <w:rFonts w:ascii="Times New Roman" w:hAnsi="Times New Roman" w:cs="Times New Roman"/>
          <w:sz w:val="24"/>
          <w:szCs w:val="24"/>
        </w:rPr>
        <w:t>C</w:t>
      </w:r>
      <w:r w:rsidR="00FF7482" w:rsidRPr="00773428">
        <w:rPr>
          <w:rFonts w:ascii="Times New Roman" w:hAnsi="Times New Roman" w:cs="Times New Roman"/>
          <w:sz w:val="24"/>
          <w:szCs w:val="24"/>
        </w:rPr>
        <w:t xml:space="preserve">ompensation </w:t>
      </w:r>
      <w:r w:rsidR="00FF7482">
        <w:rPr>
          <w:rFonts w:ascii="Times New Roman" w:hAnsi="Times New Roman" w:cs="Times New Roman"/>
          <w:sz w:val="24"/>
          <w:szCs w:val="24"/>
        </w:rPr>
        <w:t>A</w:t>
      </w:r>
      <w:r w:rsidR="00FF7482" w:rsidRPr="00773428">
        <w:rPr>
          <w:rFonts w:ascii="Times New Roman" w:hAnsi="Times New Roman" w:cs="Times New Roman"/>
          <w:sz w:val="24"/>
          <w:szCs w:val="24"/>
        </w:rPr>
        <w:t>ct</w:t>
      </w:r>
      <w:r w:rsidR="00FF7482">
        <w:rPr>
          <w:rFonts w:ascii="Times New Roman" w:hAnsi="Times New Roman" w:cs="Times New Roman"/>
          <w:sz w:val="24"/>
          <w:szCs w:val="24"/>
        </w:rPr>
        <w:t xml:space="preserve"> (as explained in the previous section)</w:t>
      </w:r>
      <w:r w:rsidR="00FF7482" w:rsidRPr="00773428">
        <w:rPr>
          <w:rFonts w:ascii="Times New Roman" w:hAnsi="Times New Roman" w:cs="Times New Roman"/>
          <w:sz w:val="24"/>
          <w:szCs w:val="24"/>
        </w:rPr>
        <w:t xml:space="preserve"> th</w:t>
      </w:r>
      <w:r w:rsidR="00FF7482">
        <w:rPr>
          <w:rFonts w:ascii="Times New Roman" w:hAnsi="Times New Roman" w:cs="Times New Roman"/>
          <w:sz w:val="24"/>
          <w:szCs w:val="24"/>
        </w:rPr>
        <w:t>at</w:t>
      </w:r>
      <w:r w:rsidR="00FF7482" w:rsidRPr="00773428">
        <w:rPr>
          <w:rFonts w:ascii="Times New Roman" w:hAnsi="Times New Roman" w:cs="Times New Roman"/>
          <w:sz w:val="24"/>
          <w:szCs w:val="24"/>
        </w:rPr>
        <w:t xml:space="preserve"> protection may be lost if the employee </w:t>
      </w:r>
      <w:r w:rsidR="00FF7482" w:rsidRPr="001102AD">
        <w:rPr>
          <w:rFonts w:ascii="Times New Roman" w:hAnsi="Times New Roman" w:cs="Times New Roman"/>
          <w:i/>
          <w:iCs/>
          <w:sz w:val="24"/>
          <w:szCs w:val="24"/>
        </w:rPr>
        <w:t>deviates</w:t>
      </w:r>
      <w:r w:rsidR="00FF7482" w:rsidRPr="00773428">
        <w:rPr>
          <w:rFonts w:ascii="Times New Roman" w:hAnsi="Times New Roman" w:cs="Times New Roman"/>
          <w:sz w:val="24"/>
          <w:szCs w:val="24"/>
        </w:rPr>
        <w:t xml:space="preserve"> from work on a “personal errand.”</w:t>
      </w:r>
      <w:r w:rsidR="00FF7482" w:rsidRPr="00112C9C">
        <w:rPr>
          <w:rFonts w:ascii="Times New Roman" w:hAnsi="Times New Roman" w:cs="Times New Roman"/>
          <w:sz w:val="24"/>
          <w:szCs w:val="24"/>
          <w:vertAlign w:val="superscript"/>
        </w:rPr>
        <w:footnoteReference w:id="356"/>
      </w:r>
      <w:r w:rsidR="00FF7482" w:rsidRPr="00773428">
        <w:rPr>
          <w:rFonts w:ascii="Times New Roman" w:hAnsi="Times New Roman" w:cs="Times New Roman"/>
          <w:sz w:val="24"/>
          <w:szCs w:val="24"/>
        </w:rPr>
        <w:t xml:space="preserve"> </w:t>
      </w:r>
      <w:r w:rsidR="00FF7482">
        <w:rPr>
          <w:rFonts w:ascii="Times New Roman" w:hAnsi="Times New Roman" w:cs="Times New Roman"/>
          <w:sz w:val="24"/>
          <w:szCs w:val="24"/>
        </w:rPr>
        <w:t xml:space="preserve">Two lead cases in this area are in some tension. In </w:t>
      </w:r>
      <w:bookmarkStart w:id="496" w:name="_Hlk520364711"/>
      <w:r w:rsidR="00FF7482" w:rsidRPr="005E69E2">
        <w:rPr>
          <w:rFonts w:ascii="Times New Roman" w:hAnsi="Times New Roman" w:cs="Times New Roman"/>
          <w:i/>
          <w:sz w:val="24"/>
          <w:szCs w:val="24"/>
        </w:rPr>
        <w:t>Workmen’s Compensation Department v. Boston</w:t>
      </w:r>
      <w:bookmarkEnd w:id="496"/>
      <w:r w:rsidR="00FF7482">
        <w:rPr>
          <w:rFonts w:ascii="Times New Roman" w:hAnsi="Times New Roman" w:cs="Times New Roman"/>
          <w:sz w:val="24"/>
          <w:szCs w:val="24"/>
        </w:rPr>
        <w:t>,</w:t>
      </w:r>
      <w:r w:rsidR="00FF7482" w:rsidRPr="00112C9C">
        <w:rPr>
          <w:rFonts w:ascii="Times New Roman" w:hAnsi="Times New Roman" w:cs="Times New Roman"/>
          <w:sz w:val="24"/>
          <w:szCs w:val="24"/>
          <w:vertAlign w:val="superscript"/>
        </w:rPr>
        <w:footnoteReference w:id="357"/>
      </w:r>
      <w:r w:rsidR="00FF7482">
        <w:rPr>
          <w:rFonts w:ascii="Times New Roman" w:hAnsi="Times New Roman" w:cs="Times New Roman"/>
          <w:sz w:val="24"/>
          <w:szCs w:val="24"/>
        </w:rPr>
        <w:t xml:space="preserve"> the claimant, a student-employee of the University of Wyoming was involved in an automobile accident in which a fellow student-employee was killed. The record showed that the student-claimant had (with his two, fellow student-employees) been drinking excessively,</w:t>
      </w:r>
      <w:r w:rsidR="00FF7482" w:rsidRPr="00112C9C">
        <w:rPr>
          <w:rFonts w:ascii="Times New Roman" w:hAnsi="Times New Roman" w:cs="Times New Roman"/>
          <w:sz w:val="24"/>
          <w:szCs w:val="24"/>
          <w:vertAlign w:val="superscript"/>
        </w:rPr>
        <w:footnoteReference w:id="358"/>
      </w:r>
      <w:r w:rsidR="00FF7482">
        <w:rPr>
          <w:rFonts w:ascii="Times New Roman" w:hAnsi="Times New Roman" w:cs="Times New Roman"/>
          <w:sz w:val="24"/>
          <w:szCs w:val="24"/>
        </w:rPr>
        <w:t xml:space="preserve"> and the accident occurred five-hours after the claimant had deviated from paid travel to his authorized temporary residence.</w:t>
      </w:r>
      <w:r w:rsidR="00FF7482" w:rsidRPr="00112C9C">
        <w:rPr>
          <w:rFonts w:ascii="Times New Roman" w:hAnsi="Times New Roman" w:cs="Times New Roman"/>
          <w:sz w:val="24"/>
          <w:szCs w:val="24"/>
          <w:vertAlign w:val="superscript"/>
        </w:rPr>
        <w:footnoteReference w:id="359"/>
      </w:r>
      <w:r w:rsidR="00FF7482">
        <w:rPr>
          <w:rFonts w:ascii="Times New Roman" w:hAnsi="Times New Roman" w:cs="Times New Roman"/>
          <w:sz w:val="24"/>
          <w:szCs w:val="24"/>
        </w:rPr>
        <w:t xml:space="preserve"> Nevertheless, the student was found entitled to workers’ compensation benefits</w:t>
      </w:r>
      <w:r w:rsidR="00FF7482" w:rsidRPr="00112C9C">
        <w:rPr>
          <w:rFonts w:ascii="Times New Roman" w:hAnsi="Times New Roman" w:cs="Times New Roman"/>
          <w:sz w:val="24"/>
          <w:szCs w:val="24"/>
          <w:vertAlign w:val="superscript"/>
        </w:rPr>
        <w:footnoteReference w:id="360"/>
      </w:r>
      <w:r w:rsidR="00FF7482">
        <w:rPr>
          <w:rFonts w:ascii="Times New Roman" w:hAnsi="Times New Roman" w:cs="Times New Roman"/>
          <w:sz w:val="24"/>
          <w:szCs w:val="24"/>
        </w:rPr>
        <w:t xml:space="preserve"> (the opinion provoked a vigorous dissent). </w:t>
      </w:r>
      <w:bookmarkStart w:id="502" w:name="_Hlk24455735"/>
      <w:r w:rsidR="00FF7482">
        <w:rPr>
          <w:rFonts w:ascii="Times New Roman" w:hAnsi="Times New Roman" w:cs="Times New Roman"/>
          <w:sz w:val="24"/>
          <w:szCs w:val="24"/>
        </w:rPr>
        <w:t xml:space="preserve">In contrast, the claimant was denied workers’ compensation benefits in </w:t>
      </w:r>
      <w:bookmarkStart w:id="503" w:name="_Hlk520362872"/>
      <w:r w:rsidR="00FF7482" w:rsidRPr="00D34827">
        <w:rPr>
          <w:rFonts w:ascii="Times New Roman" w:hAnsi="Times New Roman" w:cs="Times New Roman"/>
          <w:i/>
          <w:sz w:val="24"/>
          <w:szCs w:val="24"/>
        </w:rPr>
        <w:t xml:space="preserve">Shelest v. Workers’ Safety </w:t>
      </w:r>
      <w:r w:rsidR="00FF7482">
        <w:rPr>
          <w:rFonts w:ascii="Times New Roman" w:hAnsi="Times New Roman" w:cs="Times New Roman"/>
          <w:i/>
          <w:sz w:val="24"/>
          <w:szCs w:val="24"/>
        </w:rPr>
        <w:t>&amp;</w:t>
      </w:r>
      <w:r w:rsidR="00FF7482" w:rsidRPr="00D34827">
        <w:rPr>
          <w:rFonts w:ascii="Times New Roman" w:hAnsi="Times New Roman" w:cs="Times New Roman"/>
          <w:i/>
          <w:sz w:val="24"/>
          <w:szCs w:val="24"/>
        </w:rPr>
        <w:t xml:space="preserve"> Compensation Div</w:t>
      </w:r>
      <w:bookmarkEnd w:id="503"/>
      <w:r w:rsidR="00FF7482">
        <w:rPr>
          <w:rFonts w:ascii="Times New Roman" w:hAnsi="Times New Roman" w:cs="Times New Roman"/>
          <w:sz w:val="24"/>
          <w:szCs w:val="24"/>
        </w:rPr>
        <w:t>.</w:t>
      </w:r>
      <w:r w:rsidR="00FF7482" w:rsidRPr="00112C9C">
        <w:rPr>
          <w:rFonts w:ascii="Times New Roman" w:hAnsi="Times New Roman" w:cs="Times New Roman"/>
          <w:sz w:val="24"/>
          <w:szCs w:val="24"/>
          <w:vertAlign w:val="superscript"/>
        </w:rPr>
        <w:footnoteReference w:id="361"/>
      </w:r>
      <w:r w:rsidR="00FF7482">
        <w:rPr>
          <w:rFonts w:ascii="Times New Roman" w:hAnsi="Times New Roman" w:cs="Times New Roman"/>
          <w:sz w:val="24"/>
          <w:szCs w:val="24"/>
        </w:rPr>
        <w:t xml:space="preserve"> In that decision, an employee was injured when returning home from work-related training in another town on a scenic alternate route that required fifty miles, and one hour of travel more, than the most direct route.</w:t>
      </w:r>
      <w:r w:rsidR="00FF7482" w:rsidRPr="00112C9C">
        <w:rPr>
          <w:rFonts w:ascii="Times New Roman" w:hAnsi="Times New Roman" w:cs="Times New Roman"/>
          <w:sz w:val="24"/>
          <w:szCs w:val="24"/>
          <w:vertAlign w:val="superscript"/>
        </w:rPr>
        <w:footnoteReference w:id="362"/>
      </w:r>
      <w:r w:rsidR="00FF7482">
        <w:rPr>
          <w:rFonts w:ascii="Times New Roman" w:hAnsi="Times New Roman" w:cs="Times New Roman"/>
          <w:sz w:val="24"/>
          <w:szCs w:val="24"/>
        </w:rPr>
        <w:t xml:space="preserve"> The claimant, with a fellow employee and a supervisor, jointly decided to take the alternate route,</w:t>
      </w:r>
      <w:r w:rsidR="00FF7482" w:rsidRPr="00112C9C">
        <w:rPr>
          <w:rFonts w:ascii="Times New Roman" w:hAnsi="Times New Roman" w:cs="Times New Roman"/>
          <w:sz w:val="24"/>
          <w:szCs w:val="24"/>
          <w:vertAlign w:val="superscript"/>
        </w:rPr>
        <w:footnoteReference w:id="363"/>
      </w:r>
      <w:r w:rsidR="00FF7482">
        <w:rPr>
          <w:rFonts w:ascii="Times New Roman" w:hAnsi="Times New Roman" w:cs="Times New Roman"/>
          <w:sz w:val="24"/>
          <w:szCs w:val="24"/>
        </w:rPr>
        <w:t xml:space="preserve"> and there was no question the claimant was returning to his workplace.</w:t>
      </w:r>
      <w:r w:rsidR="00FF7482" w:rsidRPr="00112C9C">
        <w:rPr>
          <w:rFonts w:ascii="Times New Roman" w:hAnsi="Times New Roman" w:cs="Times New Roman"/>
          <w:sz w:val="24"/>
          <w:szCs w:val="24"/>
          <w:vertAlign w:val="superscript"/>
        </w:rPr>
        <w:footnoteReference w:id="364"/>
      </w:r>
      <w:r w:rsidR="00FF7482">
        <w:rPr>
          <w:rFonts w:ascii="Times New Roman" w:hAnsi="Times New Roman" w:cs="Times New Roman"/>
          <w:sz w:val="24"/>
          <w:szCs w:val="24"/>
        </w:rPr>
        <w:t xml:space="preserve"> It is very difficult to harmonize </w:t>
      </w:r>
      <w:r w:rsidR="00FF7482" w:rsidRPr="004A0195">
        <w:rPr>
          <w:rFonts w:ascii="Times New Roman" w:hAnsi="Times New Roman" w:cs="Times New Roman"/>
          <w:i/>
          <w:sz w:val="24"/>
          <w:szCs w:val="24"/>
        </w:rPr>
        <w:t>Boston</w:t>
      </w:r>
      <w:r w:rsidR="00FF7482">
        <w:rPr>
          <w:rFonts w:ascii="Times New Roman" w:hAnsi="Times New Roman" w:cs="Times New Roman"/>
          <w:sz w:val="24"/>
          <w:szCs w:val="24"/>
        </w:rPr>
        <w:t xml:space="preserve"> and </w:t>
      </w:r>
      <w:r w:rsidR="00FF7482" w:rsidRPr="004A0195">
        <w:rPr>
          <w:rFonts w:ascii="Times New Roman" w:hAnsi="Times New Roman" w:cs="Times New Roman"/>
          <w:i/>
          <w:sz w:val="24"/>
          <w:szCs w:val="24"/>
        </w:rPr>
        <w:t>Shelest</w:t>
      </w:r>
      <w:r w:rsidR="00FF7482">
        <w:rPr>
          <w:rFonts w:ascii="Times New Roman" w:hAnsi="Times New Roman" w:cs="Times New Roman"/>
          <w:sz w:val="24"/>
          <w:szCs w:val="24"/>
        </w:rPr>
        <w:t>, as the dissenting opinion of Justice Kite implicitly recognized.</w:t>
      </w:r>
      <w:r w:rsidR="00FF7482" w:rsidRPr="00112C9C">
        <w:rPr>
          <w:rFonts w:ascii="Times New Roman" w:hAnsi="Times New Roman" w:cs="Times New Roman"/>
          <w:sz w:val="24"/>
          <w:szCs w:val="24"/>
          <w:vertAlign w:val="superscript"/>
        </w:rPr>
        <w:footnoteReference w:id="365"/>
      </w:r>
      <w:r w:rsidR="00FF7482">
        <w:rPr>
          <w:rFonts w:ascii="Times New Roman" w:hAnsi="Times New Roman" w:cs="Times New Roman"/>
          <w:sz w:val="24"/>
          <w:szCs w:val="24"/>
        </w:rPr>
        <w:t xml:space="preserve"> The </w:t>
      </w:r>
      <w:r w:rsidR="00FF7482" w:rsidRPr="00922A3D">
        <w:rPr>
          <w:rFonts w:ascii="Times New Roman" w:hAnsi="Times New Roman" w:cs="Times New Roman"/>
          <w:i/>
          <w:sz w:val="24"/>
          <w:szCs w:val="24"/>
        </w:rPr>
        <w:t>Shelest</w:t>
      </w:r>
      <w:r w:rsidR="00FF7482">
        <w:rPr>
          <w:rFonts w:ascii="Times New Roman" w:hAnsi="Times New Roman" w:cs="Times New Roman"/>
          <w:sz w:val="24"/>
          <w:szCs w:val="24"/>
        </w:rPr>
        <w:t xml:space="preserve"> analysis appears to approach a totality of the circumstances test:</w:t>
      </w:r>
    </w:p>
    <w:p w14:paraId="01AFB7CC" w14:textId="77777777" w:rsidR="00FF7482" w:rsidRDefault="00FF7482" w:rsidP="00922A3D">
      <w:pPr>
        <w:pStyle w:val="ListParagraph"/>
        <w:ind w:firstLine="720"/>
        <w:jc w:val="both"/>
        <w:rPr>
          <w:rFonts w:ascii="Times New Roman" w:hAnsi="Times New Roman" w:cs="Times New Roman"/>
          <w:sz w:val="24"/>
          <w:szCs w:val="24"/>
        </w:rPr>
      </w:pPr>
    </w:p>
    <w:bookmarkEnd w:id="502"/>
    <w:p w14:paraId="4A76BFE0" w14:textId="711A917A" w:rsidR="00FF7482" w:rsidRDefault="00FF7482" w:rsidP="00D57F28">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 xml:space="preserve">. . . </w:t>
      </w:r>
      <w:r w:rsidRPr="00FA4ABB">
        <w:rPr>
          <w:rFonts w:ascii="Times New Roman" w:hAnsi="Times New Roman" w:cs="Times New Roman"/>
          <w:b/>
          <w:sz w:val="24"/>
          <w:szCs w:val="24"/>
        </w:rPr>
        <w:t>[A] specific personal errand makes it more apparent that a trip is a deviation. However, [prior cases] do not hold that an identifiable personal errand is a requirement in determining that a trip is a deviation</w:t>
      </w:r>
      <w:r w:rsidRPr="0093370E">
        <w:rPr>
          <w:rFonts w:ascii="Times New Roman" w:hAnsi="Times New Roman" w:cs="Times New Roman"/>
          <w:bCs/>
          <w:sz w:val="24"/>
          <w:szCs w:val="24"/>
        </w:rPr>
        <w:t>.</w:t>
      </w:r>
      <w:r w:rsidRPr="00922A3D">
        <w:rPr>
          <w:rFonts w:ascii="Times New Roman" w:hAnsi="Times New Roman" w:cs="Times New Roman"/>
          <w:sz w:val="24"/>
          <w:szCs w:val="24"/>
        </w:rPr>
        <w:t xml:space="preserve"> </w:t>
      </w:r>
      <w:r>
        <w:rPr>
          <w:rFonts w:ascii="Times New Roman" w:hAnsi="Times New Roman" w:cs="Times New Roman"/>
          <w:sz w:val="24"/>
          <w:szCs w:val="24"/>
        </w:rPr>
        <w:t>Here,</w:t>
      </w:r>
      <w:r w:rsidRPr="00922A3D">
        <w:rPr>
          <w:rFonts w:ascii="Times New Roman" w:hAnsi="Times New Roman" w:cs="Times New Roman"/>
          <w:sz w:val="24"/>
          <w:szCs w:val="24"/>
        </w:rPr>
        <w:t xml:space="preserve"> all of the witnesses “agreed that while they had no person[al] errand or business to be accomplished by taking the alternate route, the sole reason for taking the scenic route was their personal pleasure and there was no benefit to the employer.” Enjoying the scenery and weather may not be a specific, identifiable errand, but </w:t>
      </w:r>
      <w:r w:rsidRPr="00922A3D">
        <w:rPr>
          <w:rFonts w:ascii="Times New Roman" w:hAnsi="Times New Roman" w:cs="Times New Roman"/>
          <w:b/>
          <w:sz w:val="24"/>
          <w:szCs w:val="24"/>
        </w:rPr>
        <w:t xml:space="preserve">it is sufficiently personal in nature to support the hearing examiner's finding that Mr. Shelest was </w:t>
      </w:r>
      <w:r w:rsidRPr="00922A3D">
        <w:rPr>
          <w:rFonts w:ascii="Times New Roman" w:hAnsi="Times New Roman" w:cs="Times New Roman"/>
          <w:b/>
          <w:sz w:val="24"/>
          <w:szCs w:val="24"/>
        </w:rPr>
        <w:lastRenderedPageBreak/>
        <w:t>acting outside the scope of his employment while travelling the alternate route</w:t>
      </w:r>
      <w:r>
        <w:rPr>
          <w:rFonts w:ascii="Times New Roman" w:hAnsi="Times New Roman" w:cs="Times New Roman"/>
          <w:sz w:val="24"/>
          <w:szCs w:val="24"/>
        </w:rPr>
        <w:t xml:space="preserve"> . . . </w:t>
      </w:r>
      <w:r w:rsidRPr="00922A3D">
        <w:rPr>
          <w:rFonts w:ascii="Times New Roman" w:hAnsi="Times New Roman" w:cs="Times New Roman"/>
          <w:sz w:val="24"/>
          <w:szCs w:val="24"/>
        </w:rPr>
        <w:t xml:space="preserve">In addition, </w:t>
      </w:r>
      <w:r w:rsidRPr="00FA4ABB">
        <w:rPr>
          <w:rFonts w:ascii="Times New Roman" w:hAnsi="Times New Roman" w:cs="Times New Roman"/>
          <w:b/>
          <w:sz w:val="24"/>
          <w:szCs w:val="24"/>
        </w:rPr>
        <w:t>the extent of the deviation should be considered when determining if a business trip has been converted into a personal side trip</w:t>
      </w:r>
      <w:r w:rsidRPr="00922A3D">
        <w:rPr>
          <w:rFonts w:ascii="Times New Roman" w:hAnsi="Times New Roman" w:cs="Times New Roman"/>
          <w:sz w:val="24"/>
          <w:szCs w:val="24"/>
        </w:rPr>
        <w:t>. As noted earlier, Larson</w:t>
      </w:r>
      <w:r>
        <w:rPr>
          <w:rFonts w:ascii="Times New Roman" w:hAnsi="Times New Roman" w:cs="Times New Roman"/>
          <w:sz w:val="24"/>
          <w:szCs w:val="24"/>
        </w:rPr>
        <w:t>’</w:t>
      </w:r>
      <w:r w:rsidRPr="00922A3D">
        <w:rPr>
          <w:rFonts w:ascii="Times New Roman" w:hAnsi="Times New Roman" w:cs="Times New Roman"/>
          <w:sz w:val="24"/>
          <w:szCs w:val="24"/>
        </w:rPr>
        <w:t xml:space="preserve">s treatise explains that </w:t>
      </w:r>
      <w:r w:rsidRPr="00FA4ABB">
        <w:rPr>
          <w:rFonts w:ascii="Times New Roman" w:hAnsi="Times New Roman" w:cs="Times New Roman"/>
          <w:b/>
          <w:sz w:val="24"/>
          <w:szCs w:val="24"/>
        </w:rPr>
        <w:t>a small deviation should be disregarded as insubstantial</w:t>
      </w:r>
      <w:r w:rsidRPr="00E421DF">
        <w:rPr>
          <w:rFonts w:ascii="Times New Roman" w:hAnsi="Times New Roman" w:cs="Times New Roman"/>
          <w:b/>
          <w:sz w:val="24"/>
          <w:szCs w:val="24"/>
        </w:rPr>
        <w:t>.</w:t>
      </w:r>
      <w:r w:rsidRPr="00FA4ABB">
        <w:rPr>
          <w:rFonts w:ascii="Times New Roman" w:hAnsi="Times New Roman" w:cs="Times New Roman"/>
          <w:b/>
          <w:sz w:val="24"/>
          <w:szCs w:val="24"/>
        </w:rPr>
        <w:t xml:space="preserve"> There is no precise formula to apply in evaluating this factor, but the greater the difference between the alternate route and the direct route, the more likely an alternate route will be deemed a deviation. The fact finder must apply judgment in assessing the extent of deviation, making this just the sort of question in which the hearing examiner’s decision is entitled to deference</w:t>
      </w:r>
      <w:r w:rsidRPr="00922A3D">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66"/>
      </w:r>
    </w:p>
    <w:p w14:paraId="070F1D83" w14:textId="69EBDDB0" w:rsidR="00FF7482" w:rsidRDefault="00FF7482" w:rsidP="00922A3D">
      <w:pPr>
        <w:pStyle w:val="ListParagraph"/>
        <w:ind w:right="720"/>
        <w:jc w:val="both"/>
        <w:rPr>
          <w:rFonts w:ascii="Times New Roman" w:hAnsi="Times New Roman" w:cs="Times New Roman"/>
          <w:sz w:val="24"/>
          <w:szCs w:val="24"/>
        </w:rPr>
      </w:pPr>
    </w:p>
    <w:p w14:paraId="18A4A47F" w14:textId="1A15C330" w:rsidR="00FF7482" w:rsidRDefault="00FF7482" w:rsidP="00E421D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problem is that, if the question of deviation is treated </w:t>
      </w:r>
      <w:r w:rsidRPr="000F7261">
        <w:rPr>
          <w:rFonts w:ascii="Times New Roman" w:hAnsi="Times New Roman" w:cs="Times New Roman"/>
          <w:b/>
          <w:bCs/>
          <w:sz w:val="24"/>
          <w:szCs w:val="24"/>
          <w:u w:val="single"/>
        </w:rPr>
        <w:t>solely as a question of fact</w:t>
      </w:r>
      <w:r>
        <w:rPr>
          <w:rFonts w:ascii="Times New Roman" w:hAnsi="Times New Roman" w:cs="Times New Roman"/>
          <w:sz w:val="24"/>
          <w:szCs w:val="24"/>
        </w:rPr>
        <w:t>, with little or no legal guidance, a determination against the claimant will not be disturbed unless it is “contrary to the overwhelming weight of the evidence.”</w:t>
      </w:r>
      <w:r w:rsidRPr="00112C9C">
        <w:rPr>
          <w:rFonts w:ascii="Times New Roman" w:hAnsi="Times New Roman" w:cs="Times New Roman"/>
          <w:sz w:val="24"/>
          <w:szCs w:val="24"/>
          <w:vertAlign w:val="superscript"/>
        </w:rPr>
        <w:footnoteReference w:id="367"/>
      </w:r>
      <w:r>
        <w:rPr>
          <w:rFonts w:ascii="Times New Roman" w:hAnsi="Times New Roman" w:cs="Times New Roman"/>
          <w:sz w:val="24"/>
          <w:szCs w:val="24"/>
        </w:rPr>
        <w:t xml:space="preserve"> This outcome is problematic, though there is no denying that deviation problems are complicated and fact intensive.</w:t>
      </w:r>
      <w:r w:rsidRPr="00112C9C">
        <w:rPr>
          <w:rFonts w:ascii="Times New Roman" w:hAnsi="Times New Roman" w:cs="Times New Roman"/>
          <w:sz w:val="24"/>
          <w:szCs w:val="24"/>
          <w:vertAlign w:val="superscript"/>
        </w:rPr>
        <w:footnoteReference w:id="368"/>
      </w:r>
    </w:p>
    <w:p w14:paraId="61131880" w14:textId="349FD95E" w:rsidR="00FF7482" w:rsidRDefault="00FF7482" w:rsidP="00A25156">
      <w:pPr>
        <w:pStyle w:val="ListParagraph"/>
        <w:ind w:left="0" w:firstLine="720"/>
        <w:jc w:val="both"/>
        <w:rPr>
          <w:rFonts w:ascii="Times New Roman" w:hAnsi="Times New Roman" w:cs="Times New Roman"/>
          <w:sz w:val="24"/>
          <w:szCs w:val="24"/>
        </w:rPr>
      </w:pPr>
    </w:p>
    <w:p w14:paraId="7362B014" w14:textId="4F32578E" w:rsidR="00FF7482" w:rsidRDefault="00FF7482" w:rsidP="00C8286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It is worth remembering that one of the chief virtues of the premises rule, in the context of employees having fixed places of employment, is avoidance of deviation problems </w:t>
      </w:r>
      <w:r w:rsidRPr="00FA4ABB">
        <w:rPr>
          <w:rFonts w:ascii="Times New Roman" w:hAnsi="Times New Roman" w:cs="Times New Roman"/>
          <w:i/>
          <w:sz w:val="24"/>
          <w:szCs w:val="24"/>
        </w:rPr>
        <w:t>within</w:t>
      </w:r>
      <w:r>
        <w:rPr>
          <w:rFonts w:ascii="Times New Roman" w:hAnsi="Times New Roman" w:cs="Times New Roman"/>
          <w:sz w:val="24"/>
          <w:szCs w:val="24"/>
        </w:rPr>
        <w:t xml:space="preserve"> the workplace. However, even within the workplace questions of deviation can arise. In </w:t>
      </w:r>
      <w:r w:rsidRPr="00E36454">
        <w:rPr>
          <w:rFonts w:ascii="Times New Roman" w:hAnsi="Times New Roman" w:cs="Times New Roman"/>
          <w:i/>
          <w:sz w:val="24"/>
          <w:szCs w:val="24"/>
        </w:rPr>
        <w:t>Matter of Smith</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69"/>
      </w:r>
      <w:r>
        <w:rPr>
          <w:rFonts w:ascii="Times New Roman" w:hAnsi="Times New Roman" w:cs="Times New Roman"/>
          <w:sz w:val="24"/>
          <w:szCs w:val="24"/>
        </w:rPr>
        <w:t xml:space="preserve"> an employee, a cook, began experiencing pain after moving five-gallon buckets of chicken at her work (it was unclear whether the pain was work-related) and reported it to her doctor, who imposed a lifting restriction of fifteen pounds.</w:t>
      </w:r>
      <w:r w:rsidRPr="00112C9C">
        <w:rPr>
          <w:rFonts w:ascii="Times New Roman" w:hAnsi="Times New Roman" w:cs="Times New Roman"/>
          <w:sz w:val="24"/>
          <w:szCs w:val="24"/>
          <w:vertAlign w:val="superscript"/>
        </w:rPr>
        <w:footnoteReference w:id="370"/>
      </w:r>
      <w:r>
        <w:rPr>
          <w:rFonts w:ascii="Times New Roman" w:hAnsi="Times New Roman" w:cs="Times New Roman"/>
          <w:sz w:val="24"/>
          <w:szCs w:val="24"/>
        </w:rPr>
        <w:t xml:space="preserve"> One evening at work, she exceeded this lifting restriction, which the employer had specifically instructed her to observe, and injured her back.</w:t>
      </w:r>
      <w:r w:rsidRPr="00112C9C">
        <w:rPr>
          <w:rFonts w:ascii="Times New Roman" w:hAnsi="Times New Roman" w:cs="Times New Roman"/>
          <w:sz w:val="24"/>
          <w:szCs w:val="24"/>
          <w:vertAlign w:val="superscript"/>
        </w:rPr>
        <w:footnoteReference w:id="371"/>
      </w:r>
      <w:r>
        <w:rPr>
          <w:rFonts w:ascii="Times New Roman" w:hAnsi="Times New Roman" w:cs="Times New Roman"/>
          <w:sz w:val="24"/>
          <w:szCs w:val="24"/>
        </w:rPr>
        <w:t xml:space="preserve"> The employer objected to payment of benefits, and the district court denied the claim.</w:t>
      </w:r>
      <w:r w:rsidRPr="00112C9C">
        <w:rPr>
          <w:rFonts w:ascii="Times New Roman" w:hAnsi="Times New Roman" w:cs="Times New Roman"/>
          <w:sz w:val="24"/>
          <w:szCs w:val="24"/>
          <w:vertAlign w:val="superscript"/>
        </w:rPr>
        <w:footnoteReference w:id="372"/>
      </w:r>
      <w:r>
        <w:rPr>
          <w:rFonts w:ascii="Times New Roman" w:hAnsi="Times New Roman" w:cs="Times New Roman"/>
          <w:sz w:val="24"/>
          <w:szCs w:val="24"/>
        </w:rPr>
        <w:t xml:space="preserve"> The Wyoming Supreme Court upheld the denial of the claim by the district court,</w:t>
      </w:r>
      <w:r w:rsidRPr="00112C9C">
        <w:rPr>
          <w:rFonts w:ascii="Times New Roman" w:hAnsi="Times New Roman" w:cs="Times New Roman"/>
          <w:sz w:val="24"/>
          <w:szCs w:val="24"/>
          <w:vertAlign w:val="superscript"/>
        </w:rPr>
        <w:footnoteReference w:id="373"/>
      </w:r>
      <w:r>
        <w:rPr>
          <w:rFonts w:ascii="Times New Roman" w:hAnsi="Times New Roman" w:cs="Times New Roman"/>
          <w:sz w:val="24"/>
          <w:szCs w:val="24"/>
        </w:rPr>
        <w:t xml:space="preserve"> quoting the </w:t>
      </w:r>
      <w:r w:rsidRPr="00926960">
        <w:rPr>
          <w:rFonts w:ascii="Times New Roman" w:hAnsi="Times New Roman" w:cs="Times New Roman"/>
          <w:i/>
          <w:sz w:val="24"/>
          <w:szCs w:val="24"/>
        </w:rPr>
        <w:t>Larson</w:t>
      </w:r>
      <w:r>
        <w:rPr>
          <w:rFonts w:ascii="Times New Roman" w:hAnsi="Times New Roman" w:cs="Times New Roman"/>
          <w:sz w:val="24"/>
          <w:szCs w:val="24"/>
        </w:rPr>
        <w:t>’s treatise distinction between “</w:t>
      </w:r>
      <w:r w:rsidRPr="001C3299">
        <w:rPr>
          <w:rFonts w:ascii="Times New Roman" w:hAnsi="Times New Roman" w:cs="Times New Roman"/>
          <w:sz w:val="24"/>
          <w:szCs w:val="24"/>
        </w:rPr>
        <w:t>a work restriction on the ultimate work to be done and a work restriction concerning the method by which the ultimate work is to be done.</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74"/>
      </w:r>
      <w:r>
        <w:rPr>
          <w:rFonts w:ascii="Times New Roman" w:hAnsi="Times New Roman" w:cs="Times New Roman"/>
          <w:sz w:val="24"/>
          <w:szCs w:val="24"/>
        </w:rPr>
        <w:t xml:space="preserve">  The Court </w:t>
      </w:r>
      <w:r>
        <w:rPr>
          <w:rFonts w:ascii="Times New Roman" w:hAnsi="Times New Roman" w:cs="Times New Roman"/>
          <w:sz w:val="24"/>
          <w:szCs w:val="24"/>
        </w:rPr>
        <w:lastRenderedPageBreak/>
        <w:t xml:space="preserve">then devised a test for when an employee </w:t>
      </w:r>
      <w:bookmarkStart w:id="520" w:name="_Hlk520460377"/>
      <w:r>
        <w:rPr>
          <w:rFonts w:ascii="Times New Roman" w:hAnsi="Times New Roman" w:cs="Times New Roman"/>
          <w:sz w:val="24"/>
          <w:szCs w:val="24"/>
        </w:rPr>
        <w:t xml:space="preserve">can be “found to </w:t>
      </w:r>
      <w:r w:rsidRPr="00926960">
        <w:rPr>
          <w:rFonts w:ascii="Times New Roman" w:hAnsi="Times New Roman" w:cs="Times New Roman"/>
          <w:sz w:val="24"/>
          <w:szCs w:val="24"/>
        </w:rPr>
        <w:t>have acted outside the scope of employment by violating a work restriction</w:t>
      </w:r>
      <w:bookmarkEnd w:id="520"/>
      <w:r>
        <w:rPr>
          <w:rFonts w:ascii="Times New Roman" w:hAnsi="Times New Roman" w:cs="Times New Roman"/>
          <w:sz w:val="24"/>
          <w:szCs w:val="24"/>
        </w:rPr>
        <w:t>”:</w:t>
      </w:r>
    </w:p>
    <w:p w14:paraId="28E9F16F" w14:textId="31DFF4B6" w:rsidR="00FF7482" w:rsidRDefault="00FF7482" w:rsidP="00A25156">
      <w:pPr>
        <w:pStyle w:val="ListParagraph"/>
        <w:ind w:left="0" w:firstLine="720"/>
        <w:jc w:val="both"/>
        <w:rPr>
          <w:rFonts w:ascii="Times New Roman" w:hAnsi="Times New Roman" w:cs="Times New Roman"/>
          <w:sz w:val="24"/>
          <w:szCs w:val="24"/>
        </w:rPr>
      </w:pPr>
    </w:p>
    <w:p w14:paraId="70C08D66" w14:textId="57C94320" w:rsidR="00FF7482" w:rsidRDefault="00FF7482" w:rsidP="00D57F28">
      <w:pPr>
        <w:pStyle w:val="ListParagraph"/>
        <w:ind w:right="720"/>
        <w:contextualSpacing w:val="0"/>
        <w:jc w:val="both"/>
        <w:rPr>
          <w:rFonts w:ascii="Times New Roman" w:hAnsi="Times New Roman" w:cs="Times New Roman"/>
          <w:sz w:val="24"/>
          <w:szCs w:val="24"/>
        </w:rPr>
      </w:pPr>
      <w:r w:rsidRPr="006125F6">
        <w:rPr>
          <w:rFonts w:ascii="Times New Roman" w:hAnsi="Times New Roman" w:cs="Times New Roman"/>
          <w:sz w:val="24"/>
          <w:szCs w:val="24"/>
        </w:rPr>
        <w:t xml:space="preserve">(1) the </w:t>
      </w:r>
      <w:r w:rsidRPr="006125F6">
        <w:rPr>
          <w:rFonts w:ascii="Times New Roman" w:hAnsi="Times New Roman" w:cs="Times New Roman"/>
          <w:b/>
          <w:sz w:val="24"/>
          <w:szCs w:val="24"/>
        </w:rPr>
        <w:t>employer expressly and carefully informs the employee that she must not perform a specific task</w:t>
      </w:r>
      <w:r w:rsidRPr="006125F6">
        <w:rPr>
          <w:rFonts w:ascii="Times New Roman" w:hAnsi="Times New Roman" w:cs="Times New Roman"/>
          <w:sz w:val="24"/>
          <w:szCs w:val="24"/>
        </w:rPr>
        <w:t xml:space="preserve"> or tasks while in his employ; </w:t>
      </w:r>
    </w:p>
    <w:p w14:paraId="0952B18A" w14:textId="77777777" w:rsidR="00FF7482" w:rsidRDefault="00FF7482" w:rsidP="00D57F28">
      <w:pPr>
        <w:pStyle w:val="ListParagraph"/>
        <w:ind w:right="720"/>
        <w:contextualSpacing w:val="0"/>
        <w:jc w:val="both"/>
        <w:rPr>
          <w:rFonts w:ascii="Times New Roman" w:hAnsi="Times New Roman" w:cs="Times New Roman"/>
          <w:sz w:val="24"/>
          <w:szCs w:val="24"/>
        </w:rPr>
      </w:pPr>
      <w:r w:rsidRPr="006125F6">
        <w:rPr>
          <w:rFonts w:ascii="Times New Roman" w:hAnsi="Times New Roman" w:cs="Times New Roman"/>
          <w:sz w:val="24"/>
          <w:szCs w:val="24"/>
        </w:rPr>
        <w:t xml:space="preserve">(2) the </w:t>
      </w:r>
      <w:r w:rsidRPr="006125F6">
        <w:rPr>
          <w:rFonts w:ascii="Times New Roman" w:hAnsi="Times New Roman" w:cs="Times New Roman"/>
          <w:b/>
          <w:sz w:val="24"/>
          <w:szCs w:val="24"/>
        </w:rPr>
        <w:t>employee knows and understands</w:t>
      </w:r>
      <w:r w:rsidRPr="006125F6">
        <w:rPr>
          <w:rFonts w:ascii="Times New Roman" w:hAnsi="Times New Roman" w:cs="Times New Roman"/>
          <w:sz w:val="24"/>
          <w:szCs w:val="24"/>
        </w:rPr>
        <w:t xml:space="preserve"> the specific restriction imposed; </w:t>
      </w:r>
    </w:p>
    <w:p w14:paraId="56645DF1" w14:textId="5F210168" w:rsidR="00FF7482" w:rsidRDefault="00FF7482" w:rsidP="00D57F28">
      <w:pPr>
        <w:pStyle w:val="ListParagraph"/>
        <w:ind w:right="720"/>
        <w:contextualSpacing w:val="0"/>
        <w:jc w:val="both"/>
        <w:rPr>
          <w:rFonts w:ascii="Times New Roman" w:hAnsi="Times New Roman" w:cs="Times New Roman"/>
          <w:sz w:val="24"/>
          <w:szCs w:val="24"/>
        </w:rPr>
      </w:pPr>
      <w:r w:rsidRPr="006125F6">
        <w:rPr>
          <w:rFonts w:ascii="Times New Roman" w:hAnsi="Times New Roman" w:cs="Times New Roman"/>
          <w:sz w:val="24"/>
          <w:szCs w:val="24"/>
        </w:rPr>
        <w:t xml:space="preserve">(3) the </w:t>
      </w:r>
      <w:r w:rsidRPr="006125F6">
        <w:rPr>
          <w:rFonts w:ascii="Times New Roman" w:hAnsi="Times New Roman" w:cs="Times New Roman"/>
          <w:b/>
          <w:sz w:val="24"/>
          <w:szCs w:val="24"/>
        </w:rPr>
        <w:t>employer has not knowingly continued to accept the benefit</w:t>
      </w:r>
      <w:r w:rsidRPr="006125F6">
        <w:rPr>
          <w:rFonts w:ascii="Times New Roman" w:hAnsi="Times New Roman" w:cs="Times New Roman"/>
          <w:sz w:val="24"/>
          <w:szCs w:val="24"/>
        </w:rPr>
        <w:t xml:space="preserve"> of a violation of the restriction by the employee; and, </w:t>
      </w:r>
    </w:p>
    <w:p w14:paraId="20224224" w14:textId="5AD5EFD7" w:rsidR="00FF7482" w:rsidRDefault="00FF7482" w:rsidP="00D57F28">
      <w:pPr>
        <w:pStyle w:val="ListParagraph"/>
        <w:spacing w:after="0"/>
        <w:ind w:right="720"/>
        <w:contextualSpacing w:val="0"/>
        <w:jc w:val="both"/>
        <w:rPr>
          <w:rStyle w:val="Hyperlink"/>
          <w:rFonts w:ascii="Times New Roman" w:hAnsi="Times New Roman" w:cs="Times New Roman"/>
          <w:sz w:val="24"/>
          <w:szCs w:val="24"/>
          <w:vertAlign w:val="superscript"/>
        </w:rPr>
      </w:pPr>
      <w:r w:rsidRPr="006125F6">
        <w:rPr>
          <w:rFonts w:ascii="Times New Roman" w:hAnsi="Times New Roman" w:cs="Times New Roman"/>
          <w:sz w:val="24"/>
          <w:szCs w:val="24"/>
        </w:rPr>
        <w:t xml:space="preserve">(4) the injury for which benefits are claimed </w:t>
      </w:r>
      <w:r w:rsidRPr="006125F6">
        <w:rPr>
          <w:rFonts w:ascii="Times New Roman" w:hAnsi="Times New Roman" w:cs="Times New Roman"/>
          <w:b/>
          <w:sz w:val="24"/>
          <w:szCs w:val="24"/>
        </w:rPr>
        <w:t>arises out of conduct that clearly violates the specific restriction</w:t>
      </w:r>
      <w:r w:rsidRPr="006125F6">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75"/>
      </w:r>
    </w:p>
    <w:p w14:paraId="3A1C3F9E" w14:textId="77777777" w:rsidR="00D57F28" w:rsidRPr="00D57F28" w:rsidRDefault="00D57F28" w:rsidP="00D57F28">
      <w:pPr>
        <w:pStyle w:val="ListParagraph"/>
        <w:spacing w:after="0"/>
        <w:ind w:right="720"/>
        <w:contextualSpacing w:val="0"/>
        <w:jc w:val="both"/>
        <w:rPr>
          <w:rFonts w:ascii="Times New Roman" w:hAnsi="Times New Roman" w:cs="Times New Roman"/>
          <w:sz w:val="24"/>
          <w:szCs w:val="24"/>
        </w:rPr>
      </w:pPr>
    </w:p>
    <w:p w14:paraId="762F46DF" w14:textId="42BF3F82" w:rsidR="00FF7482" w:rsidRDefault="00FF7482" w:rsidP="00DA2F3E">
      <w:pPr>
        <w:pStyle w:val="ListParagraph"/>
        <w:spacing w:after="0"/>
        <w:ind w:left="0"/>
        <w:jc w:val="both"/>
        <w:rPr>
          <w:rFonts w:ascii="Times New Roman" w:hAnsi="Times New Roman" w:cs="Times New Roman"/>
          <w:sz w:val="24"/>
          <w:szCs w:val="24"/>
        </w:rPr>
      </w:pPr>
      <w:r w:rsidRPr="006125F6">
        <w:rPr>
          <w:rFonts w:ascii="Times New Roman" w:hAnsi="Times New Roman" w:cs="Times New Roman"/>
          <w:sz w:val="24"/>
          <w:szCs w:val="24"/>
        </w:rPr>
        <w:t xml:space="preserve">The </w:t>
      </w:r>
      <w:r w:rsidRPr="00480950">
        <w:rPr>
          <w:rFonts w:ascii="Times New Roman" w:hAnsi="Times New Roman" w:cs="Times New Roman"/>
          <w:i/>
          <w:sz w:val="24"/>
          <w:szCs w:val="24"/>
        </w:rPr>
        <w:t>Smith</w:t>
      </w:r>
      <w:r w:rsidRPr="006125F6">
        <w:rPr>
          <w:rFonts w:ascii="Times New Roman" w:hAnsi="Times New Roman" w:cs="Times New Roman"/>
          <w:sz w:val="24"/>
          <w:szCs w:val="24"/>
        </w:rPr>
        <w:t xml:space="preserve"> test was reaffirmed</w:t>
      </w:r>
      <w:r>
        <w:rPr>
          <w:rFonts w:ascii="Times New Roman" w:hAnsi="Times New Roman" w:cs="Times New Roman"/>
          <w:sz w:val="24"/>
          <w:szCs w:val="24"/>
        </w:rPr>
        <w:t xml:space="preserve"> in </w:t>
      </w:r>
      <w:r w:rsidRPr="006125F6">
        <w:rPr>
          <w:rFonts w:ascii="Times New Roman" w:hAnsi="Times New Roman" w:cs="Times New Roman"/>
          <w:i/>
          <w:sz w:val="24"/>
          <w:szCs w:val="24"/>
        </w:rPr>
        <w:t xml:space="preserve">Perry v. Workers’ Safety </w:t>
      </w:r>
      <w:r>
        <w:rPr>
          <w:rFonts w:ascii="Times New Roman" w:hAnsi="Times New Roman" w:cs="Times New Roman"/>
          <w:i/>
          <w:sz w:val="24"/>
          <w:szCs w:val="24"/>
        </w:rPr>
        <w:t>&amp;</w:t>
      </w:r>
      <w:r w:rsidRPr="006125F6">
        <w:rPr>
          <w:rFonts w:ascii="Times New Roman" w:hAnsi="Times New Roman" w:cs="Times New Roman"/>
          <w:i/>
          <w:sz w:val="24"/>
          <w:szCs w:val="24"/>
        </w:rPr>
        <w:t xml:space="preserve"> Compensation Div</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76"/>
      </w:r>
      <w:r>
        <w:rPr>
          <w:rFonts w:ascii="Times New Roman" w:hAnsi="Times New Roman" w:cs="Times New Roman"/>
          <w:sz w:val="24"/>
          <w:szCs w:val="24"/>
        </w:rPr>
        <w:t xml:space="preserve"> In that case, a CNA violated a work rule by attempting to lift by herself a patient that had been classified as a “two-person” lift.</w:t>
      </w:r>
      <w:r w:rsidRPr="00112C9C">
        <w:rPr>
          <w:rFonts w:ascii="Times New Roman" w:hAnsi="Times New Roman" w:cs="Times New Roman"/>
          <w:sz w:val="24"/>
          <w:szCs w:val="24"/>
          <w:vertAlign w:val="superscript"/>
        </w:rPr>
        <w:footnoteReference w:id="377"/>
      </w:r>
      <w:r>
        <w:rPr>
          <w:rFonts w:ascii="Times New Roman" w:hAnsi="Times New Roman" w:cs="Times New Roman"/>
          <w:sz w:val="24"/>
          <w:szCs w:val="24"/>
        </w:rPr>
        <w:t xml:space="preserve"> Applying the </w:t>
      </w:r>
      <w:r w:rsidRPr="00097D47">
        <w:rPr>
          <w:rFonts w:ascii="Times New Roman" w:hAnsi="Times New Roman" w:cs="Times New Roman"/>
          <w:i/>
          <w:sz w:val="24"/>
          <w:szCs w:val="24"/>
        </w:rPr>
        <w:t>Smith</w:t>
      </w:r>
      <w:r>
        <w:rPr>
          <w:rFonts w:ascii="Times New Roman" w:hAnsi="Times New Roman" w:cs="Times New Roman"/>
          <w:sz w:val="24"/>
          <w:szCs w:val="24"/>
        </w:rPr>
        <w:t xml:space="preserve"> test, the Wyoming Supreme Court upheld administrative denial of the claim.</w:t>
      </w:r>
      <w:r w:rsidRPr="00112C9C">
        <w:rPr>
          <w:rFonts w:ascii="Times New Roman" w:hAnsi="Times New Roman" w:cs="Times New Roman"/>
          <w:sz w:val="24"/>
          <w:szCs w:val="24"/>
          <w:vertAlign w:val="superscript"/>
        </w:rPr>
        <w:footnoteReference w:id="378"/>
      </w:r>
      <w:r>
        <w:rPr>
          <w:rFonts w:ascii="Times New Roman" w:hAnsi="Times New Roman" w:cs="Times New Roman"/>
          <w:sz w:val="24"/>
          <w:szCs w:val="24"/>
        </w:rPr>
        <w:t xml:space="preserve"> Chief Justice Kite dissented, in an opinion joined by Justice Burke, arguing both that </w:t>
      </w:r>
      <w:r w:rsidRPr="00480950">
        <w:rPr>
          <w:rFonts w:ascii="Times New Roman" w:hAnsi="Times New Roman" w:cs="Times New Roman"/>
          <w:i/>
          <w:sz w:val="24"/>
          <w:szCs w:val="24"/>
        </w:rPr>
        <w:t>Smith</w:t>
      </w:r>
      <w:r>
        <w:rPr>
          <w:rFonts w:ascii="Times New Roman" w:hAnsi="Times New Roman" w:cs="Times New Roman"/>
          <w:sz w:val="24"/>
          <w:szCs w:val="24"/>
        </w:rPr>
        <w:t xml:space="preserve"> was an outdated opinion (and quoting extensively the then-current </w:t>
      </w:r>
      <w:r w:rsidRPr="00480950">
        <w:rPr>
          <w:rFonts w:ascii="Times New Roman" w:hAnsi="Times New Roman" w:cs="Times New Roman"/>
          <w:i/>
          <w:sz w:val="24"/>
          <w:szCs w:val="24"/>
        </w:rPr>
        <w:t>Larson</w:t>
      </w:r>
      <w:r>
        <w:rPr>
          <w:rFonts w:ascii="Times New Roman" w:hAnsi="Times New Roman" w:cs="Times New Roman"/>
          <w:sz w:val="24"/>
          <w:szCs w:val="24"/>
        </w:rPr>
        <w:t xml:space="preserve">’s treatise on the subject which had been significantly refined since </w:t>
      </w:r>
      <w:r w:rsidRPr="008D2F81">
        <w:rPr>
          <w:rFonts w:ascii="Times New Roman" w:hAnsi="Times New Roman" w:cs="Times New Roman"/>
          <w:i/>
          <w:sz w:val="24"/>
          <w:szCs w:val="24"/>
        </w:rPr>
        <w:t>Smith</w:t>
      </w:r>
      <w:r>
        <w:rPr>
          <w:rFonts w:ascii="Times New Roman" w:hAnsi="Times New Roman" w:cs="Times New Roman"/>
          <w:sz w:val="24"/>
          <w:szCs w:val="24"/>
        </w:rPr>
        <w:t xml:space="preserve">) but that, even if </w:t>
      </w:r>
      <w:r w:rsidRPr="00480950">
        <w:rPr>
          <w:rFonts w:ascii="Times New Roman" w:hAnsi="Times New Roman" w:cs="Times New Roman"/>
          <w:i/>
          <w:sz w:val="24"/>
          <w:szCs w:val="24"/>
        </w:rPr>
        <w:t>Smith</w:t>
      </w:r>
      <w:r>
        <w:rPr>
          <w:rFonts w:ascii="Times New Roman" w:hAnsi="Times New Roman" w:cs="Times New Roman"/>
          <w:sz w:val="24"/>
          <w:szCs w:val="24"/>
        </w:rPr>
        <w:t xml:space="preserve"> applied, the employer had not carried its burden of establishing the exclusion.</w:t>
      </w:r>
      <w:r w:rsidRPr="00112C9C">
        <w:rPr>
          <w:rFonts w:ascii="Times New Roman" w:hAnsi="Times New Roman" w:cs="Times New Roman"/>
          <w:sz w:val="24"/>
          <w:szCs w:val="24"/>
          <w:vertAlign w:val="superscript"/>
        </w:rPr>
        <w:footnoteReference w:id="379"/>
      </w:r>
      <w:r>
        <w:rPr>
          <w:rFonts w:ascii="Times New Roman" w:hAnsi="Times New Roman" w:cs="Times New Roman"/>
          <w:sz w:val="24"/>
          <w:szCs w:val="24"/>
        </w:rPr>
        <w:t xml:space="preserve">  </w:t>
      </w:r>
    </w:p>
    <w:p w14:paraId="6D9B4999" w14:textId="77777777" w:rsidR="00FF7482" w:rsidRPr="006125F6" w:rsidRDefault="00FF7482" w:rsidP="00DA2F3E">
      <w:pPr>
        <w:pStyle w:val="ListParagraph"/>
        <w:spacing w:after="0"/>
        <w:ind w:left="0" w:firstLine="720"/>
        <w:jc w:val="both"/>
        <w:rPr>
          <w:rFonts w:ascii="Times New Roman" w:hAnsi="Times New Roman" w:cs="Times New Roman"/>
          <w:sz w:val="24"/>
          <w:szCs w:val="24"/>
        </w:rPr>
      </w:pPr>
    </w:p>
    <w:p w14:paraId="3058D027" w14:textId="49FC8C71" w:rsidR="00FF7482" w:rsidRDefault="00FF7482" w:rsidP="00DA2F3E">
      <w:pPr>
        <w:pStyle w:val="Heading2"/>
        <w:contextualSpacing/>
        <w:rPr>
          <w:rFonts w:ascii="Times New Roman" w:hAnsi="Times New Roman" w:cs="Times New Roman"/>
          <w:b/>
          <w:color w:val="auto"/>
        </w:rPr>
      </w:pPr>
      <w:bookmarkStart w:id="526" w:name="_Hlk520383254"/>
      <w:bookmarkStart w:id="527" w:name="_Toc75269383"/>
      <w:r w:rsidRPr="00FB34C7">
        <w:rPr>
          <w:rFonts w:ascii="Times New Roman" w:hAnsi="Times New Roman" w:cs="Times New Roman"/>
          <w:b/>
          <w:color w:val="auto"/>
        </w:rPr>
        <w:t>“In the Course of” in Wyoming – Employee Misconduct</w:t>
      </w:r>
      <w:bookmarkEnd w:id="526"/>
      <w:bookmarkEnd w:id="527"/>
    </w:p>
    <w:p w14:paraId="78A4BA64" w14:textId="77777777" w:rsidR="00DA2F3E" w:rsidRPr="00DA2F3E" w:rsidRDefault="00DA2F3E" w:rsidP="00DA2F3E">
      <w:pPr>
        <w:spacing w:after="0"/>
        <w:contextualSpacing/>
      </w:pPr>
    </w:p>
    <w:p w14:paraId="0901C242" w14:textId="0CBEC511" w:rsidR="00FF7482" w:rsidRDefault="00FF7482" w:rsidP="00DA2F3E">
      <w:pPr>
        <w:pStyle w:val="ListParagraph"/>
        <w:spacing w:after="0"/>
        <w:ind w:left="0"/>
        <w:jc w:val="both"/>
        <w:rPr>
          <w:rFonts w:ascii="Times New Roman" w:hAnsi="Times New Roman" w:cs="Times New Roman"/>
          <w:sz w:val="24"/>
          <w:szCs w:val="24"/>
        </w:rPr>
      </w:pPr>
      <w:r w:rsidRPr="00FB34C7">
        <w:rPr>
          <w:rFonts w:ascii="Times New Roman" w:hAnsi="Times New Roman" w:cs="Times New Roman"/>
          <w:sz w:val="24"/>
          <w:szCs w:val="24"/>
        </w:rPr>
        <w:t>In some instances, an employee may engage in</w:t>
      </w:r>
      <w:r>
        <w:rPr>
          <w:rFonts w:ascii="Times New Roman" w:hAnsi="Times New Roman" w:cs="Times New Roman"/>
          <w:sz w:val="24"/>
          <w:szCs w:val="24"/>
        </w:rPr>
        <w:t xml:space="preserve"> arguable</w:t>
      </w:r>
      <w:r w:rsidRPr="00FB34C7">
        <w:rPr>
          <w:rFonts w:ascii="Times New Roman" w:hAnsi="Times New Roman" w:cs="Times New Roman"/>
          <w:sz w:val="24"/>
          <w:szCs w:val="24"/>
        </w:rPr>
        <w:t xml:space="preserve"> </w:t>
      </w:r>
      <w:r>
        <w:rPr>
          <w:rFonts w:ascii="Times New Roman" w:hAnsi="Times New Roman" w:cs="Times New Roman"/>
          <w:sz w:val="24"/>
          <w:szCs w:val="24"/>
        </w:rPr>
        <w:t>“mis</w:t>
      </w:r>
      <w:r w:rsidRPr="00FB34C7">
        <w:rPr>
          <w:rFonts w:ascii="Times New Roman" w:hAnsi="Times New Roman" w:cs="Times New Roman"/>
          <w:sz w:val="24"/>
          <w:szCs w:val="24"/>
        </w:rPr>
        <w:t>conduct</w:t>
      </w:r>
      <w:r>
        <w:rPr>
          <w:rFonts w:ascii="Times New Roman" w:hAnsi="Times New Roman" w:cs="Times New Roman"/>
          <w:sz w:val="24"/>
          <w:szCs w:val="24"/>
        </w:rPr>
        <w:t>” that leads to a workplace injury.</w:t>
      </w:r>
      <w:r w:rsidRPr="00112C9C">
        <w:rPr>
          <w:rFonts w:ascii="Times New Roman" w:hAnsi="Times New Roman" w:cs="Times New Roman"/>
          <w:sz w:val="24"/>
          <w:szCs w:val="24"/>
          <w:vertAlign w:val="superscript"/>
        </w:rPr>
        <w:footnoteReference w:id="380"/>
      </w:r>
      <w:r>
        <w:rPr>
          <w:rFonts w:ascii="Times New Roman" w:hAnsi="Times New Roman" w:cs="Times New Roman"/>
          <w:sz w:val="24"/>
          <w:szCs w:val="24"/>
        </w:rPr>
        <w:t xml:space="preserve"> The slippery problem with depriving an employee of workers’ compensation benefits in such circumstances is that one of the major reasons for which workers’ compensation was originally instituted was to end application of the negligence-based affirmative defenses—contributory negligence, assumption of the risk, and the fellow-servant rule—to defeat employee injury remedies.</w:t>
      </w:r>
      <w:r w:rsidRPr="00112C9C">
        <w:rPr>
          <w:rFonts w:ascii="Times New Roman" w:hAnsi="Times New Roman" w:cs="Times New Roman"/>
          <w:sz w:val="24"/>
          <w:szCs w:val="24"/>
          <w:vertAlign w:val="superscript"/>
        </w:rPr>
        <w:footnoteReference w:id="381"/>
      </w:r>
      <w:r>
        <w:rPr>
          <w:rFonts w:ascii="Times New Roman" w:hAnsi="Times New Roman" w:cs="Times New Roman"/>
          <w:sz w:val="24"/>
          <w:szCs w:val="24"/>
        </w:rPr>
        <w:t xml:space="preserve"> On the other hand, if an employee engages in substantial misconduct, it might be said that the employee is no longer performing activity in the course of “employment” but, rather, has abandoned the work. One of the earliest Wyoming </w:t>
      </w:r>
      <w:r>
        <w:rPr>
          <w:rFonts w:ascii="Times New Roman" w:hAnsi="Times New Roman" w:cs="Times New Roman"/>
          <w:sz w:val="24"/>
          <w:szCs w:val="24"/>
        </w:rPr>
        <w:lastRenderedPageBreak/>
        <w:t xml:space="preserve">decisions in this area, </w:t>
      </w:r>
      <w:r w:rsidRPr="00FB1B9B">
        <w:rPr>
          <w:rFonts w:ascii="Times New Roman" w:hAnsi="Times New Roman" w:cs="Times New Roman"/>
          <w:i/>
          <w:sz w:val="24"/>
          <w:szCs w:val="24"/>
        </w:rPr>
        <w:t>Hotelling v. Fargo-Western Oil Co</w:t>
      </w:r>
      <w:r w:rsidRPr="00FB1B9B">
        <w:rPr>
          <w:rFonts w:ascii="Times New Roman" w:hAnsi="Times New Roman" w:cs="Times New Roman"/>
          <w:sz w:val="24"/>
          <w:szCs w:val="24"/>
        </w:rPr>
        <w:t>.</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82"/>
      </w:r>
      <w:r>
        <w:rPr>
          <w:rFonts w:ascii="Times New Roman" w:hAnsi="Times New Roman" w:cs="Times New Roman"/>
          <w:sz w:val="24"/>
          <w:szCs w:val="24"/>
        </w:rPr>
        <w:t xml:space="preserve"> explained that the Wyoming Constitution explicitly requires that claims be denied in a narrow range of cases in which “culpable negligence” by the employee has been sufficiently established.</w:t>
      </w:r>
      <w:r w:rsidRPr="00112C9C">
        <w:rPr>
          <w:rFonts w:ascii="Times New Roman" w:hAnsi="Times New Roman" w:cs="Times New Roman"/>
          <w:sz w:val="24"/>
          <w:szCs w:val="24"/>
          <w:vertAlign w:val="superscript"/>
        </w:rPr>
        <w:footnoteReference w:id="383"/>
      </w:r>
      <w:r>
        <w:rPr>
          <w:rFonts w:ascii="Times New Roman" w:hAnsi="Times New Roman" w:cs="Times New Roman"/>
          <w:sz w:val="24"/>
          <w:szCs w:val="24"/>
        </w:rPr>
        <w:t xml:space="preserve"> </w:t>
      </w:r>
      <w:hyperlink r:id="rId74" w:history="1">
        <w:r w:rsidRPr="00BE5C13">
          <w:rPr>
            <w:rStyle w:val="Hyperlink"/>
            <w:rFonts w:ascii="Times New Roman" w:hAnsi="Times New Roman" w:cs="Times New Roman"/>
            <w:sz w:val="24"/>
            <w:szCs w:val="24"/>
          </w:rPr>
          <w:t>Article 10, Section 4(c)</w:t>
        </w:r>
      </w:hyperlink>
      <w:r>
        <w:rPr>
          <w:rFonts w:ascii="Times New Roman" w:hAnsi="Times New Roman" w:cs="Times New Roman"/>
          <w:sz w:val="24"/>
          <w:szCs w:val="24"/>
        </w:rPr>
        <w:t xml:space="preserve"> of the Wyoming Constitution states in relevant part that work-related injuries are compensable “</w:t>
      </w:r>
      <w:r w:rsidRPr="008329F5">
        <w:rPr>
          <w:rFonts w:ascii="Times New Roman" w:hAnsi="Times New Roman" w:cs="Times New Roman"/>
          <w:sz w:val="24"/>
          <w:szCs w:val="24"/>
        </w:rPr>
        <w:t>except</w:t>
      </w:r>
      <w:r>
        <w:rPr>
          <w:rFonts w:ascii="Times New Roman" w:hAnsi="Times New Roman" w:cs="Times New Roman"/>
          <w:sz w:val="24"/>
          <w:szCs w:val="24"/>
        </w:rPr>
        <w:t xml:space="preserve"> </w:t>
      </w:r>
      <w:r w:rsidRPr="008329F5">
        <w:rPr>
          <w:rFonts w:ascii="Times New Roman" w:hAnsi="Times New Roman" w:cs="Times New Roman"/>
          <w:sz w:val="24"/>
          <w:szCs w:val="24"/>
        </w:rPr>
        <w:t>in  case  of  injuries  due  solely  to  the  culpable  negligence  of  the  injured</w:t>
      </w:r>
      <w:r>
        <w:rPr>
          <w:rFonts w:ascii="Times New Roman" w:hAnsi="Times New Roman" w:cs="Times New Roman"/>
          <w:sz w:val="24"/>
          <w:szCs w:val="24"/>
        </w:rPr>
        <w:t xml:space="preserve"> </w:t>
      </w:r>
      <w:r w:rsidRPr="008329F5">
        <w:rPr>
          <w:rFonts w:ascii="Times New Roman" w:hAnsi="Times New Roman" w:cs="Times New Roman"/>
          <w:sz w:val="24"/>
          <w:szCs w:val="24"/>
        </w:rPr>
        <w:t>employee.</w:t>
      </w:r>
      <w:r>
        <w:rPr>
          <w:rFonts w:ascii="Times New Roman" w:hAnsi="Times New Roman" w:cs="Times New Roman"/>
          <w:sz w:val="24"/>
          <w:szCs w:val="24"/>
        </w:rPr>
        <w:t>”</w:t>
      </w:r>
      <w:r w:rsidRPr="008329F5">
        <w:rPr>
          <w:rFonts w:ascii="Times New Roman" w:hAnsi="Times New Roman" w:cs="Times New Roman"/>
          <w:sz w:val="24"/>
          <w:szCs w:val="24"/>
        </w:rPr>
        <w:t xml:space="preserve"> </w:t>
      </w:r>
      <w:r>
        <w:rPr>
          <w:rFonts w:ascii="Times New Roman" w:hAnsi="Times New Roman" w:cs="Times New Roman"/>
          <w:sz w:val="24"/>
          <w:szCs w:val="24"/>
        </w:rPr>
        <w:t xml:space="preserve">As the Court noted, however one defines the term </w:t>
      </w:r>
      <w:r w:rsidRPr="00A33F3D">
        <w:rPr>
          <w:rFonts w:ascii="Times New Roman" w:hAnsi="Times New Roman" w:cs="Times New Roman"/>
          <w:i/>
          <w:sz w:val="24"/>
          <w:szCs w:val="24"/>
        </w:rPr>
        <w:t>culpable</w:t>
      </w:r>
      <w:r>
        <w:rPr>
          <w:rFonts w:ascii="Times New Roman" w:hAnsi="Times New Roman" w:cs="Times New Roman"/>
          <w:sz w:val="24"/>
          <w:szCs w:val="24"/>
        </w:rPr>
        <w:t xml:space="preserve">, as a matter of state </w:t>
      </w:r>
      <w:r w:rsidRPr="00AD20D6">
        <w:rPr>
          <w:rFonts w:ascii="Times New Roman" w:hAnsi="Times New Roman" w:cs="Times New Roman"/>
          <w:i/>
          <w:sz w:val="24"/>
          <w:szCs w:val="24"/>
        </w:rPr>
        <w:t>constitutional</w:t>
      </w:r>
      <w:r>
        <w:rPr>
          <w:rFonts w:ascii="Times New Roman" w:hAnsi="Times New Roman" w:cs="Times New Roman"/>
          <w:sz w:val="24"/>
          <w:szCs w:val="24"/>
        </w:rPr>
        <w:t xml:space="preserve"> law, “</w:t>
      </w:r>
      <w:r w:rsidRPr="008329F5">
        <w:rPr>
          <w:rFonts w:ascii="Times New Roman" w:hAnsi="Times New Roman" w:cs="Times New Roman"/>
          <w:sz w:val="24"/>
          <w:szCs w:val="24"/>
        </w:rPr>
        <w:t>it is clear that the right to compensation should not be denied unless the injury was due solely to the negligence of the workman whose injury or death is the basis of the claim.</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84"/>
      </w:r>
      <w:r>
        <w:rPr>
          <w:rFonts w:ascii="Times New Roman" w:hAnsi="Times New Roman" w:cs="Times New Roman"/>
          <w:sz w:val="24"/>
          <w:szCs w:val="24"/>
        </w:rPr>
        <w:t xml:space="preserve"> The courts from an early date recognized that “[t]</w:t>
      </w:r>
      <w:r w:rsidRPr="00412814">
        <w:rPr>
          <w:rFonts w:ascii="Times New Roman" w:hAnsi="Times New Roman" w:cs="Times New Roman"/>
          <w:sz w:val="24"/>
          <w:szCs w:val="24"/>
        </w:rPr>
        <w:t xml:space="preserve">he word </w:t>
      </w:r>
      <w:r>
        <w:rPr>
          <w:rFonts w:ascii="Times New Roman" w:hAnsi="Times New Roman" w:cs="Times New Roman"/>
          <w:sz w:val="24"/>
          <w:szCs w:val="24"/>
        </w:rPr>
        <w:t>‘</w:t>
      </w:r>
      <w:r w:rsidRPr="00412814">
        <w:rPr>
          <w:rFonts w:ascii="Times New Roman" w:hAnsi="Times New Roman" w:cs="Times New Roman"/>
          <w:sz w:val="24"/>
          <w:szCs w:val="24"/>
        </w:rPr>
        <w:t>culpable</w:t>
      </w:r>
      <w:r>
        <w:rPr>
          <w:rFonts w:ascii="Times New Roman" w:hAnsi="Times New Roman" w:cs="Times New Roman"/>
          <w:sz w:val="24"/>
          <w:szCs w:val="24"/>
        </w:rPr>
        <w:t>’</w:t>
      </w:r>
      <w:r w:rsidRPr="00412814">
        <w:rPr>
          <w:rFonts w:ascii="Times New Roman" w:hAnsi="Times New Roman" w:cs="Times New Roman"/>
          <w:sz w:val="24"/>
          <w:szCs w:val="24"/>
        </w:rPr>
        <w:t xml:space="preserve"> is a strong term. Its </w:t>
      </w:r>
      <w:r>
        <w:rPr>
          <w:rFonts w:ascii="Times New Roman" w:hAnsi="Times New Roman" w:cs="Times New Roman"/>
          <w:sz w:val="24"/>
          <w:szCs w:val="24"/>
        </w:rPr>
        <w:t>‘</w:t>
      </w:r>
      <w:r w:rsidRPr="00412814">
        <w:rPr>
          <w:rFonts w:ascii="Times New Roman" w:hAnsi="Times New Roman" w:cs="Times New Roman"/>
          <w:sz w:val="24"/>
          <w:szCs w:val="24"/>
        </w:rPr>
        <w:t>primary meaning was criminal, that is, deserving of punishment</w:t>
      </w:r>
      <w:r>
        <w:rPr>
          <w:rFonts w:ascii="Times New Roman" w:hAnsi="Times New Roman" w:cs="Times New Roman"/>
          <w:sz w:val="24"/>
          <w:szCs w:val="24"/>
        </w:rPr>
        <w:t>’</w:t>
      </w:r>
      <w:r w:rsidRPr="00412814">
        <w:rPr>
          <w:rFonts w:ascii="Times New Roman" w:hAnsi="Times New Roman" w:cs="Times New Roman"/>
          <w:sz w:val="24"/>
          <w:szCs w:val="24"/>
        </w:rPr>
        <w:t>, referring to the Latin derivation of the word</w:t>
      </w:r>
      <w:r>
        <w:rPr>
          <w:rFonts w:ascii="Times New Roman" w:hAnsi="Times New Roman" w:cs="Times New Roman"/>
          <w:sz w:val="24"/>
          <w:szCs w:val="24"/>
        </w:rPr>
        <w:t xml:space="preserve"> . . .”</w:t>
      </w:r>
      <w:r w:rsidRPr="00112C9C">
        <w:rPr>
          <w:rFonts w:ascii="Times New Roman" w:hAnsi="Times New Roman" w:cs="Times New Roman"/>
          <w:sz w:val="24"/>
          <w:szCs w:val="24"/>
          <w:vertAlign w:val="superscript"/>
        </w:rPr>
        <w:footnoteReference w:id="385"/>
      </w:r>
      <w:r>
        <w:rPr>
          <w:rFonts w:ascii="Times New Roman" w:hAnsi="Times New Roman" w:cs="Times New Roman"/>
          <w:sz w:val="24"/>
          <w:szCs w:val="24"/>
        </w:rPr>
        <w:t xml:space="preserve"> Accordingly, Wyoming courts ascribed to the phrase “culpable negligence” a meaning not unlike a similar idea used by courts in other states and in the English Workmen’s Compensation Act (of 1897) that misconduct sufficient to cut off an employee’s entitlement to workers’ compensation benefits must be “serious and willful.”</w:t>
      </w:r>
      <w:r w:rsidRPr="00112C9C">
        <w:rPr>
          <w:rFonts w:ascii="Times New Roman" w:hAnsi="Times New Roman" w:cs="Times New Roman"/>
          <w:sz w:val="24"/>
          <w:szCs w:val="24"/>
          <w:vertAlign w:val="superscript"/>
        </w:rPr>
        <w:footnoteReference w:id="386"/>
      </w:r>
      <w:r>
        <w:rPr>
          <w:rFonts w:ascii="Times New Roman" w:hAnsi="Times New Roman" w:cs="Times New Roman"/>
          <w:sz w:val="24"/>
          <w:szCs w:val="24"/>
        </w:rPr>
        <w:t xml:space="preserve">  </w:t>
      </w:r>
    </w:p>
    <w:p w14:paraId="01E0D15D" w14:textId="77777777" w:rsidR="00FF7482" w:rsidRDefault="00FF7482" w:rsidP="008329F5">
      <w:pPr>
        <w:pStyle w:val="ListParagraph"/>
        <w:ind w:left="0" w:firstLine="720"/>
        <w:jc w:val="both"/>
        <w:rPr>
          <w:rFonts w:ascii="Times New Roman" w:hAnsi="Times New Roman" w:cs="Times New Roman"/>
          <w:sz w:val="24"/>
          <w:szCs w:val="24"/>
        </w:rPr>
      </w:pPr>
    </w:p>
    <w:p w14:paraId="7B14D45B" w14:textId="05533912" w:rsidR="00FF7482" w:rsidRDefault="00FF7482" w:rsidP="00944B8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 recent statement of the law in this area may be found in </w:t>
      </w:r>
      <w:r w:rsidRPr="0093189B">
        <w:rPr>
          <w:rFonts w:ascii="Times New Roman" w:hAnsi="Times New Roman" w:cs="Times New Roman"/>
          <w:i/>
          <w:sz w:val="24"/>
          <w:szCs w:val="24"/>
        </w:rPr>
        <w:t>Shepherd of Valley Care Center v. Fulmer</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87"/>
      </w:r>
      <w:r>
        <w:rPr>
          <w:rFonts w:ascii="Times New Roman" w:hAnsi="Times New Roman" w:cs="Times New Roman"/>
          <w:sz w:val="24"/>
          <w:szCs w:val="24"/>
        </w:rPr>
        <w:t xml:space="preserve"> In </w:t>
      </w:r>
      <w:r>
        <w:rPr>
          <w:rFonts w:ascii="Times New Roman" w:hAnsi="Times New Roman" w:cs="Times New Roman"/>
          <w:i/>
          <w:sz w:val="24"/>
          <w:szCs w:val="24"/>
        </w:rPr>
        <w:t>Shepherd</w:t>
      </w:r>
      <w:r>
        <w:rPr>
          <w:rFonts w:ascii="Times New Roman" w:hAnsi="Times New Roman" w:cs="Times New Roman"/>
          <w:sz w:val="24"/>
          <w:szCs w:val="24"/>
        </w:rPr>
        <w:t>, a certified nursing assistant suffered an injury when lifting a patient by herself in circumstances where the employer’s rules arguably mandated a two-person lift.</w:t>
      </w:r>
      <w:r w:rsidRPr="00112C9C">
        <w:rPr>
          <w:rFonts w:ascii="Times New Roman" w:hAnsi="Times New Roman" w:cs="Times New Roman"/>
          <w:sz w:val="24"/>
          <w:szCs w:val="24"/>
          <w:vertAlign w:val="superscript"/>
        </w:rPr>
        <w:footnoteReference w:id="388"/>
      </w:r>
      <w:r>
        <w:rPr>
          <w:rFonts w:ascii="Times New Roman" w:hAnsi="Times New Roman" w:cs="Times New Roman"/>
          <w:sz w:val="24"/>
          <w:szCs w:val="24"/>
        </w:rPr>
        <w:t xml:space="preserve"> The employer objected to payment of workers’ compensation benefits, the Division denied the claim, and the Office of Administrative Hearings upheld the denial.</w:t>
      </w:r>
      <w:r w:rsidRPr="00112C9C">
        <w:rPr>
          <w:rFonts w:ascii="Times New Roman" w:hAnsi="Times New Roman" w:cs="Times New Roman"/>
          <w:sz w:val="24"/>
          <w:szCs w:val="24"/>
          <w:vertAlign w:val="superscript"/>
        </w:rPr>
        <w:footnoteReference w:id="389"/>
      </w:r>
      <w:r>
        <w:rPr>
          <w:rFonts w:ascii="Times New Roman" w:hAnsi="Times New Roman" w:cs="Times New Roman"/>
          <w:sz w:val="24"/>
          <w:szCs w:val="24"/>
        </w:rPr>
        <w:t xml:space="preserve"> The Wyoming Supreme Court reversed, quoting the following points of </w:t>
      </w:r>
      <w:bookmarkStart w:id="541" w:name="_Hlk24632946"/>
      <w:r>
        <w:rPr>
          <w:rFonts w:ascii="Times New Roman" w:hAnsi="Times New Roman" w:cs="Times New Roman"/>
          <w:sz w:val="24"/>
          <w:szCs w:val="24"/>
        </w:rPr>
        <w:t>law</w:t>
      </w:r>
      <w:r w:rsidR="008F2AA8">
        <w:rPr>
          <w:rFonts w:ascii="Times New Roman" w:hAnsi="Times New Roman" w:cs="Times New Roman"/>
          <w:sz w:val="24"/>
          <w:szCs w:val="24"/>
        </w:rPr>
        <w:t>:</w:t>
      </w:r>
    </w:p>
    <w:bookmarkEnd w:id="541"/>
    <w:p w14:paraId="171F6F29" w14:textId="77777777" w:rsidR="00FF7482" w:rsidRDefault="00FF7482" w:rsidP="008329F5">
      <w:pPr>
        <w:pStyle w:val="ListParagraph"/>
        <w:ind w:left="0" w:firstLine="720"/>
        <w:jc w:val="both"/>
        <w:rPr>
          <w:rFonts w:ascii="Times New Roman" w:hAnsi="Times New Roman" w:cs="Times New Roman"/>
          <w:sz w:val="24"/>
          <w:szCs w:val="24"/>
        </w:rPr>
      </w:pPr>
    </w:p>
    <w:p w14:paraId="6004A546" w14:textId="770B1586" w:rsidR="00FF7482" w:rsidRDefault="00FF7482" w:rsidP="00D57F28">
      <w:pPr>
        <w:pStyle w:val="ListParagraph"/>
        <w:ind w:right="720"/>
        <w:jc w:val="both"/>
        <w:rPr>
          <w:rFonts w:ascii="Times New Roman" w:hAnsi="Times New Roman" w:cs="Times New Roman"/>
          <w:sz w:val="24"/>
          <w:szCs w:val="24"/>
        </w:rPr>
      </w:pPr>
      <w:r w:rsidRPr="00D44672">
        <w:rPr>
          <w:rFonts w:ascii="Times New Roman" w:hAnsi="Times New Roman" w:cs="Times New Roman"/>
          <w:sz w:val="24"/>
          <w:szCs w:val="24"/>
        </w:rPr>
        <w:t>The term “culpable negligence” means “willful and serious misconduct.” “Willful” means that the misconduct was done “purposely, with knowledge,” or that the misconduct was “of such a character as to evince a reckless disregard of consequences.”</w:t>
      </w:r>
      <w:r>
        <w:rPr>
          <w:rFonts w:ascii="Times New Roman" w:hAnsi="Times New Roman" w:cs="Times New Roman"/>
          <w:sz w:val="24"/>
          <w:szCs w:val="24"/>
        </w:rPr>
        <w:t xml:space="preserve"> </w:t>
      </w:r>
      <w:r w:rsidRPr="000D0BB5">
        <w:rPr>
          <w:rFonts w:ascii="Times New Roman" w:hAnsi="Times New Roman" w:cs="Times New Roman"/>
          <w:b/>
          <w:sz w:val="24"/>
          <w:szCs w:val="24"/>
          <w:u w:val="single"/>
        </w:rPr>
        <w:t xml:space="preserve">To be culpable negligence, an act must be “intentional, </w:t>
      </w:r>
      <w:r w:rsidRPr="000D0BB5">
        <w:rPr>
          <w:rFonts w:ascii="Times New Roman" w:hAnsi="Times New Roman" w:cs="Times New Roman"/>
          <w:b/>
          <w:sz w:val="24"/>
          <w:szCs w:val="24"/>
          <w:u w:val="single"/>
        </w:rPr>
        <w:lastRenderedPageBreak/>
        <w:t>unreasonable and taken in disregard of a known or obvious risk so great as to make it probable injury will follow</w:t>
      </w:r>
      <w:r w:rsidRPr="00D44672">
        <w:rPr>
          <w:rFonts w:ascii="Times New Roman" w:hAnsi="Times New Roman" w:cs="Times New Roman"/>
          <w:b/>
          <w:sz w:val="24"/>
          <w:szCs w:val="24"/>
        </w:rPr>
        <w:t>.”</w:t>
      </w:r>
      <w:r>
        <w:rPr>
          <w:rFonts w:ascii="Times New Roman" w:hAnsi="Times New Roman" w:cs="Times New Roman"/>
          <w:sz w:val="24"/>
          <w:szCs w:val="24"/>
        </w:rPr>
        <w:t xml:space="preserve"> </w:t>
      </w:r>
      <w:r w:rsidRPr="00D44672">
        <w:rPr>
          <w:rFonts w:ascii="Times New Roman" w:hAnsi="Times New Roman" w:cs="Times New Roman"/>
          <w:sz w:val="24"/>
          <w:szCs w:val="24"/>
        </w:rPr>
        <w:t xml:space="preserve">It requires more than a finding of unreasonable conduct. </w:t>
      </w:r>
      <w:r w:rsidRPr="00D44672">
        <w:rPr>
          <w:rFonts w:ascii="Times New Roman" w:hAnsi="Times New Roman" w:cs="Times New Roman"/>
          <w:b/>
          <w:sz w:val="24"/>
          <w:szCs w:val="24"/>
        </w:rPr>
        <w:t xml:space="preserve">A finding of culpable negligence requires “an extreme departure from ordinary care in a situation where a high degree of danger is apparent.” </w:t>
      </w:r>
      <w:r>
        <w:rPr>
          <w:rFonts w:ascii="Times New Roman" w:hAnsi="Times New Roman" w:cs="Times New Roman"/>
          <w:sz w:val="24"/>
          <w:szCs w:val="24"/>
        </w:rPr>
        <w:t xml:space="preserve">. . . </w:t>
      </w:r>
      <w:r w:rsidRPr="00D44672">
        <w:rPr>
          <w:rFonts w:ascii="Times New Roman" w:hAnsi="Times New Roman" w:cs="Times New Roman"/>
          <w:sz w:val="24"/>
          <w:szCs w:val="24"/>
        </w:rPr>
        <w:t>Thoughtless, heedless, or inadvertent acts or mere errors in judgment or simple inattention do not constitute culpable negligence.</w:t>
      </w:r>
      <w:r>
        <w:rPr>
          <w:rFonts w:ascii="Times New Roman" w:hAnsi="Times New Roman" w:cs="Times New Roman"/>
          <w:sz w:val="24"/>
          <w:szCs w:val="24"/>
        </w:rPr>
        <w:t xml:space="preserve"> </w:t>
      </w:r>
      <w:r w:rsidRPr="00D44672">
        <w:rPr>
          <w:rFonts w:ascii="Times New Roman" w:hAnsi="Times New Roman" w:cs="Times New Roman"/>
          <w:sz w:val="24"/>
          <w:szCs w:val="24"/>
        </w:rPr>
        <w:t>The party claiming culpable negligence must prove that the claimant was acting with a state of mind that approaches intent to do harm to him or herself.</w:t>
      </w:r>
      <w:r>
        <w:rPr>
          <w:rFonts w:ascii="Times New Roman" w:hAnsi="Times New Roman" w:cs="Times New Roman"/>
          <w:sz w:val="24"/>
          <w:szCs w:val="24"/>
        </w:rPr>
        <w:t xml:space="preserve"> </w:t>
      </w:r>
      <w:r w:rsidRPr="00D44672">
        <w:rPr>
          <w:rFonts w:ascii="Times New Roman" w:hAnsi="Times New Roman" w:cs="Times New Roman"/>
          <w:sz w:val="24"/>
          <w:szCs w:val="24"/>
        </w:rPr>
        <w:t>This may be established by a showing that the claimant has intentionally committed an act of unreasonable character in disregard of a known or obvious risk that is so great as to make it highly probable that harm will follow.</w:t>
      </w:r>
      <w:r>
        <w:rPr>
          <w:rFonts w:ascii="Times New Roman" w:hAnsi="Times New Roman" w:cs="Times New Roman"/>
          <w:sz w:val="24"/>
          <w:szCs w:val="24"/>
        </w:rPr>
        <w:t xml:space="preserve"> </w:t>
      </w:r>
    </w:p>
    <w:p w14:paraId="40D1A180" w14:textId="452D7AB3" w:rsidR="00FF7482" w:rsidRDefault="00FF7482" w:rsidP="00D44672">
      <w:pPr>
        <w:pStyle w:val="ListParagraph"/>
        <w:ind w:right="720"/>
        <w:jc w:val="both"/>
        <w:rPr>
          <w:rFonts w:ascii="Times New Roman" w:hAnsi="Times New Roman" w:cs="Times New Roman"/>
          <w:sz w:val="24"/>
          <w:szCs w:val="24"/>
        </w:rPr>
      </w:pPr>
    </w:p>
    <w:p w14:paraId="7CC8FEA3" w14:textId="075CFA88" w:rsidR="00FF7482" w:rsidRDefault="00FF7482" w:rsidP="006657D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Ultimately, the </w:t>
      </w:r>
      <w:r w:rsidRPr="00D44672">
        <w:rPr>
          <w:rFonts w:ascii="Times New Roman" w:hAnsi="Times New Roman" w:cs="Times New Roman"/>
          <w:sz w:val="24"/>
          <w:szCs w:val="24"/>
        </w:rPr>
        <w:t>Court</w:t>
      </w:r>
      <w:r>
        <w:rPr>
          <w:rFonts w:ascii="Times New Roman" w:hAnsi="Times New Roman" w:cs="Times New Roman"/>
          <w:sz w:val="24"/>
          <w:szCs w:val="24"/>
        </w:rPr>
        <w:t xml:space="preserve"> concluded that the record failed to support that the claimant, who had otherwise established the work-relatedness of her injury, engaged in culpable negligence.</w:t>
      </w:r>
    </w:p>
    <w:p w14:paraId="1503D773" w14:textId="4F6D186A" w:rsidR="00FF7482" w:rsidRDefault="00FF7482" w:rsidP="00D44672">
      <w:pPr>
        <w:pStyle w:val="ListParagraph"/>
        <w:ind w:left="0" w:firstLine="720"/>
        <w:jc w:val="both"/>
        <w:rPr>
          <w:rFonts w:ascii="Times New Roman" w:hAnsi="Times New Roman" w:cs="Times New Roman"/>
          <w:sz w:val="24"/>
          <w:szCs w:val="24"/>
        </w:rPr>
      </w:pPr>
    </w:p>
    <w:p w14:paraId="274E78D8" w14:textId="443C1325" w:rsidR="00FF7482" w:rsidRDefault="00FF7482" w:rsidP="00D57F28">
      <w:pPr>
        <w:pStyle w:val="ListParagraph"/>
        <w:ind w:left="0"/>
        <w:jc w:val="both"/>
        <w:rPr>
          <w:rFonts w:ascii="Times New Roman" w:hAnsi="Times New Roman" w:cs="Times New Roman"/>
          <w:sz w:val="24"/>
          <w:szCs w:val="24"/>
        </w:rPr>
      </w:pPr>
      <w:r w:rsidRPr="000D0BB5">
        <w:rPr>
          <w:rFonts w:ascii="Times New Roman" w:hAnsi="Times New Roman" w:cs="Times New Roman"/>
          <w:i/>
          <w:sz w:val="24"/>
          <w:szCs w:val="24"/>
        </w:rPr>
        <w:t>Shepherd</w:t>
      </w:r>
      <w:r>
        <w:rPr>
          <w:rFonts w:ascii="Times New Roman" w:hAnsi="Times New Roman" w:cs="Times New Roman"/>
          <w:sz w:val="24"/>
          <w:szCs w:val="24"/>
        </w:rPr>
        <w:t xml:space="preserve"> stands for the proposition that </w:t>
      </w:r>
      <w:r w:rsidRPr="00BB519D">
        <w:rPr>
          <w:rFonts w:ascii="Times New Roman" w:hAnsi="Times New Roman" w:cs="Times New Roman"/>
          <w:b/>
          <w:sz w:val="24"/>
          <w:szCs w:val="24"/>
          <w:u w:val="single"/>
        </w:rPr>
        <w:t>mere departure from an employer’s safety protocols is insufficient to deprive a claimant’s entitlement to workers’ compensation benefits under a culpable negligence theory</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90"/>
      </w:r>
      <w:r>
        <w:rPr>
          <w:rFonts w:ascii="Times New Roman" w:hAnsi="Times New Roman" w:cs="Times New Roman"/>
          <w:sz w:val="24"/>
          <w:szCs w:val="24"/>
        </w:rPr>
        <w:t xml:space="preserve"> Furthermore, </w:t>
      </w:r>
      <w:r w:rsidRPr="00BB519D">
        <w:rPr>
          <w:rFonts w:ascii="Times New Roman" w:hAnsi="Times New Roman" w:cs="Times New Roman"/>
          <w:b/>
          <w:sz w:val="24"/>
          <w:szCs w:val="24"/>
          <w:u w:val="single"/>
        </w:rPr>
        <w:t>once a claimant has prima facie established entitlement to benefits the burden is on the party opposing benefits to establish that an exclusion—such as for culpable negligence—applies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91"/>
      </w:r>
      <w:r>
        <w:rPr>
          <w:rFonts w:ascii="Times New Roman" w:hAnsi="Times New Roman" w:cs="Times New Roman"/>
          <w:sz w:val="24"/>
          <w:szCs w:val="24"/>
        </w:rPr>
        <w:t xml:space="preserve">   </w:t>
      </w:r>
    </w:p>
    <w:p w14:paraId="04445001" w14:textId="4BBDE3D8" w:rsidR="00FF7482" w:rsidRDefault="00FF7482" w:rsidP="00D44672">
      <w:pPr>
        <w:pStyle w:val="ListParagraph"/>
        <w:ind w:left="0" w:firstLine="720"/>
        <w:jc w:val="both"/>
        <w:rPr>
          <w:rFonts w:ascii="Times New Roman" w:hAnsi="Times New Roman" w:cs="Times New Roman"/>
          <w:sz w:val="24"/>
          <w:szCs w:val="24"/>
        </w:rPr>
      </w:pPr>
    </w:p>
    <w:p w14:paraId="0E6E28FB" w14:textId="22065E14" w:rsidR="00FF7482" w:rsidRDefault="00FF7482" w:rsidP="008A2D7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This proposition, however, must be tempered by the observation made in </w:t>
      </w:r>
      <w:r w:rsidR="000C7EF6">
        <w:rPr>
          <w:rFonts w:ascii="Times New Roman" w:hAnsi="Times New Roman" w:cs="Times New Roman"/>
          <w:sz w:val="24"/>
          <w:szCs w:val="24"/>
        </w:rPr>
        <w:t xml:space="preserve">Section </w:t>
      </w:r>
      <w:r>
        <w:rPr>
          <w:rFonts w:ascii="Times New Roman" w:hAnsi="Times New Roman" w:cs="Times New Roman"/>
          <w:sz w:val="24"/>
          <w:szCs w:val="24"/>
        </w:rPr>
        <w:t xml:space="preserve">3.17 of this </w:t>
      </w:r>
      <w:r w:rsidR="000C7EF6">
        <w:rPr>
          <w:rFonts w:ascii="Times New Roman" w:hAnsi="Times New Roman" w:cs="Times New Roman"/>
          <w:sz w:val="24"/>
          <w:szCs w:val="24"/>
        </w:rPr>
        <w:t>T</w:t>
      </w:r>
      <w:r>
        <w:rPr>
          <w:rFonts w:ascii="Times New Roman" w:hAnsi="Times New Roman" w:cs="Times New Roman"/>
          <w:sz w:val="24"/>
          <w:szCs w:val="24"/>
        </w:rPr>
        <w:t xml:space="preserve">reatise that under the </w:t>
      </w:r>
      <w:r w:rsidRPr="008D2F81">
        <w:rPr>
          <w:rFonts w:ascii="Times New Roman" w:hAnsi="Times New Roman" w:cs="Times New Roman"/>
          <w:i/>
          <w:sz w:val="24"/>
          <w:szCs w:val="24"/>
        </w:rPr>
        <w:t>Smith</w:t>
      </w:r>
      <w:r>
        <w:rPr>
          <w:rFonts w:ascii="Times New Roman" w:hAnsi="Times New Roman" w:cs="Times New Roman"/>
          <w:sz w:val="24"/>
          <w:szCs w:val="24"/>
        </w:rPr>
        <w:t xml:space="preserve"> test an employee may be “found to </w:t>
      </w:r>
      <w:r w:rsidRPr="00926960">
        <w:rPr>
          <w:rFonts w:ascii="Times New Roman" w:hAnsi="Times New Roman" w:cs="Times New Roman"/>
          <w:sz w:val="24"/>
          <w:szCs w:val="24"/>
        </w:rPr>
        <w:t>have acted outside the scope of employment by violating a work restriction</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92"/>
      </w:r>
      <w:r>
        <w:rPr>
          <w:rFonts w:ascii="Times New Roman" w:hAnsi="Times New Roman" w:cs="Times New Roman"/>
          <w:sz w:val="24"/>
          <w:szCs w:val="24"/>
        </w:rPr>
        <w:t xml:space="preserve"> </w:t>
      </w:r>
    </w:p>
    <w:p w14:paraId="2DBD2178" w14:textId="77777777" w:rsidR="00FF7482" w:rsidRDefault="00FF7482" w:rsidP="00F02E62">
      <w:pPr>
        <w:pStyle w:val="ListParagraph"/>
        <w:spacing w:after="0"/>
        <w:ind w:left="0" w:firstLine="720"/>
        <w:jc w:val="both"/>
        <w:rPr>
          <w:rFonts w:ascii="Times New Roman" w:hAnsi="Times New Roman" w:cs="Times New Roman"/>
          <w:sz w:val="24"/>
          <w:szCs w:val="24"/>
        </w:rPr>
      </w:pPr>
    </w:p>
    <w:p w14:paraId="7BF16881" w14:textId="0B35E465" w:rsidR="00FF7482" w:rsidRPr="000B7444" w:rsidRDefault="00FF7482" w:rsidP="00D57F28">
      <w:pPr>
        <w:pStyle w:val="Heading2"/>
        <w:rPr>
          <w:rFonts w:ascii="Times New Roman" w:hAnsi="Times New Roman" w:cs="Times New Roman"/>
          <w:b/>
          <w:color w:val="auto"/>
        </w:rPr>
      </w:pPr>
      <w:bookmarkStart w:id="545" w:name="_Toc75269384"/>
      <w:r w:rsidRPr="000B7444">
        <w:rPr>
          <w:rFonts w:ascii="Times New Roman" w:hAnsi="Times New Roman" w:cs="Times New Roman"/>
          <w:b/>
          <w:color w:val="auto"/>
        </w:rPr>
        <w:t>“</w:t>
      </w:r>
      <w:bookmarkStart w:id="546" w:name="_Hlk520734331"/>
      <w:r w:rsidRPr="000B7444">
        <w:rPr>
          <w:rFonts w:ascii="Times New Roman" w:hAnsi="Times New Roman" w:cs="Times New Roman"/>
          <w:b/>
          <w:color w:val="auto"/>
        </w:rPr>
        <w:t xml:space="preserve">In the Course of” in Wyoming – </w:t>
      </w:r>
      <w:r>
        <w:rPr>
          <w:rFonts w:ascii="Times New Roman" w:hAnsi="Times New Roman" w:cs="Times New Roman"/>
          <w:b/>
          <w:color w:val="auto"/>
        </w:rPr>
        <w:t>E</w:t>
      </w:r>
      <w:r w:rsidRPr="001933FA">
        <w:rPr>
          <w:rFonts w:ascii="Times New Roman" w:hAnsi="Times New Roman" w:cs="Times New Roman"/>
          <w:b/>
          <w:color w:val="auto"/>
        </w:rPr>
        <w:t>mployee</w:t>
      </w:r>
      <w:r>
        <w:rPr>
          <w:rFonts w:ascii="Times New Roman" w:hAnsi="Times New Roman" w:cs="Times New Roman"/>
          <w:b/>
          <w:color w:val="auto"/>
        </w:rPr>
        <w:t>’</w:t>
      </w:r>
      <w:r w:rsidRPr="001933FA">
        <w:rPr>
          <w:rFonts w:ascii="Times New Roman" w:hAnsi="Times New Roman" w:cs="Times New Roman"/>
          <w:b/>
          <w:color w:val="auto"/>
        </w:rPr>
        <w:t xml:space="preserve">s </w:t>
      </w:r>
      <w:r>
        <w:rPr>
          <w:rFonts w:ascii="Times New Roman" w:hAnsi="Times New Roman" w:cs="Times New Roman"/>
          <w:b/>
          <w:color w:val="auto"/>
        </w:rPr>
        <w:t>W</w:t>
      </w:r>
      <w:r w:rsidRPr="001933FA">
        <w:rPr>
          <w:rFonts w:ascii="Times New Roman" w:hAnsi="Times New Roman" w:cs="Times New Roman"/>
          <w:b/>
          <w:color w:val="auto"/>
        </w:rPr>
        <w:t xml:space="preserve">illful </w:t>
      </w:r>
      <w:r>
        <w:rPr>
          <w:rFonts w:ascii="Times New Roman" w:hAnsi="Times New Roman" w:cs="Times New Roman"/>
          <w:b/>
          <w:color w:val="auto"/>
        </w:rPr>
        <w:t>I</w:t>
      </w:r>
      <w:r w:rsidRPr="001933FA">
        <w:rPr>
          <w:rFonts w:ascii="Times New Roman" w:hAnsi="Times New Roman" w:cs="Times New Roman"/>
          <w:b/>
          <w:color w:val="auto"/>
        </w:rPr>
        <w:t xml:space="preserve">ntention to </w:t>
      </w:r>
      <w:r>
        <w:rPr>
          <w:rFonts w:ascii="Times New Roman" w:hAnsi="Times New Roman" w:cs="Times New Roman"/>
          <w:b/>
          <w:color w:val="auto"/>
        </w:rPr>
        <w:t>I</w:t>
      </w:r>
      <w:r w:rsidRPr="001933FA">
        <w:rPr>
          <w:rFonts w:ascii="Times New Roman" w:hAnsi="Times New Roman" w:cs="Times New Roman"/>
          <w:b/>
          <w:color w:val="auto"/>
        </w:rPr>
        <w:t xml:space="preserve">njure or </w:t>
      </w:r>
      <w:r>
        <w:rPr>
          <w:rFonts w:ascii="Times New Roman" w:hAnsi="Times New Roman" w:cs="Times New Roman"/>
          <w:b/>
          <w:color w:val="auto"/>
        </w:rPr>
        <w:t>K</w:t>
      </w:r>
      <w:r w:rsidRPr="001933FA">
        <w:rPr>
          <w:rFonts w:ascii="Times New Roman" w:hAnsi="Times New Roman" w:cs="Times New Roman"/>
          <w:b/>
          <w:color w:val="auto"/>
        </w:rPr>
        <w:t xml:space="preserve">ill </w:t>
      </w:r>
      <w:r>
        <w:rPr>
          <w:rFonts w:ascii="Times New Roman" w:hAnsi="Times New Roman" w:cs="Times New Roman"/>
          <w:b/>
          <w:color w:val="auto"/>
        </w:rPr>
        <w:t>H</w:t>
      </w:r>
      <w:r w:rsidRPr="001933FA">
        <w:rPr>
          <w:rFonts w:ascii="Times New Roman" w:hAnsi="Times New Roman" w:cs="Times New Roman"/>
          <w:b/>
          <w:color w:val="auto"/>
        </w:rPr>
        <w:t xml:space="preserve">imself or </w:t>
      </w:r>
      <w:r>
        <w:rPr>
          <w:rFonts w:ascii="Times New Roman" w:hAnsi="Times New Roman" w:cs="Times New Roman"/>
          <w:b/>
          <w:color w:val="auto"/>
        </w:rPr>
        <w:t>A</w:t>
      </w:r>
      <w:r w:rsidRPr="001933FA">
        <w:rPr>
          <w:rFonts w:ascii="Times New Roman" w:hAnsi="Times New Roman" w:cs="Times New Roman"/>
          <w:b/>
          <w:color w:val="auto"/>
        </w:rPr>
        <w:t>nother</w:t>
      </w:r>
      <w:bookmarkEnd w:id="545"/>
      <w:bookmarkEnd w:id="546"/>
    </w:p>
    <w:p w14:paraId="7F8E1515" w14:textId="77777777" w:rsidR="00FF7482" w:rsidRPr="00FB1B9B" w:rsidRDefault="00FF7482" w:rsidP="00AD1851">
      <w:pPr>
        <w:pStyle w:val="Heading2"/>
        <w:numPr>
          <w:ilvl w:val="0"/>
          <w:numId w:val="0"/>
        </w:numPr>
        <w:ind w:left="662"/>
        <w:rPr>
          <w:rFonts w:ascii="Times New Roman" w:hAnsi="Times New Roman" w:cs="Times New Roman"/>
          <w:sz w:val="24"/>
          <w:szCs w:val="24"/>
        </w:rPr>
      </w:pPr>
    </w:p>
    <w:p w14:paraId="2D3FE397" w14:textId="3A4C366E" w:rsidR="00FF7482" w:rsidRDefault="00FF7482" w:rsidP="00D57F28">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Unlike the situation in many jurisdictions,</w:t>
      </w:r>
      <w:r w:rsidRPr="00112C9C">
        <w:rPr>
          <w:rFonts w:ascii="Times New Roman" w:hAnsi="Times New Roman" w:cs="Times New Roman"/>
          <w:sz w:val="24"/>
          <w:szCs w:val="24"/>
          <w:vertAlign w:val="superscript"/>
        </w:rPr>
        <w:footnoteReference w:id="393"/>
      </w:r>
      <w:r>
        <w:rPr>
          <w:rFonts w:ascii="Times New Roman" w:hAnsi="Times New Roman" w:cs="Times New Roman"/>
          <w:sz w:val="24"/>
          <w:szCs w:val="24"/>
        </w:rPr>
        <w:t xml:space="preserve"> </w:t>
      </w:r>
      <w:r w:rsidRPr="00D80399">
        <w:rPr>
          <w:rFonts w:ascii="Times New Roman" w:hAnsi="Times New Roman" w:cs="Times New Roman"/>
          <w:b/>
          <w:sz w:val="24"/>
          <w:szCs w:val="24"/>
        </w:rPr>
        <w:t>Wyoming has scant authority on whether employees injured while engaging in fighting or horseplay in the workplace are entitled to workers’ compensation benefits</w:t>
      </w:r>
      <w:r>
        <w:rPr>
          <w:rFonts w:ascii="Times New Roman" w:hAnsi="Times New Roman" w:cs="Times New Roman"/>
          <w:sz w:val="24"/>
          <w:szCs w:val="24"/>
        </w:rPr>
        <w:t xml:space="preserve">. The Wyoming statute does not contain specific exclusions for this activity under </w:t>
      </w:r>
      <w:bookmarkStart w:id="548" w:name="_Hlk520451231"/>
      <w:r w:rsidRPr="00BE237A">
        <w:rPr>
          <w:rFonts w:ascii="Times New Roman" w:hAnsi="Times New Roman" w:cs="Times New Roman"/>
          <w:sz w:val="24"/>
          <w:szCs w:val="24"/>
        </w:rPr>
        <w:t xml:space="preserve">W.S. § </w:t>
      </w:r>
      <w:hyperlink r:id="rId75" w:history="1">
        <w:r w:rsidRPr="00BE237A">
          <w:rPr>
            <w:rStyle w:val="Hyperlink"/>
            <w:rFonts w:ascii="Times New Roman" w:hAnsi="Times New Roman" w:cs="Times New Roman"/>
            <w:sz w:val="24"/>
            <w:szCs w:val="24"/>
          </w:rPr>
          <w:t>27-14-102</w:t>
        </w:r>
      </w:hyperlink>
      <w:r>
        <w:rPr>
          <w:rFonts w:ascii="Times New Roman" w:hAnsi="Times New Roman" w:cs="Times New Roman"/>
          <w:sz w:val="24"/>
          <w:szCs w:val="24"/>
        </w:rPr>
        <w:t>(a)(xi)</w:t>
      </w:r>
      <w:bookmarkEnd w:id="548"/>
      <w:r>
        <w:rPr>
          <w:rFonts w:ascii="Times New Roman" w:hAnsi="Times New Roman" w:cs="Times New Roman"/>
          <w:sz w:val="24"/>
          <w:szCs w:val="24"/>
        </w:rPr>
        <w:t xml:space="preserve">, but the activity would at least arguably not be an injury “arising out of and in the course of employment” within the meaning of the same provision. The </w:t>
      </w:r>
      <w:r>
        <w:rPr>
          <w:rFonts w:ascii="Times New Roman" w:hAnsi="Times New Roman" w:cs="Times New Roman"/>
          <w:sz w:val="24"/>
          <w:szCs w:val="24"/>
        </w:rPr>
        <w:lastRenderedPageBreak/>
        <w:t xml:space="preserve">Wyoming statute </w:t>
      </w:r>
      <w:r w:rsidRPr="00B6457B">
        <w:rPr>
          <w:rFonts w:ascii="Times New Roman" w:hAnsi="Times New Roman" w:cs="Times New Roman"/>
          <w:i/>
          <w:sz w:val="24"/>
          <w:szCs w:val="24"/>
        </w:rPr>
        <w:t>does</w:t>
      </w:r>
      <w:r>
        <w:rPr>
          <w:rFonts w:ascii="Times New Roman" w:hAnsi="Times New Roman" w:cs="Times New Roman"/>
          <w:sz w:val="24"/>
          <w:szCs w:val="24"/>
        </w:rPr>
        <w:t xml:space="preserve"> exclude from the definition of injury “Injury caused by . . .  [t]</w:t>
      </w:r>
      <w:r w:rsidRPr="00461403">
        <w:rPr>
          <w:rFonts w:ascii="Times New Roman" w:hAnsi="Times New Roman" w:cs="Times New Roman"/>
          <w:sz w:val="24"/>
          <w:szCs w:val="24"/>
        </w:rPr>
        <w:t>he employee's willful intention to injure or kill himself or another.</w:t>
      </w:r>
      <w:r>
        <w:rPr>
          <w:rFonts w:ascii="Times New Roman" w:hAnsi="Times New Roman" w:cs="Times New Roman"/>
          <w:sz w:val="24"/>
          <w:szCs w:val="24"/>
        </w:rPr>
        <w:t xml:space="preserve">” </w:t>
      </w:r>
      <w:r w:rsidRPr="00BE237A">
        <w:rPr>
          <w:rFonts w:ascii="Times New Roman" w:hAnsi="Times New Roman" w:cs="Times New Roman"/>
          <w:sz w:val="24"/>
          <w:szCs w:val="24"/>
        </w:rPr>
        <w:t xml:space="preserve">W.S. § </w:t>
      </w:r>
      <w:hyperlink r:id="rId76" w:history="1">
        <w:r w:rsidRPr="00BE237A">
          <w:rPr>
            <w:rStyle w:val="Hyperlink"/>
            <w:rFonts w:ascii="Times New Roman" w:hAnsi="Times New Roman" w:cs="Times New Roman"/>
            <w:sz w:val="24"/>
            <w:szCs w:val="24"/>
          </w:rPr>
          <w:t>27-14-102</w:t>
        </w:r>
      </w:hyperlink>
      <w:r>
        <w:rPr>
          <w:rFonts w:ascii="Times New Roman" w:hAnsi="Times New Roman" w:cs="Times New Roman"/>
          <w:sz w:val="24"/>
          <w:szCs w:val="24"/>
        </w:rPr>
        <w:t>(a)(xi)(B)(ii). Presumably, the definition could exclude injuries suffered by an employee-participant in a workplace physical altercation, or fight.</w:t>
      </w:r>
      <w:r w:rsidRPr="00FB34C7">
        <w:rPr>
          <w:rFonts w:ascii="Times New Roman" w:hAnsi="Times New Roman" w:cs="Times New Roman"/>
          <w:sz w:val="24"/>
          <w:szCs w:val="24"/>
        </w:rPr>
        <w:t xml:space="preserve"> </w:t>
      </w:r>
      <w:r>
        <w:rPr>
          <w:rFonts w:ascii="Times New Roman" w:hAnsi="Times New Roman" w:cs="Times New Roman"/>
          <w:sz w:val="24"/>
          <w:szCs w:val="24"/>
        </w:rPr>
        <w:t>In theory, the definition might also exclude injuries suffered in the context of horseplay or pranks, depending on the facts.</w:t>
      </w:r>
    </w:p>
    <w:p w14:paraId="3E047EB4" w14:textId="4D7D8945" w:rsidR="00FF7482" w:rsidRDefault="00FF7482" w:rsidP="00FB34C7">
      <w:pPr>
        <w:pStyle w:val="ListParagraph"/>
        <w:ind w:left="0" w:firstLine="720"/>
        <w:jc w:val="both"/>
        <w:rPr>
          <w:rFonts w:ascii="Times New Roman" w:hAnsi="Times New Roman" w:cs="Times New Roman"/>
          <w:sz w:val="24"/>
          <w:szCs w:val="24"/>
        </w:rPr>
      </w:pPr>
    </w:p>
    <w:p w14:paraId="27DF79E2" w14:textId="13FA07EC" w:rsidR="00FF7482" w:rsidRDefault="00FF7482" w:rsidP="0084372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w:t>
      </w:r>
      <w:r w:rsidRPr="00FA2315">
        <w:rPr>
          <w:rFonts w:ascii="Times New Roman" w:hAnsi="Times New Roman" w:cs="Times New Roman"/>
          <w:i/>
          <w:sz w:val="24"/>
          <w:szCs w:val="24"/>
        </w:rPr>
        <w:t>Workers’ Compensation Division v. Espinoza</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394"/>
      </w:r>
      <w:r>
        <w:rPr>
          <w:rFonts w:ascii="Times New Roman" w:hAnsi="Times New Roman" w:cs="Times New Roman"/>
          <w:sz w:val="24"/>
          <w:szCs w:val="24"/>
        </w:rPr>
        <w:t xml:space="preserve"> a fifteen-year-old fast food cook broke the jaw of a front counter fast food employee of the same age during a fracas over delayed preparation of an apple pie.</w:t>
      </w:r>
      <w:r w:rsidRPr="00112C9C">
        <w:rPr>
          <w:rFonts w:ascii="Times New Roman" w:hAnsi="Times New Roman" w:cs="Times New Roman"/>
          <w:sz w:val="24"/>
          <w:szCs w:val="24"/>
          <w:vertAlign w:val="superscript"/>
        </w:rPr>
        <w:footnoteReference w:id="395"/>
      </w:r>
      <w:r>
        <w:rPr>
          <w:rFonts w:ascii="Times New Roman" w:hAnsi="Times New Roman" w:cs="Times New Roman"/>
          <w:sz w:val="24"/>
          <w:szCs w:val="24"/>
        </w:rPr>
        <w:t xml:space="preserve"> The Division rejected the ensuing claim, apparently on the theories that the injury was not suffered in the course of employment, and that the claimant’s actions constituted a willful intention to injure her co</w:t>
      </w:r>
      <w:r w:rsidR="00301EA9">
        <w:rPr>
          <w:rFonts w:ascii="Times New Roman" w:hAnsi="Times New Roman" w:cs="Times New Roman"/>
          <w:sz w:val="24"/>
          <w:szCs w:val="24"/>
        </w:rPr>
        <w:t>-</w:t>
      </w:r>
      <w:r>
        <w:rPr>
          <w:rFonts w:ascii="Times New Roman" w:hAnsi="Times New Roman" w:cs="Times New Roman"/>
          <w:sz w:val="24"/>
          <w:szCs w:val="24"/>
        </w:rPr>
        <w:t>employee.</w:t>
      </w:r>
      <w:r w:rsidRPr="00112C9C">
        <w:rPr>
          <w:rFonts w:ascii="Times New Roman" w:hAnsi="Times New Roman" w:cs="Times New Roman"/>
          <w:sz w:val="24"/>
          <w:szCs w:val="24"/>
          <w:vertAlign w:val="superscript"/>
        </w:rPr>
        <w:footnoteReference w:id="396"/>
      </w:r>
      <w:r>
        <w:rPr>
          <w:rFonts w:ascii="Times New Roman" w:hAnsi="Times New Roman" w:cs="Times New Roman"/>
          <w:sz w:val="24"/>
          <w:szCs w:val="24"/>
        </w:rPr>
        <w:t xml:space="preserve"> The Court went to great lengths to characterize the episode as “horseplay that escalated,” even quoting the legendary Justice Cardozo for the proposition that </w:t>
      </w:r>
      <w:r w:rsidRPr="00D80399">
        <w:rPr>
          <w:rFonts w:ascii="Times New Roman" w:hAnsi="Times New Roman" w:cs="Times New Roman"/>
          <w:sz w:val="24"/>
          <w:szCs w:val="24"/>
        </w:rPr>
        <w:t>“</w:t>
      </w:r>
      <w:r>
        <w:rPr>
          <w:rFonts w:ascii="Times New Roman" w:hAnsi="Times New Roman" w:cs="Times New Roman"/>
          <w:sz w:val="24"/>
          <w:szCs w:val="24"/>
        </w:rPr>
        <w:t>[f]</w:t>
      </w:r>
      <w:r w:rsidRPr="00D80399">
        <w:rPr>
          <w:rFonts w:ascii="Times New Roman" w:hAnsi="Times New Roman" w:cs="Times New Roman"/>
          <w:sz w:val="24"/>
          <w:szCs w:val="24"/>
        </w:rPr>
        <w:t>or workmen of that age or even of maturer years to indulge in a moment's diversion from work to joke with or play a prank upon a fellow workman, is a matter of common knowledge to everyone who employs labor.”</w:t>
      </w:r>
      <w:r w:rsidRPr="00112C9C">
        <w:rPr>
          <w:rFonts w:ascii="Times New Roman" w:hAnsi="Times New Roman" w:cs="Times New Roman"/>
          <w:sz w:val="24"/>
          <w:szCs w:val="24"/>
          <w:vertAlign w:val="superscript"/>
        </w:rPr>
        <w:footnoteReference w:id="397"/>
      </w:r>
      <w:r>
        <w:rPr>
          <w:rFonts w:ascii="Times New Roman" w:hAnsi="Times New Roman" w:cs="Times New Roman"/>
          <w:sz w:val="24"/>
          <w:szCs w:val="24"/>
        </w:rPr>
        <w:t xml:space="preserve"> But the episode was quite plainly a fight. No doubt the age of the combatants influenced the outcome significantly, and the case should probably be viewed carefully when assessing its precedential value. It is difficult to understand how a fight between employees would </w:t>
      </w:r>
      <w:r w:rsidRPr="00BB519D">
        <w:rPr>
          <w:rFonts w:ascii="Times New Roman" w:hAnsi="Times New Roman" w:cs="Times New Roman"/>
          <w:i/>
          <w:iCs/>
          <w:sz w:val="24"/>
          <w:szCs w:val="24"/>
        </w:rPr>
        <w:t>not</w:t>
      </w:r>
      <w:r>
        <w:rPr>
          <w:rFonts w:ascii="Times New Roman" w:hAnsi="Times New Roman" w:cs="Times New Roman"/>
          <w:sz w:val="24"/>
          <w:szCs w:val="24"/>
        </w:rPr>
        <w:t xml:space="preserve"> represent a “willful intention to injure another” (that, after all, is largely the point of a fight) unless the injured fighting employee was engaging </w:t>
      </w:r>
      <w:r w:rsidRPr="00BB519D">
        <w:rPr>
          <w:rFonts w:ascii="Times New Roman" w:hAnsi="Times New Roman" w:cs="Times New Roman"/>
          <w:i/>
          <w:iCs/>
          <w:sz w:val="24"/>
          <w:szCs w:val="24"/>
        </w:rPr>
        <w:t xml:space="preserve">strictly </w:t>
      </w:r>
      <w:r>
        <w:rPr>
          <w:rFonts w:ascii="Times New Roman" w:hAnsi="Times New Roman" w:cs="Times New Roman"/>
          <w:sz w:val="24"/>
          <w:szCs w:val="24"/>
        </w:rPr>
        <w:t xml:space="preserve">in self-defense. </w:t>
      </w:r>
      <w:r w:rsidRPr="0031570C">
        <w:rPr>
          <w:rFonts w:ascii="Times New Roman" w:hAnsi="Times New Roman" w:cs="Times New Roman"/>
          <w:i/>
          <w:sz w:val="24"/>
          <w:szCs w:val="24"/>
        </w:rPr>
        <w:t>If</w:t>
      </w:r>
      <w:r>
        <w:rPr>
          <w:rFonts w:ascii="Times New Roman" w:hAnsi="Times New Roman" w:cs="Times New Roman"/>
          <w:sz w:val="24"/>
          <w:szCs w:val="24"/>
        </w:rPr>
        <w:t xml:space="preserve"> the altercation in </w:t>
      </w:r>
      <w:r w:rsidRPr="00D747BC">
        <w:rPr>
          <w:rFonts w:ascii="Times New Roman" w:hAnsi="Times New Roman" w:cs="Times New Roman"/>
          <w:i/>
          <w:sz w:val="24"/>
          <w:szCs w:val="24"/>
        </w:rPr>
        <w:t>Espinoza</w:t>
      </w:r>
      <w:r>
        <w:rPr>
          <w:rFonts w:ascii="Times New Roman" w:hAnsi="Times New Roman" w:cs="Times New Roman"/>
          <w:sz w:val="24"/>
          <w:szCs w:val="24"/>
        </w:rPr>
        <w:t xml:space="preserve"> was horseplay, the Court handled the issue as a scope of employment rather than a misconduct issue, as recommended in the </w:t>
      </w:r>
      <w:r w:rsidRPr="0031570C">
        <w:rPr>
          <w:rFonts w:ascii="Times New Roman" w:hAnsi="Times New Roman" w:cs="Times New Roman"/>
          <w:i/>
          <w:sz w:val="24"/>
          <w:szCs w:val="24"/>
        </w:rPr>
        <w:t>Larson</w:t>
      </w:r>
      <w:r>
        <w:rPr>
          <w:rFonts w:ascii="Times New Roman" w:hAnsi="Times New Roman" w:cs="Times New Roman"/>
          <w:sz w:val="24"/>
          <w:szCs w:val="24"/>
        </w:rPr>
        <w:t>’s treatise,</w:t>
      </w:r>
      <w:r w:rsidRPr="00112C9C">
        <w:rPr>
          <w:rFonts w:ascii="Times New Roman" w:hAnsi="Times New Roman" w:cs="Times New Roman"/>
          <w:sz w:val="24"/>
          <w:szCs w:val="24"/>
          <w:vertAlign w:val="superscript"/>
        </w:rPr>
        <w:footnoteReference w:id="398"/>
      </w:r>
      <w:r>
        <w:rPr>
          <w:rFonts w:ascii="Times New Roman" w:hAnsi="Times New Roman" w:cs="Times New Roman"/>
          <w:sz w:val="24"/>
          <w:szCs w:val="24"/>
        </w:rPr>
        <w:t xml:space="preserve"> by emphasizing that the employee was in the course of her employment when the incident unfolded: </w:t>
      </w:r>
    </w:p>
    <w:p w14:paraId="50AA7449" w14:textId="38B2DD7B" w:rsidR="00FF7482" w:rsidRDefault="00FF7482" w:rsidP="00FB34C7">
      <w:pPr>
        <w:pStyle w:val="ListParagraph"/>
        <w:ind w:left="0" w:firstLine="720"/>
        <w:jc w:val="both"/>
        <w:rPr>
          <w:rFonts w:ascii="Times New Roman" w:hAnsi="Times New Roman" w:cs="Times New Roman"/>
          <w:sz w:val="24"/>
          <w:szCs w:val="24"/>
        </w:rPr>
      </w:pPr>
    </w:p>
    <w:p w14:paraId="40E799EA" w14:textId="78E549D7" w:rsidR="00FF7482" w:rsidRDefault="00FF7482" w:rsidP="00722E68">
      <w:pPr>
        <w:pStyle w:val="ListParagraph"/>
        <w:ind w:right="720"/>
        <w:jc w:val="both"/>
        <w:rPr>
          <w:rFonts w:ascii="Times New Roman" w:hAnsi="Times New Roman" w:cs="Times New Roman"/>
          <w:sz w:val="24"/>
          <w:szCs w:val="24"/>
        </w:rPr>
      </w:pPr>
      <w:r w:rsidRPr="0031570C">
        <w:rPr>
          <w:rFonts w:ascii="Times New Roman" w:hAnsi="Times New Roman" w:cs="Times New Roman"/>
          <w:sz w:val="24"/>
          <w:szCs w:val="24"/>
        </w:rPr>
        <w:t>Espinoza</w:t>
      </w:r>
      <w:r>
        <w:rPr>
          <w:rFonts w:ascii="Times New Roman" w:hAnsi="Times New Roman" w:cs="Times New Roman"/>
          <w:sz w:val="24"/>
          <w:szCs w:val="24"/>
        </w:rPr>
        <w:t>’</w:t>
      </w:r>
      <w:r w:rsidRPr="0031570C">
        <w:rPr>
          <w:rFonts w:ascii="Times New Roman" w:hAnsi="Times New Roman" w:cs="Times New Roman"/>
          <w:sz w:val="24"/>
          <w:szCs w:val="24"/>
        </w:rPr>
        <w:t>s encounter with Trujillo was not a frolic of her own but a condition of her employment</w:t>
      </w:r>
      <w:r>
        <w:rPr>
          <w:rFonts w:ascii="Times New Roman" w:hAnsi="Times New Roman" w:cs="Times New Roman"/>
          <w:sz w:val="24"/>
          <w:szCs w:val="24"/>
        </w:rPr>
        <w:t xml:space="preserve">—an </w:t>
      </w:r>
      <w:r w:rsidRPr="0031570C">
        <w:rPr>
          <w:rFonts w:ascii="Times New Roman" w:hAnsi="Times New Roman" w:cs="Times New Roman"/>
          <w:sz w:val="24"/>
          <w:szCs w:val="24"/>
        </w:rPr>
        <w:t>obstacle in the path of her efforts to further her employer's business objectives by providing prompt customer service. We hold that substantial evidence on the record supports the hearing examiner's finding that Espinoza suffered her injury in the course of her employment.</w:t>
      </w:r>
      <w:r w:rsidRPr="00112C9C">
        <w:rPr>
          <w:rFonts w:ascii="Times New Roman" w:hAnsi="Times New Roman" w:cs="Times New Roman"/>
          <w:sz w:val="24"/>
          <w:szCs w:val="24"/>
          <w:vertAlign w:val="superscript"/>
        </w:rPr>
        <w:footnoteReference w:id="399"/>
      </w:r>
    </w:p>
    <w:p w14:paraId="2EB46D12" w14:textId="77777777" w:rsidR="00FF7482" w:rsidRDefault="00FF7482" w:rsidP="00722E68">
      <w:pPr>
        <w:pStyle w:val="ListParagraph"/>
        <w:ind w:right="720"/>
        <w:jc w:val="both"/>
        <w:rPr>
          <w:rFonts w:ascii="Times New Roman" w:hAnsi="Times New Roman" w:cs="Times New Roman"/>
          <w:sz w:val="24"/>
          <w:szCs w:val="24"/>
        </w:rPr>
      </w:pPr>
    </w:p>
    <w:p w14:paraId="64F9FEA3" w14:textId="66CE658D" w:rsidR="00FF7482" w:rsidRPr="00C51B37" w:rsidRDefault="00FF7482" w:rsidP="00FF2EC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more complex “willful intention” cases have arisen in the context of suicide (or attempted suicide). At first blush, it might seem that compensation for suicide could not be compensable under workers’ compensation (even if it arguably arose </w:t>
      </w:r>
      <w:r>
        <w:rPr>
          <w:rFonts w:ascii="Times New Roman" w:hAnsi="Times New Roman" w:cs="Times New Roman"/>
          <w:sz w:val="24"/>
          <w:szCs w:val="24"/>
        </w:rPr>
        <w:lastRenderedPageBreak/>
        <w:t xml:space="preserve">out of and in the course of employment) after application of Wyoming workers’ compensation exclusions, both because such an injury is a “willful intention to kill,” and because a suicide might have arisen from a “mental” injury. In </w:t>
      </w:r>
      <w:r w:rsidRPr="00912DC1">
        <w:rPr>
          <w:rFonts w:ascii="Times New Roman" w:hAnsi="Times New Roman" w:cs="Times New Roman"/>
          <w:i/>
          <w:sz w:val="24"/>
          <w:szCs w:val="24"/>
        </w:rPr>
        <w:t xml:space="preserve">Brierley v. Workers’ Safety </w:t>
      </w:r>
      <w:r>
        <w:rPr>
          <w:rFonts w:ascii="Times New Roman" w:hAnsi="Times New Roman" w:cs="Times New Roman"/>
          <w:i/>
          <w:sz w:val="24"/>
          <w:szCs w:val="24"/>
        </w:rPr>
        <w:t>&amp;</w:t>
      </w:r>
      <w:r w:rsidRPr="00912DC1">
        <w:rPr>
          <w:rFonts w:ascii="Times New Roman" w:hAnsi="Times New Roman" w:cs="Times New Roman"/>
          <w:i/>
          <w:sz w:val="24"/>
          <w:szCs w:val="24"/>
        </w:rPr>
        <w:t xml:space="preserve"> Compensation Div.</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00"/>
      </w:r>
      <w:r>
        <w:rPr>
          <w:rFonts w:ascii="Times New Roman" w:hAnsi="Times New Roman" w:cs="Times New Roman"/>
          <w:sz w:val="24"/>
          <w:szCs w:val="24"/>
        </w:rPr>
        <w:t xml:space="preserve"> these issues were at the center of a dispute respecting the compensability of medical expense produced when an already-workers’ compensation-disabled employee “</w:t>
      </w:r>
      <w:r w:rsidRPr="00912DC1">
        <w:rPr>
          <w:rFonts w:ascii="Times New Roman" w:hAnsi="Times New Roman" w:cs="Times New Roman"/>
          <w:sz w:val="24"/>
          <w:szCs w:val="24"/>
        </w:rPr>
        <w:t>shot himself in the abdomen, inflicting injuries that he survived</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01"/>
      </w:r>
      <w:r>
        <w:rPr>
          <w:rFonts w:ascii="Times New Roman" w:hAnsi="Times New Roman" w:cs="Times New Roman"/>
          <w:sz w:val="24"/>
          <w:szCs w:val="24"/>
        </w:rPr>
        <w:t xml:space="preserve"> The Workers’ Safety and Compensation Division denied the employee’s claim in connection with the injuries on the ground that “</w:t>
      </w:r>
      <w:r w:rsidRPr="007B2A2C">
        <w:rPr>
          <w:rFonts w:ascii="Times New Roman" w:hAnsi="Times New Roman" w:cs="Times New Roman"/>
          <w:sz w:val="24"/>
          <w:szCs w:val="24"/>
        </w:rPr>
        <w:t>the gunshot injuries were the result of his willful intent to injure or kill himself and, therefore, were not compensable under Wyo. Stat. Ann. § 27-14-102(a)(xi)(B)(II).</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02"/>
      </w:r>
      <w:r>
        <w:rPr>
          <w:rFonts w:ascii="Times New Roman" w:hAnsi="Times New Roman" w:cs="Times New Roman"/>
          <w:sz w:val="24"/>
          <w:szCs w:val="24"/>
        </w:rPr>
        <w:t xml:space="preserve"> The Office of Administrative Appeals Hearing Examiner, assuming for the sake of argument that the injuries suffered were compensable as a matter of law, denied the claim on factual grounds,</w:t>
      </w:r>
      <w:r w:rsidRPr="00112C9C">
        <w:rPr>
          <w:rFonts w:ascii="Times New Roman" w:hAnsi="Times New Roman" w:cs="Times New Roman"/>
          <w:sz w:val="24"/>
          <w:szCs w:val="24"/>
          <w:vertAlign w:val="superscript"/>
        </w:rPr>
        <w:footnoteReference w:id="403"/>
      </w:r>
      <w:r>
        <w:rPr>
          <w:rFonts w:ascii="Times New Roman" w:hAnsi="Times New Roman" w:cs="Times New Roman"/>
          <w:sz w:val="24"/>
          <w:szCs w:val="24"/>
        </w:rPr>
        <w:t xml:space="preserve"> a conclusion the Wyoming Supreme Court rejected as arbitrary and capricious.</w:t>
      </w:r>
      <w:r w:rsidRPr="00112C9C">
        <w:rPr>
          <w:rFonts w:ascii="Times New Roman" w:hAnsi="Times New Roman" w:cs="Times New Roman"/>
          <w:sz w:val="24"/>
          <w:szCs w:val="24"/>
          <w:vertAlign w:val="superscript"/>
        </w:rPr>
        <w:footnoteReference w:id="404"/>
      </w:r>
      <w:r>
        <w:rPr>
          <w:rFonts w:ascii="Times New Roman" w:hAnsi="Times New Roman" w:cs="Times New Roman"/>
          <w:sz w:val="24"/>
          <w:szCs w:val="24"/>
        </w:rPr>
        <w:t xml:space="preserve"> As a matter of law, the Court rejected the Division’s argument</w:t>
      </w:r>
      <w:r w:rsidRPr="00112C9C">
        <w:rPr>
          <w:rFonts w:ascii="Times New Roman" w:hAnsi="Times New Roman" w:cs="Times New Roman"/>
          <w:sz w:val="24"/>
          <w:szCs w:val="24"/>
          <w:vertAlign w:val="superscript"/>
        </w:rPr>
        <w:footnoteReference w:id="405"/>
      </w:r>
      <w:r>
        <w:rPr>
          <w:rFonts w:ascii="Times New Roman" w:hAnsi="Times New Roman" w:cs="Times New Roman"/>
          <w:sz w:val="24"/>
          <w:szCs w:val="24"/>
        </w:rPr>
        <w:t xml:space="preserve"> that amendment of the Wyoming Act to exclude injuries caused by “willful intention to injure or kill” effectively overruled a prior decision authorizing compensation for suicide in certain circumstances, </w:t>
      </w:r>
      <w:r w:rsidRPr="003702D4">
        <w:rPr>
          <w:rFonts w:ascii="Times New Roman" w:hAnsi="Times New Roman" w:cs="Times New Roman"/>
          <w:i/>
          <w:sz w:val="24"/>
          <w:szCs w:val="24"/>
        </w:rPr>
        <w:t>Workers’ Compensation Div</w:t>
      </w:r>
      <w:r>
        <w:rPr>
          <w:rFonts w:ascii="Times New Roman" w:hAnsi="Times New Roman" w:cs="Times New Roman"/>
          <w:i/>
          <w:sz w:val="24"/>
          <w:szCs w:val="24"/>
        </w:rPr>
        <w:t>.</w:t>
      </w:r>
      <w:r w:rsidRPr="003702D4">
        <w:rPr>
          <w:rFonts w:ascii="Times New Roman" w:hAnsi="Times New Roman" w:cs="Times New Roman"/>
          <w:i/>
          <w:sz w:val="24"/>
          <w:szCs w:val="24"/>
        </w:rPr>
        <w:t xml:space="preserve"> v. Ramsey</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06"/>
      </w:r>
      <w:r w:rsidRPr="003702D4">
        <w:rPr>
          <w:rFonts w:ascii="Times New Roman" w:hAnsi="Times New Roman" w:cs="Times New Roman"/>
          <w:sz w:val="24"/>
          <w:szCs w:val="24"/>
        </w:rPr>
        <w:t xml:space="preserve"> </w:t>
      </w:r>
      <w:r>
        <w:rPr>
          <w:rFonts w:ascii="Times New Roman" w:hAnsi="Times New Roman" w:cs="Times New Roman"/>
          <w:sz w:val="24"/>
          <w:szCs w:val="24"/>
        </w:rPr>
        <w:t>The Court concluded that, “[p]</w:t>
      </w:r>
      <w:r w:rsidRPr="004D20B5">
        <w:rPr>
          <w:rFonts w:ascii="Times New Roman" w:hAnsi="Times New Roman" w:cs="Times New Roman"/>
          <w:sz w:val="24"/>
          <w:szCs w:val="24"/>
        </w:rPr>
        <w:t xml:space="preserve">lainly, the meaning of </w:t>
      </w:r>
      <w:r>
        <w:rPr>
          <w:rFonts w:ascii="Times New Roman" w:hAnsi="Times New Roman" w:cs="Times New Roman"/>
          <w:sz w:val="24"/>
          <w:szCs w:val="24"/>
        </w:rPr>
        <w:t>‘</w:t>
      </w:r>
      <w:r w:rsidRPr="004D20B5">
        <w:rPr>
          <w:rFonts w:ascii="Times New Roman" w:hAnsi="Times New Roman" w:cs="Times New Roman"/>
          <w:sz w:val="24"/>
          <w:szCs w:val="24"/>
        </w:rPr>
        <w:t>injury does not include ... [i]njury caused by ... [t]he employee's willful intention to injure or kill himself or another</w:t>
      </w:r>
      <w:r>
        <w:rPr>
          <w:rFonts w:ascii="Times New Roman" w:hAnsi="Times New Roman" w:cs="Times New Roman"/>
          <w:sz w:val="24"/>
          <w:szCs w:val="24"/>
        </w:rPr>
        <w:t>’</w:t>
      </w:r>
      <w:r w:rsidRPr="004D20B5">
        <w:rPr>
          <w:rFonts w:ascii="Times New Roman" w:hAnsi="Times New Roman" w:cs="Times New Roman"/>
          <w:sz w:val="24"/>
          <w:szCs w:val="24"/>
        </w:rPr>
        <w:t xml:space="preserve"> </w:t>
      </w:r>
      <w:r w:rsidRPr="004D20B5">
        <w:rPr>
          <w:rFonts w:ascii="Times New Roman" w:hAnsi="Times New Roman" w:cs="Times New Roman"/>
          <w:b/>
          <w:sz w:val="24"/>
          <w:szCs w:val="24"/>
        </w:rPr>
        <w:t>refers to those situations preceded by or simultaneous with a compensable physical injury</w:t>
      </w:r>
      <w:r w:rsidRPr="004D20B5">
        <w:rPr>
          <w:rFonts w:ascii="Times New Roman" w:hAnsi="Times New Roman" w:cs="Times New Roman"/>
          <w:sz w:val="24"/>
          <w:szCs w:val="24"/>
        </w:rPr>
        <w:t>.</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07"/>
      </w:r>
      <w:r>
        <w:rPr>
          <w:rFonts w:ascii="Times New Roman" w:hAnsi="Times New Roman" w:cs="Times New Roman"/>
          <w:sz w:val="24"/>
          <w:szCs w:val="24"/>
        </w:rPr>
        <w:t xml:space="preserve"> The chain of reasoning is that because the legislature made compensable mental injuries that</w:t>
      </w:r>
      <w:r w:rsidRPr="00BF02A0">
        <w:rPr>
          <w:rFonts w:ascii="Times New Roman" w:hAnsi="Times New Roman" w:cs="Times New Roman"/>
          <w:b/>
          <w:color w:val="000000" w:themeColor="text1"/>
          <w:sz w:val="24"/>
          <w:szCs w:val="24"/>
        </w:rPr>
        <w:t xml:space="preserve"> </w:t>
      </w:r>
      <w:r w:rsidRPr="004D20B5">
        <w:rPr>
          <w:rFonts w:ascii="Times New Roman" w:hAnsi="Times New Roman" w:cs="Times New Roman"/>
          <w:color w:val="000000" w:themeColor="text1"/>
          <w:sz w:val="24"/>
          <w:szCs w:val="24"/>
        </w:rPr>
        <w:t>are</w:t>
      </w:r>
      <w:r w:rsidRPr="00BF02A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BF02A0">
        <w:rPr>
          <w:rFonts w:ascii="Times New Roman" w:hAnsi="Times New Roman" w:cs="Times New Roman"/>
          <w:b/>
          <w:color w:val="000000" w:themeColor="text1"/>
          <w:sz w:val="24"/>
          <w:szCs w:val="24"/>
        </w:rPr>
        <w:t>caused by a compensable physical injury which occurs simultaneously or precedent to them</w:t>
      </w:r>
      <w:r>
        <w:rPr>
          <w:rFonts w:ascii="Times New Roman" w:hAnsi="Times New Roman" w:cs="Times New Roman"/>
          <w:b/>
          <w:color w:val="000000" w:themeColor="text1"/>
          <w:sz w:val="24"/>
          <w:szCs w:val="24"/>
        </w:rPr>
        <w:t>,”</w:t>
      </w:r>
      <w:r w:rsidRPr="00112C9C">
        <w:rPr>
          <w:rFonts w:ascii="Times New Roman" w:hAnsi="Times New Roman" w:cs="Times New Roman"/>
          <w:sz w:val="24"/>
          <w:szCs w:val="24"/>
          <w:vertAlign w:val="superscript"/>
        </w:rPr>
        <w:footnoteReference w:id="408"/>
      </w:r>
      <w:r>
        <w:rPr>
          <w:rFonts w:ascii="Times New Roman" w:hAnsi="Times New Roman" w:cs="Times New Roman"/>
          <w:b/>
          <w:color w:val="000000" w:themeColor="text1"/>
          <w:sz w:val="24"/>
          <w:szCs w:val="24"/>
        </w:rPr>
        <w:t xml:space="preserve"> a suicide or injuries arising from an attempted suicide that occur as a result of a compensable mental injury are themselves compensable. </w:t>
      </w:r>
      <w:r>
        <w:rPr>
          <w:rFonts w:ascii="Times New Roman" w:hAnsi="Times New Roman" w:cs="Times New Roman"/>
          <w:color w:val="000000" w:themeColor="text1"/>
          <w:sz w:val="24"/>
          <w:szCs w:val="24"/>
        </w:rPr>
        <w:t xml:space="preserve">Although </w:t>
      </w:r>
      <w:r w:rsidRPr="00C51B37">
        <w:rPr>
          <w:rFonts w:ascii="Times New Roman" w:hAnsi="Times New Roman" w:cs="Times New Roman"/>
          <w:i/>
          <w:color w:val="000000" w:themeColor="text1"/>
          <w:sz w:val="24"/>
          <w:szCs w:val="24"/>
        </w:rPr>
        <w:t>Brierly</w:t>
      </w:r>
      <w:r>
        <w:rPr>
          <w:rFonts w:ascii="Times New Roman" w:hAnsi="Times New Roman" w:cs="Times New Roman"/>
          <w:color w:val="000000" w:themeColor="text1"/>
          <w:sz w:val="24"/>
          <w:szCs w:val="24"/>
        </w:rPr>
        <w:t xml:space="preserve">’s holding is not the model of clarity it appears to be that </w:t>
      </w:r>
      <w:r w:rsidRPr="00C51B37">
        <w:rPr>
          <w:rFonts w:ascii="Times New Roman" w:hAnsi="Times New Roman" w:cs="Times New Roman"/>
          <w:b/>
          <w:color w:val="000000" w:themeColor="text1"/>
          <w:sz w:val="24"/>
          <w:szCs w:val="24"/>
        </w:rPr>
        <w:t>“</w:t>
      </w:r>
      <w:r w:rsidRPr="00C51B37">
        <w:rPr>
          <w:rFonts w:ascii="Times New Roman" w:hAnsi="Times New Roman" w:cs="Times New Roman"/>
          <w:b/>
          <w:color w:val="000000" w:themeColor="text1"/>
          <w:sz w:val="24"/>
          <w:szCs w:val="24"/>
          <w:u w:val="single"/>
        </w:rPr>
        <w:t>suicide is compensable if the [work-related physical] injury produces mental derangement and the mental derangement produces suicide,” and . . .  “this holding applies to attempted suicide</w:t>
      </w:r>
      <w:r w:rsidRPr="007625CE">
        <w:rPr>
          <w:rFonts w:ascii="Times New Roman" w:hAnsi="Times New Roman" w:cs="Times New Roman"/>
          <w:b/>
          <w:bCs/>
          <w:color w:val="000000" w:themeColor="text1"/>
          <w:sz w:val="24"/>
          <w:szCs w:val="24"/>
        </w:rPr>
        <w:t>.”</w:t>
      </w:r>
      <w:r w:rsidRPr="00112C9C">
        <w:rPr>
          <w:rFonts w:ascii="Times New Roman" w:hAnsi="Times New Roman" w:cs="Times New Roman"/>
          <w:sz w:val="24"/>
          <w:szCs w:val="24"/>
          <w:vertAlign w:val="superscript"/>
        </w:rPr>
        <w:footnoteReference w:id="409"/>
      </w:r>
    </w:p>
    <w:p w14:paraId="6407F9A6" w14:textId="7E68D923" w:rsidR="00FF7482" w:rsidRDefault="00FF7482" w:rsidP="00FB34C7">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456347DC" w14:textId="56C30616" w:rsidR="00FF7482" w:rsidRDefault="00FF7482" w:rsidP="007625C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One important caveat to the principle just discussed is that “the </w:t>
      </w:r>
      <w:r w:rsidRPr="00E70BF9">
        <w:rPr>
          <w:rFonts w:ascii="Times New Roman" w:hAnsi="Times New Roman" w:cs="Times New Roman"/>
          <w:sz w:val="24"/>
          <w:szCs w:val="24"/>
        </w:rPr>
        <w:t xml:space="preserve">requisite </w:t>
      </w:r>
      <w:r>
        <w:rPr>
          <w:rFonts w:ascii="Times New Roman" w:hAnsi="Times New Roman" w:cs="Times New Roman"/>
          <w:sz w:val="24"/>
          <w:szCs w:val="24"/>
        </w:rPr>
        <w:t>‘</w:t>
      </w:r>
      <w:r w:rsidRPr="00E70BF9">
        <w:rPr>
          <w:rFonts w:ascii="Times New Roman" w:hAnsi="Times New Roman" w:cs="Times New Roman"/>
          <w:sz w:val="24"/>
          <w:szCs w:val="24"/>
        </w:rPr>
        <w:t>physical injury</w:t>
      </w:r>
      <w:r>
        <w:rPr>
          <w:rFonts w:ascii="Times New Roman" w:hAnsi="Times New Roman" w:cs="Times New Roman"/>
          <w:sz w:val="24"/>
          <w:szCs w:val="24"/>
        </w:rPr>
        <w:t>’</w:t>
      </w:r>
      <w:r w:rsidRPr="00E70BF9">
        <w:rPr>
          <w:rFonts w:ascii="Times New Roman" w:hAnsi="Times New Roman" w:cs="Times New Roman"/>
          <w:sz w:val="24"/>
          <w:szCs w:val="24"/>
        </w:rPr>
        <w:t xml:space="preserve"> must be something outside of the biological changes in the brain associated with mental disorders.</w:t>
      </w:r>
      <w:r>
        <w:rPr>
          <w:rFonts w:ascii="Times New Roman" w:hAnsi="Times New Roman" w:cs="Times New Roman"/>
          <w:sz w:val="24"/>
          <w:szCs w:val="24"/>
        </w:rPr>
        <w:t xml:space="preserve">” As already discussed in this Treatise above in Section 3.12, in </w:t>
      </w:r>
      <w:r w:rsidRPr="006A4F16">
        <w:rPr>
          <w:rFonts w:ascii="Times New Roman" w:hAnsi="Times New Roman" w:cs="Times New Roman"/>
          <w:i/>
          <w:sz w:val="24"/>
          <w:szCs w:val="24"/>
        </w:rPr>
        <w:t>Wheeler v.</w:t>
      </w:r>
      <w:r>
        <w:rPr>
          <w:rFonts w:ascii="Times New Roman" w:hAnsi="Times New Roman" w:cs="Times New Roman"/>
          <w:i/>
          <w:sz w:val="24"/>
          <w:szCs w:val="24"/>
        </w:rPr>
        <w:t xml:space="preserve"> </w:t>
      </w:r>
      <w:r w:rsidRPr="006A4F16">
        <w:rPr>
          <w:rFonts w:ascii="Times New Roman" w:hAnsi="Times New Roman" w:cs="Times New Roman"/>
          <w:i/>
          <w:sz w:val="24"/>
          <w:szCs w:val="24"/>
        </w:rPr>
        <w:t>Workers</w:t>
      </w:r>
      <w:r>
        <w:rPr>
          <w:rFonts w:ascii="Times New Roman" w:hAnsi="Times New Roman" w:cs="Times New Roman"/>
          <w:i/>
          <w:sz w:val="24"/>
          <w:szCs w:val="24"/>
        </w:rPr>
        <w:t>’</w:t>
      </w:r>
      <w:r w:rsidRPr="006A4F16">
        <w:rPr>
          <w:rFonts w:ascii="Times New Roman" w:hAnsi="Times New Roman" w:cs="Times New Roman"/>
          <w:i/>
          <w:sz w:val="24"/>
          <w:szCs w:val="24"/>
        </w:rPr>
        <w:t xml:space="preserve"> Safety </w:t>
      </w:r>
      <w:r>
        <w:rPr>
          <w:rFonts w:ascii="Times New Roman" w:hAnsi="Times New Roman" w:cs="Times New Roman"/>
          <w:i/>
          <w:sz w:val="24"/>
          <w:szCs w:val="24"/>
        </w:rPr>
        <w:t>&amp;</w:t>
      </w:r>
      <w:r w:rsidRPr="006A4F16">
        <w:rPr>
          <w:rFonts w:ascii="Times New Roman" w:hAnsi="Times New Roman" w:cs="Times New Roman"/>
          <w:i/>
          <w:sz w:val="24"/>
          <w:szCs w:val="24"/>
        </w:rPr>
        <w:t xml:space="preserve"> Compensation Div</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10"/>
      </w:r>
      <w:r>
        <w:rPr>
          <w:rFonts w:ascii="Times New Roman" w:hAnsi="Times New Roman" w:cs="Times New Roman"/>
          <w:sz w:val="24"/>
          <w:szCs w:val="24"/>
        </w:rPr>
        <w:t xml:space="preserve"> the Wyoming Supreme Court rejected the argument that a firefighter who experienced post-traumatic stress disorder after </w:t>
      </w:r>
      <w:r w:rsidRPr="006A4F16">
        <w:rPr>
          <w:rFonts w:ascii="Times New Roman" w:hAnsi="Times New Roman" w:cs="Times New Roman"/>
          <w:sz w:val="24"/>
          <w:szCs w:val="24"/>
        </w:rPr>
        <w:t>two of his fellow volunteer firefighters died in an explosion</w:t>
      </w:r>
      <w:r>
        <w:rPr>
          <w:rFonts w:ascii="Times New Roman" w:hAnsi="Times New Roman" w:cs="Times New Roman"/>
          <w:sz w:val="24"/>
          <w:szCs w:val="24"/>
        </w:rPr>
        <w:t xml:space="preserve"> suffered from a compensable physical injury.</w:t>
      </w:r>
      <w:r w:rsidRPr="00112C9C">
        <w:rPr>
          <w:rFonts w:ascii="Times New Roman" w:hAnsi="Times New Roman" w:cs="Times New Roman"/>
          <w:sz w:val="24"/>
          <w:szCs w:val="24"/>
          <w:vertAlign w:val="superscript"/>
        </w:rPr>
        <w:footnoteReference w:id="411"/>
      </w:r>
      <w:r>
        <w:rPr>
          <w:rFonts w:ascii="Times New Roman" w:hAnsi="Times New Roman" w:cs="Times New Roman"/>
          <w:sz w:val="24"/>
          <w:szCs w:val="24"/>
        </w:rPr>
        <w:t xml:space="preserve"> Thus, a suicide resulting from such a depressive episode would probably not be compensable.</w:t>
      </w:r>
    </w:p>
    <w:p w14:paraId="0538D541" w14:textId="77777777" w:rsidR="00FF7482" w:rsidRPr="00E70BF9" w:rsidRDefault="00FF7482" w:rsidP="00AD1851">
      <w:pPr>
        <w:pStyle w:val="ListParagraph"/>
        <w:spacing w:after="0"/>
        <w:ind w:left="0" w:firstLine="720"/>
        <w:jc w:val="both"/>
        <w:rPr>
          <w:rFonts w:ascii="Times New Roman" w:hAnsi="Times New Roman" w:cs="Times New Roman"/>
          <w:sz w:val="24"/>
          <w:szCs w:val="24"/>
        </w:rPr>
      </w:pPr>
    </w:p>
    <w:p w14:paraId="175F17BE" w14:textId="6AC91B91" w:rsidR="00FF7482" w:rsidRDefault="00FF7482" w:rsidP="006A4F16">
      <w:pPr>
        <w:pStyle w:val="Heading2"/>
        <w:rPr>
          <w:rFonts w:ascii="Times New Roman" w:hAnsi="Times New Roman" w:cs="Times New Roman"/>
          <w:b/>
          <w:color w:val="auto"/>
        </w:rPr>
      </w:pPr>
      <w:bookmarkStart w:id="568" w:name="_Toc75269385"/>
      <w:bookmarkStart w:id="569" w:name="_Hlk520734437"/>
      <w:r w:rsidRPr="006A4F16">
        <w:rPr>
          <w:rFonts w:ascii="Times New Roman" w:hAnsi="Times New Roman" w:cs="Times New Roman"/>
          <w:b/>
          <w:color w:val="auto"/>
        </w:rPr>
        <w:t>Intoxication in Wyoming</w:t>
      </w:r>
      <w:bookmarkEnd w:id="568"/>
    </w:p>
    <w:bookmarkEnd w:id="569"/>
    <w:p w14:paraId="40338921" w14:textId="14208FC8" w:rsidR="00FF7482" w:rsidRDefault="00FF7482" w:rsidP="008A788C">
      <w:pPr>
        <w:spacing w:after="0"/>
      </w:pPr>
    </w:p>
    <w:p w14:paraId="4038A880" w14:textId="3038E007" w:rsidR="00FF7482" w:rsidRDefault="00FF7482" w:rsidP="00722E68">
      <w:pPr>
        <w:pStyle w:val="ListParagraph"/>
        <w:ind w:left="0"/>
        <w:jc w:val="both"/>
        <w:rPr>
          <w:rFonts w:ascii="Times New Roman" w:hAnsi="Times New Roman" w:cs="Times New Roman"/>
          <w:sz w:val="24"/>
          <w:szCs w:val="24"/>
        </w:rPr>
      </w:pPr>
      <w:r w:rsidRPr="00A4628F">
        <w:rPr>
          <w:rFonts w:ascii="Times New Roman" w:hAnsi="Times New Roman" w:cs="Times New Roman"/>
          <w:sz w:val="24"/>
          <w:szCs w:val="24"/>
        </w:rPr>
        <w:t xml:space="preserve">The Wyoming Workers’ Compensation Act </w:t>
      </w:r>
      <w:r w:rsidRPr="00E43749">
        <w:rPr>
          <w:rFonts w:ascii="Times New Roman" w:hAnsi="Times New Roman" w:cs="Times New Roman"/>
          <w:b/>
          <w:sz w:val="24"/>
          <w:szCs w:val="24"/>
        </w:rPr>
        <w:t>excludes from coverage any “[i]njury caused by . . .  [t]he fact the employee is intoxicated or under the influence of a controlled substance, or both, except any prescribed drug taken as directed by an authorized health care provider</w:t>
      </w:r>
      <w:r w:rsidRPr="00A4628F">
        <w:rPr>
          <w:rFonts w:ascii="Times New Roman" w:hAnsi="Times New Roman" w:cs="Times New Roman"/>
          <w:sz w:val="24"/>
          <w:szCs w:val="24"/>
        </w:rPr>
        <w:t xml:space="preserve">. The </w:t>
      </w:r>
      <w:r w:rsidR="00301EA9">
        <w:rPr>
          <w:rFonts w:ascii="Times New Roman" w:hAnsi="Times New Roman" w:cs="Times New Roman"/>
          <w:sz w:val="24"/>
          <w:szCs w:val="24"/>
        </w:rPr>
        <w:t>d</w:t>
      </w:r>
      <w:r w:rsidRPr="00A4628F">
        <w:rPr>
          <w:rFonts w:ascii="Times New Roman" w:hAnsi="Times New Roman" w:cs="Times New Roman"/>
          <w:sz w:val="24"/>
          <w:szCs w:val="24"/>
        </w:rPr>
        <w:t>ivision shall define ‘intoxicated’ and ‘under the influence of a controlled substance’ for purposes of this subparagraph in its rules and regulations.”</w:t>
      </w:r>
      <w:r>
        <w:rPr>
          <w:rFonts w:ascii="Times New Roman" w:hAnsi="Times New Roman" w:cs="Times New Roman"/>
          <w:sz w:val="24"/>
          <w:szCs w:val="24"/>
        </w:rPr>
        <w:t xml:space="preserve"> </w:t>
      </w:r>
      <w:r w:rsidRPr="00BE237A">
        <w:rPr>
          <w:rFonts w:ascii="Times New Roman" w:hAnsi="Times New Roman" w:cs="Times New Roman"/>
          <w:sz w:val="24"/>
          <w:szCs w:val="24"/>
        </w:rPr>
        <w:t xml:space="preserve">W.S. § </w:t>
      </w:r>
      <w:hyperlink r:id="rId77" w:history="1">
        <w:r w:rsidRPr="00BE237A">
          <w:rPr>
            <w:rStyle w:val="Hyperlink"/>
            <w:rFonts w:ascii="Times New Roman" w:hAnsi="Times New Roman" w:cs="Times New Roman"/>
            <w:sz w:val="24"/>
            <w:szCs w:val="24"/>
          </w:rPr>
          <w:t>27-14-102</w:t>
        </w:r>
      </w:hyperlink>
      <w:r>
        <w:rPr>
          <w:rFonts w:ascii="Times New Roman" w:hAnsi="Times New Roman" w:cs="Times New Roman"/>
          <w:sz w:val="24"/>
          <w:szCs w:val="24"/>
        </w:rPr>
        <w:t>(xi)(B)(I).</w:t>
      </w:r>
      <w:r w:rsidRPr="00A4628F">
        <w:rPr>
          <w:rFonts w:ascii="Times New Roman" w:hAnsi="Times New Roman" w:cs="Times New Roman"/>
          <w:sz w:val="24"/>
          <w:szCs w:val="24"/>
        </w:rPr>
        <w:t xml:space="preserve"> </w:t>
      </w:r>
      <w:r>
        <w:rPr>
          <w:rFonts w:ascii="Times New Roman" w:hAnsi="Times New Roman" w:cs="Times New Roman"/>
          <w:sz w:val="24"/>
          <w:szCs w:val="24"/>
        </w:rPr>
        <w:t>“[T]</w:t>
      </w:r>
      <w:r w:rsidRPr="00E43749">
        <w:rPr>
          <w:rFonts w:ascii="Times New Roman" w:hAnsi="Times New Roman" w:cs="Times New Roman"/>
          <w:sz w:val="24"/>
          <w:szCs w:val="24"/>
        </w:rPr>
        <w:t xml:space="preserve">he </w:t>
      </w:r>
      <w:r w:rsidRPr="00E43749">
        <w:rPr>
          <w:rFonts w:ascii="Times New Roman" w:hAnsi="Times New Roman" w:cs="Times New Roman"/>
          <w:b/>
          <w:sz w:val="24"/>
          <w:szCs w:val="24"/>
        </w:rPr>
        <w:t>burden is on the employer or the Division to prove that the employee’s injury was caused by intoxication</w:t>
      </w:r>
      <w:r w:rsidRPr="00E43749">
        <w:rPr>
          <w:rFonts w:ascii="Times New Roman" w:hAnsi="Times New Roman" w:cs="Times New Roman"/>
          <w:sz w:val="24"/>
          <w:szCs w:val="24"/>
        </w:rPr>
        <w:t>.</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12"/>
      </w:r>
      <w:r>
        <w:rPr>
          <w:rFonts w:ascii="Times New Roman" w:hAnsi="Times New Roman" w:cs="Times New Roman"/>
          <w:sz w:val="24"/>
          <w:szCs w:val="24"/>
        </w:rPr>
        <w:t xml:space="preserve"> </w:t>
      </w:r>
      <w:r w:rsidRPr="00E43749">
        <w:rPr>
          <w:rFonts w:ascii="Times New Roman" w:hAnsi="Times New Roman" w:cs="Times New Roman"/>
          <w:b/>
          <w:sz w:val="24"/>
          <w:szCs w:val="24"/>
        </w:rPr>
        <w:t>Once the Division</w:t>
      </w:r>
      <w:r>
        <w:rPr>
          <w:rFonts w:ascii="Times New Roman" w:hAnsi="Times New Roman" w:cs="Times New Roman"/>
          <w:sz w:val="24"/>
          <w:szCs w:val="24"/>
        </w:rPr>
        <w:t xml:space="preserve"> (or employer)</w:t>
      </w:r>
      <w:r w:rsidRPr="00E43749">
        <w:rPr>
          <w:rFonts w:ascii="Times New Roman" w:hAnsi="Times New Roman" w:cs="Times New Roman"/>
          <w:sz w:val="24"/>
          <w:szCs w:val="24"/>
        </w:rPr>
        <w:t xml:space="preserve"> </w:t>
      </w:r>
      <w:r w:rsidRPr="00E43749">
        <w:rPr>
          <w:rFonts w:ascii="Times New Roman" w:hAnsi="Times New Roman" w:cs="Times New Roman"/>
          <w:b/>
          <w:sz w:val="24"/>
          <w:szCs w:val="24"/>
        </w:rPr>
        <w:t>meets its burden</w:t>
      </w:r>
      <w:r w:rsidRPr="00E43749">
        <w:rPr>
          <w:rFonts w:ascii="Times New Roman" w:hAnsi="Times New Roman" w:cs="Times New Roman"/>
          <w:sz w:val="24"/>
          <w:szCs w:val="24"/>
        </w:rPr>
        <w:t xml:space="preserve"> by producing evidence of intoxication, </w:t>
      </w:r>
      <w:r w:rsidRPr="00E43749">
        <w:rPr>
          <w:rFonts w:ascii="Times New Roman" w:hAnsi="Times New Roman" w:cs="Times New Roman"/>
          <w:b/>
          <w:sz w:val="24"/>
          <w:szCs w:val="24"/>
        </w:rPr>
        <w:t>the burden of production shifts</w:t>
      </w:r>
      <w:r w:rsidRPr="00E43749">
        <w:rPr>
          <w:rFonts w:ascii="Times New Roman" w:hAnsi="Times New Roman" w:cs="Times New Roman"/>
          <w:sz w:val="24"/>
          <w:szCs w:val="24"/>
        </w:rPr>
        <w:t xml:space="preserve"> to </w:t>
      </w:r>
      <w:r>
        <w:rPr>
          <w:rFonts w:ascii="Times New Roman" w:hAnsi="Times New Roman" w:cs="Times New Roman"/>
          <w:sz w:val="24"/>
          <w:szCs w:val="24"/>
        </w:rPr>
        <w:t xml:space="preserve">the claimant-employee, though </w:t>
      </w:r>
      <w:r w:rsidRPr="00E43749">
        <w:rPr>
          <w:rFonts w:ascii="Times New Roman" w:hAnsi="Times New Roman" w:cs="Times New Roman"/>
          <w:b/>
          <w:sz w:val="24"/>
          <w:szCs w:val="24"/>
        </w:rPr>
        <w:t>the burden of persuasion remains with the Division</w:t>
      </w:r>
      <w:r>
        <w:rPr>
          <w:rFonts w:ascii="Times New Roman" w:hAnsi="Times New Roman" w:cs="Times New Roman"/>
          <w:sz w:val="24"/>
          <w:szCs w:val="24"/>
        </w:rPr>
        <w:t xml:space="preserve"> (or employer).</w:t>
      </w:r>
      <w:r w:rsidRPr="00112C9C">
        <w:rPr>
          <w:rFonts w:ascii="Times New Roman" w:hAnsi="Times New Roman" w:cs="Times New Roman"/>
          <w:sz w:val="24"/>
          <w:szCs w:val="24"/>
          <w:vertAlign w:val="superscript"/>
        </w:rPr>
        <w:footnoteReference w:id="413"/>
      </w:r>
      <w:r>
        <w:rPr>
          <w:rFonts w:ascii="Times New Roman" w:hAnsi="Times New Roman" w:cs="Times New Roman"/>
          <w:sz w:val="24"/>
          <w:szCs w:val="24"/>
        </w:rPr>
        <w:t xml:space="preserve"> In this context, whether intoxication, or being under the influence of a controlled substance, caused an injury means, as a matter of law, whether the conduct was </w:t>
      </w:r>
      <w:r w:rsidRPr="008A6B54">
        <w:rPr>
          <w:rFonts w:ascii="Times New Roman" w:hAnsi="Times New Roman" w:cs="Times New Roman"/>
          <w:sz w:val="24"/>
          <w:szCs w:val="24"/>
        </w:rPr>
        <w:t xml:space="preserve">a </w:t>
      </w:r>
      <w:r w:rsidRPr="00D52E15">
        <w:rPr>
          <w:rFonts w:ascii="Times New Roman" w:hAnsi="Times New Roman" w:cs="Times New Roman"/>
          <w:b/>
          <w:sz w:val="24"/>
          <w:szCs w:val="24"/>
          <w:u w:val="single"/>
        </w:rPr>
        <w:t>substantial factor</w:t>
      </w:r>
      <w:r w:rsidRPr="008A6B54">
        <w:rPr>
          <w:rFonts w:ascii="Times New Roman" w:hAnsi="Times New Roman" w:cs="Times New Roman"/>
          <w:sz w:val="24"/>
          <w:szCs w:val="24"/>
        </w:rPr>
        <w:t xml:space="preserve"> in bringing about the injuries</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14"/>
      </w:r>
    </w:p>
    <w:p w14:paraId="272C6234" w14:textId="6CC0398F" w:rsidR="00FF7482" w:rsidRDefault="00FF7482" w:rsidP="006A4F16">
      <w:pPr>
        <w:pStyle w:val="ListParagraph"/>
        <w:ind w:left="0" w:firstLine="720"/>
        <w:jc w:val="both"/>
        <w:rPr>
          <w:rFonts w:ascii="Times New Roman" w:hAnsi="Times New Roman" w:cs="Times New Roman"/>
          <w:sz w:val="24"/>
          <w:szCs w:val="24"/>
        </w:rPr>
      </w:pPr>
    </w:p>
    <w:p w14:paraId="256D0688" w14:textId="75A621AE" w:rsidR="00FF7482" w:rsidRDefault="00FF7482" w:rsidP="00F12F6A">
      <w:pPr>
        <w:pStyle w:val="ListParagraph"/>
        <w:ind w:left="0"/>
        <w:jc w:val="both"/>
        <w:rPr>
          <w:rFonts w:ascii="Times New Roman" w:hAnsi="Times New Roman" w:cs="Times New Roman"/>
          <w:sz w:val="24"/>
          <w:szCs w:val="24"/>
        </w:rPr>
      </w:pPr>
      <w:r>
        <w:rPr>
          <w:rFonts w:ascii="Times New Roman" w:hAnsi="Times New Roman" w:cs="Times New Roman"/>
          <w:sz w:val="24"/>
          <w:szCs w:val="24"/>
        </w:rPr>
        <w:t>Under Chapter 1, Section 3(cc) of the Wyoming Rules and Regulations of the Wyoming Workers’ Compensation Division (</w:t>
      </w:r>
      <w:r w:rsidRPr="006E24D1">
        <w:rPr>
          <w:rFonts w:ascii="Times New Roman" w:hAnsi="Times New Roman" w:cs="Times New Roman"/>
          <w:sz w:val="24"/>
          <w:szCs w:val="24"/>
        </w:rPr>
        <w:t>WY Rules and Regulations</w:t>
      </w:r>
      <w:r w:rsidRPr="00082D22">
        <w:rPr>
          <w:rFonts w:ascii="Times New Roman" w:hAnsi="Times New Roman" w:cs="Times New Roman"/>
          <w:sz w:val="24"/>
          <w:szCs w:val="24"/>
        </w:rPr>
        <w:t xml:space="preserve"> 053.0021.1 § 3</w:t>
      </w:r>
      <w:r>
        <w:rPr>
          <w:rFonts w:ascii="Times New Roman" w:hAnsi="Times New Roman" w:cs="Times New Roman"/>
          <w:sz w:val="24"/>
          <w:szCs w:val="24"/>
        </w:rPr>
        <w:t>(cc)), “intoxicated,” under the previously discussed statutory provision, means “</w:t>
      </w:r>
      <w:r w:rsidRPr="008D0E08">
        <w:rPr>
          <w:rFonts w:ascii="Times New Roman" w:hAnsi="Times New Roman" w:cs="Times New Roman"/>
          <w:sz w:val="24"/>
          <w:szCs w:val="24"/>
        </w:rPr>
        <w:t>a positive alcohol test result at or above .08 alcohol concentration level.</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15"/>
      </w:r>
      <w:r>
        <w:rPr>
          <w:rFonts w:ascii="Times New Roman" w:hAnsi="Times New Roman" w:cs="Times New Roman"/>
          <w:sz w:val="24"/>
          <w:szCs w:val="24"/>
        </w:rPr>
        <w:t xml:space="preserve"> “</w:t>
      </w:r>
      <w:r w:rsidRPr="008D0E08">
        <w:rPr>
          <w:rFonts w:ascii="Times New Roman" w:hAnsi="Times New Roman" w:cs="Times New Roman"/>
          <w:sz w:val="24"/>
          <w:szCs w:val="24"/>
        </w:rPr>
        <w:t>Under the Influence of a Controlled Substance</w:t>
      </w:r>
      <w:r>
        <w:rPr>
          <w:rFonts w:ascii="Times New Roman" w:hAnsi="Times New Roman" w:cs="Times New Roman"/>
          <w:sz w:val="24"/>
          <w:szCs w:val="24"/>
        </w:rPr>
        <w:t>” means “</w:t>
      </w:r>
      <w:r w:rsidRPr="008D0E08">
        <w:rPr>
          <w:rFonts w:ascii="Times New Roman" w:hAnsi="Times New Roman" w:cs="Times New Roman"/>
          <w:sz w:val="24"/>
          <w:szCs w:val="24"/>
        </w:rPr>
        <w:t>a positive drug test conducted in accordance with the U.S. DOT drug and alcohol testing regulations from an HHS-certified laboratory.</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16"/>
      </w:r>
    </w:p>
    <w:p w14:paraId="7F16D730" w14:textId="2A4A3CE8" w:rsidR="00FF7482" w:rsidRDefault="00FF7482" w:rsidP="006A4F16">
      <w:pPr>
        <w:pStyle w:val="ListParagraph"/>
        <w:ind w:left="0" w:firstLine="720"/>
        <w:jc w:val="both"/>
        <w:rPr>
          <w:rFonts w:ascii="Times New Roman" w:hAnsi="Times New Roman" w:cs="Times New Roman"/>
          <w:sz w:val="24"/>
          <w:szCs w:val="24"/>
        </w:rPr>
      </w:pPr>
    </w:p>
    <w:p w14:paraId="7D0F5C7B" w14:textId="1D1B639B" w:rsidR="00FF7482" w:rsidRDefault="00FF7482" w:rsidP="004C48F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It is worth noting that the Wyoming statute’s handling of the role of intoxication in a work-related injury occupies an intermediate position when compared to other states. On the one hand, the Wyoming Workers’ Compensation Act requires </w:t>
      </w:r>
      <w:r w:rsidRPr="009420EF">
        <w:rPr>
          <w:rFonts w:ascii="Times New Roman" w:hAnsi="Times New Roman" w:cs="Times New Roman"/>
          <w:i/>
          <w:sz w:val="24"/>
          <w:szCs w:val="24"/>
        </w:rPr>
        <w:t>some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showing that intoxication in part </w:t>
      </w:r>
      <w:r w:rsidRPr="006E24D1">
        <w:rPr>
          <w:rFonts w:ascii="Times New Roman" w:hAnsi="Times New Roman" w:cs="Times New Roman"/>
          <w:i/>
          <w:iCs/>
          <w:sz w:val="24"/>
          <w:szCs w:val="24"/>
        </w:rPr>
        <w:t xml:space="preserve">caused </w:t>
      </w:r>
      <w:r>
        <w:rPr>
          <w:rFonts w:ascii="Times New Roman" w:hAnsi="Times New Roman" w:cs="Times New Roman"/>
          <w:sz w:val="24"/>
          <w:szCs w:val="24"/>
        </w:rPr>
        <w:t>the injury, unlike the Texas Act “where</w:t>
      </w:r>
      <w:r w:rsidRPr="009420EF">
        <w:rPr>
          <w:rFonts w:ascii="Times New Roman" w:hAnsi="Times New Roman" w:cs="Times New Roman"/>
          <w:sz w:val="24"/>
          <w:szCs w:val="24"/>
        </w:rPr>
        <w:t xml:space="preserve"> the defense requires only a showing that the claimant was intoxicated at the time,</w:t>
      </w:r>
      <w:r>
        <w:rPr>
          <w:rFonts w:ascii="Times New Roman" w:hAnsi="Times New Roman" w:cs="Times New Roman"/>
          <w:sz w:val="24"/>
          <w:szCs w:val="24"/>
        </w:rPr>
        <w:t xml:space="preserve"> [and]</w:t>
      </w:r>
      <w:r w:rsidRPr="009420EF">
        <w:rPr>
          <w:rFonts w:ascii="Times New Roman" w:hAnsi="Times New Roman" w:cs="Times New Roman"/>
          <w:sz w:val="24"/>
          <w:szCs w:val="24"/>
        </w:rPr>
        <w:t xml:space="preserve"> the courts have held point-blank that any discussion of causal connection between the intoxication and the accident is irrelevant.</w:t>
      </w:r>
      <w:r>
        <w:rPr>
          <w:rFonts w:ascii="Times New Roman" w:hAnsi="Times New Roman" w:cs="Times New Roman"/>
          <w:sz w:val="24"/>
          <w:szCs w:val="24"/>
        </w:rPr>
        <w:t>”</w:t>
      </w:r>
      <w:r w:rsidRPr="00112C9C">
        <w:rPr>
          <w:rFonts w:ascii="Times New Roman" w:hAnsi="Times New Roman" w:cs="Times New Roman"/>
          <w:sz w:val="24"/>
          <w:szCs w:val="24"/>
          <w:vertAlign w:val="superscript"/>
        </w:rPr>
        <w:footnoteReference w:id="417"/>
      </w:r>
      <w:r>
        <w:rPr>
          <w:rFonts w:ascii="Times New Roman" w:hAnsi="Times New Roman" w:cs="Times New Roman"/>
          <w:sz w:val="24"/>
          <w:szCs w:val="24"/>
        </w:rPr>
        <w:t xml:space="preserve"> On the other hand, in Wyoming it is not necessary that the Division or employer show that intoxication be the “primary” or “sole” cause of an otherwise work-related injury, which is the case in some states.</w:t>
      </w:r>
      <w:r w:rsidRPr="00112C9C">
        <w:rPr>
          <w:rFonts w:ascii="Times New Roman" w:hAnsi="Times New Roman" w:cs="Times New Roman"/>
          <w:sz w:val="24"/>
          <w:szCs w:val="24"/>
          <w:vertAlign w:val="superscript"/>
        </w:rPr>
        <w:footnoteReference w:id="418"/>
      </w:r>
    </w:p>
    <w:p w14:paraId="723005F5" w14:textId="37618A01" w:rsidR="00FF7482" w:rsidRDefault="00FF7482">
      <w:pPr>
        <w:rPr>
          <w:rFonts w:ascii="Times New Roman" w:hAnsi="Times New Roman" w:cs="Times New Roman"/>
          <w:sz w:val="24"/>
          <w:szCs w:val="24"/>
        </w:rPr>
      </w:pPr>
      <w:r>
        <w:rPr>
          <w:rFonts w:ascii="Times New Roman" w:hAnsi="Times New Roman" w:cs="Times New Roman"/>
          <w:sz w:val="24"/>
          <w:szCs w:val="24"/>
        </w:rPr>
        <w:br w:type="page"/>
      </w:r>
    </w:p>
    <w:p w14:paraId="79D46BF5" w14:textId="6B6D968A" w:rsidR="00FF7482" w:rsidRDefault="00FF7482" w:rsidP="00C402E8">
      <w:pPr>
        <w:pStyle w:val="Heading1"/>
        <w:rPr>
          <w:rFonts w:ascii="Times New Roman" w:hAnsi="Times New Roman" w:cs="Times New Roman"/>
          <w:b/>
          <w:color w:val="auto"/>
        </w:rPr>
      </w:pPr>
      <w:bookmarkStart w:id="580" w:name="_Toc75269386"/>
      <w:r w:rsidRPr="00B26F0E">
        <w:rPr>
          <w:rFonts w:ascii="Times New Roman" w:hAnsi="Times New Roman" w:cs="Times New Roman"/>
          <w:b/>
          <w:color w:val="auto"/>
        </w:rPr>
        <w:lastRenderedPageBreak/>
        <w:t>Timing and Limitations</w:t>
      </w:r>
      <w:bookmarkEnd w:id="580"/>
    </w:p>
    <w:p w14:paraId="717FB515" w14:textId="4B52C856" w:rsidR="00FF7482" w:rsidRDefault="00FF7482" w:rsidP="00C402E8">
      <w:pPr>
        <w:spacing w:after="0"/>
      </w:pPr>
    </w:p>
    <w:p w14:paraId="0695F328" w14:textId="2A60F460" w:rsidR="00FF7482" w:rsidRDefault="00FF7482" w:rsidP="00DA2F3E">
      <w:pPr>
        <w:pStyle w:val="Heading2"/>
        <w:contextualSpacing/>
        <w:rPr>
          <w:rFonts w:ascii="Times New Roman" w:hAnsi="Times New Roman" w:cs="Times New Roman"/>
          <w:b/>
          <w:color w:val="auto"/>
        </w:rPr>
      </w:pPr>
      <w:bookmarkStart w:id="581" w:name="_Toc75269387"/>
      <w:r w:rsidRPr="00F02E62">
        <w:rPr>
          <w:rFonts w:ascii="Times New Roman" w:hAnsi="Times New Roman" w:cs="Times New Roman"/>
          <w:b/>
          <w:color w:val="auto"/>
        </w:rPr>
        <w:t>Notice and Claim</w:t>
      </w:r>
      <w:r>
        <w:rPr>
          <w:rFonts w:ascii="Times New Roman" w:hAnsi="Times New Roman" w:cs="Times New Roman"/>
          <w:b/>
          <w:color w:val="auto"/>
        </w:rPr>
        <w:t xml:space="preserve"> Periods</w:t>
      </w:r>
      <w:r w:rsidRPr="00F02E62">
        <w:rPr>
          <w:rFonts w:ascii="Times New Roman" w:hAnsi="Times New Roman" w:cs="Times New Roman"/>
          <w:b/>
          <w:color w:val="auto"/>
        </w:rPr>
        <w:t xml:space="preserve"> Generally</w:t>
      </w:r>
      <w:bookmarkEnd w:id="581"/>
    </w:p>
    <w:p w14:paraId="294CFAEF" w14:textId="77777777" w:rsidR="00FF7482" w:rsidRDefault="00FF7482" w:rsidP="00DA2F3E">
      <w:pPr>
        <w:pStyle w:val="ListParagraph"/>
        <w:spacing w:after="0"/>
        <w:ind w:left="0" w:firstLine="720"/>
        <w:jc w:val="both"/>
        <w:rPr>
          <w:rFonts w:ascii="Times New Roman" w:hAnsi="Times New Roman" w:cs="Times New Roman"/>
          <w:sz w:val="24"/>
          <w:szCs w:val="24"/>
        </w:rPr>
      </w:pPr>
    </w:p>
    <w:p w14:paraId="18C7D318" w14:textId="1AEF6624" w:rsidR="00FF7482" w:rsidRDefault="00FF7482" w:rsidP="00DA2F3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Because of the frequency with which timing issues arise in workers’ compensation cases they will be treated separately in this section, and apart from procedure considered more generally, which is taken up later in Section 6 of th</w:t>
      </w:r>
      <w:r w:rsidR="00507671">
        <w:rPr>
          <w:rFonts w:ascii="Times New Roman" w:hAnsi="Times New Roman" w:cs="Times New Roman"/>
          <w:sz w:val="24"/>
          <w:szCs w:val="24"/>
        </w:rPr>
        <w:t>is</w:t>
      </w:r>
      <w:r>
        <w:rPr>
          <w:rFonts w:ascii="Times New Roman" w:hAnsi="Times New Roman" w:cs="Times New Roman"/>
          <w:sz w:val="24"/>
          <w:szCs w:val="24"/>
        </w:rPr>
        <w:t xml:space="preserve"> Treatise.</w:t>
      </w:r>
    </w:p>
    <w:p w14:paraId="48042805" w14:textId="77777777" w:rsidR="00FF7482" w:rsidRDefault="00FF7482" w:rsidP="00DA2F3E">
      <w:pPr>
        <w:pStyle w:val="ListParagraph"/>
        <w:spacing w:after="0"/>
        <w:ind w:left="0" w:firstLine="720"/>
        <w:jc w:val="both"/>
        <w:rPr>
          <w:rFonts w:ascii="Times New Roman" w:hAnsi="Times New Roman" w:cs="Times New Roman"/>
          <w:sz w:val="24"/>
          <w:szCs w:val="24"/>
        </w:rPr>
      </w:pPr>
    </w:p>
    <w:p w14:paraId="6F2AF038" w14:textId="587DC2F1" w:rsidR="00FF7482" w:rsidRDefault="00FF7482" w:rsidP="00507671">
      <w:pPr>
        <w:pStyle w:val="ListParagraph"/>
        <w:ind w:left="0"/>
        <w:jc w:val="both"/>
        <w:rPr>
          <w:rFonts w:ascii="Times New Roman" w:hAnsi="Times New Roman" w:cs="Times New Roman"/>
          <w:sz w:val="24"/>
          <w:szCs w:val="24"/>
        </w:rPr>
      </w:pPr>
      <w:r>
        <w:rPr>
          <w:rFonts w:ascii="Times New Roman" w:hAnsi="Times New Roman" w:cs="Times New Roman"/>
          <w:sz w:val="24"/>
          <w:szCs w:val="24"/>
        </w:rPr>
        <w:t>W</w:t>
      </w:r>
      <w:r w:rsidRPr="00B26F0E">
        <w:rPr>
          <w:rFonts w:ascii="Times New Roman" w:hAnsi="Times New Roman" w:cs="Times New Roman"/>
          <w:sz w:val="24"/>
          <w:szCs w:val="24"/>
        </w:rPr>
        <w:t>orkers’ compensation statutes</w:t>
      </w:r>
      <w:r>
        <w:rPr>
          <w:rFonts w:ascii="Times New Roman" w:hAnsi="Times New Roman" w:cs="Times New Roman"/>
          <w:sz w:val="24"/>
          <w:szCs w:val="24"/>
        </w:rPr>
        <w:t xml:space="preserve"> have </w:t>
      </w:r>
      <w:r w:rsidRPr="001120B7">
        <w:rPr>
          <w:rFonts w:ascii="Times New Roman" w:hAnsi="Times New Roman" w:cs="Times New Roman"/>
          <w:i/>
          <w:iCs/>
          <w:sz w:val="24"/>
          <w:szCs w:val="24"/>
        </w:rPr>
        <w:t>always</w:t>
      </w:r>
      <w:r>
        <w:rPr>
          <w:rFonts w:ascii="Times New Roman" w:hAnsi="Times New Roman" w:cs="Times New Roman"/>
          <w:sz w:val="24"/>
          <w:szCs w:val="24"/>
        </w:rPr>
        <w:t xml:space="preserve"> imposed deadlines by which an employee is required to report a work-related injury and file a claim in connection with the injury. The </w:t>
      </w:r>
      <w:r w:rsidRPr="000C2C7F">
        <w:rPr>
          <w:rFonts w:ascii="Times New Roman" w:hAnsi="Times New Roman" w:cs="Times New Roman"/>
          <w:i/>
          <w:sz w:val="24"/>
          <w:szCs w:val="24"/>
        </w:rPr>
        <w:t>Larson’s</w:t>
      </w:r>
      <w:r>
        <w:rPr>
          <w:rFonts w:ascii="Times New Roman" w:hAnsi="Times New Roman" w:cs="Times New Roman"/>
          <w:sz w:val="24"/>
          <w:szCs w:val="24"/>
        </w:rPr>
        <w:t xml:space="preserve"> treatise aptly summarizes the law in this area:</w:t>
      </w:r>
    </w:p>
    <w:p w14:paraId="2A7792AD" w14:textId="77777777" w:rsidR="00FF7482" w:rsidRDefault="00FF7482" w:rsidP="00B26F0E">
      <w:pPr>
        <w:pStyle w:val="ListParagraph"/>
        <w:ind w:left="0" w:firstLine="720"/>
        <w:jc w:val="both"/>
        <w:rPr>
          <w:rFonts w:ascii="Times New Roman" w:hAnsi="Times New Roman" w:cs="Times New Roman"/>
          <w:sz w:val="24"/>
          <w:szCs w:val="24"/>
        </w:rPr>
      </w:pPr>
    </w:p>
    <w:p w14:paraId="61BD520C" w14:textId="1CF825DC" w:rsidR="00FF7482" w:rsidRDefault="00FF7482" w:rsidP="00722E68">
      <w:pPr>
        <w:pStyle w:val="ListParagraph"/>
        <w:ind w:right="720"/>
        <w:jc w:val="both"/>
        <w:rPr>
          <w:rFonts w:ascii="Times New Roman" w:hAnsi="Times New Roman" w:cs="Times New Roman"/>
          <w:sz w:val="24"/>
          <w:szCs w:val="24"/>
        </w:rPr>
      </w:pPr>
      <w:r w:rsidRPr="000C2C7F">
        <w:rPr>
          <w:rFonts w:ascii="Times New Roman" w:hAnsi="Times New Roman" w:cs="Times New Roman"/>
          <w:sz w:val="24"/>
          <w:szCs w:val="24"/>
        </w:rPr>
        <w:t>Since the purpose of the notice requirement is to enable the employer to protect itself by prompt investigation and treatment of the injury, failure to give formal notice is usually no bar if the employer had actual knowledge or informal notice sufficient to indicate the possibility of a compensable injury, or if the employer furnished medical service or paid some compensation, or, in many jurisdictions, if the employer was not prejudiced by the lack of notice. Moreover, because the law does not exact the impossible of the employee, lateness of both notice and claim may be excused for various reasons, including the following: Impossibility of knowing that an apparently minor accident would later develop into a compensable injury; reasonable inability to recognize a disease or disabling condition in an early or latent stage; medical opinion that the injury is not serious or is nonindustrial; voluntary payment of benefits by the employer, or assurances that the employee will be taken care of, inducing the employee to refrain from making claim; and disability preventing the making of the claim, due to mental or physical incapacity, minority, and the like.</w:t>
      </w:r>
      <w:r w:rsidRPr="00112C9C">
        <w:rPr>
          <w:rFonts w:ascii="Times New Roman" w:hAnsi="Times New Roman" w:cs="Times New Roman"/>
          <w:sz w:val="24"/>
          <w:szCs w:val="24"/>
          <w:vertAlign w:val="superscript"/>
        </w:rPr>
        <w:footnoteReference w:id="419"/>
      </w:r>
      <w:r w:rsidRPr="00112C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F0E">
        <w:rPr>
          <w:rFonts w:ascii="Times New Roman" w:hAnsi="Times New Roman" w:cs="Times New Roman"/>
          <w:sz w:val="24"/>
          <w:szCs w:val="24"/>
        </w:rPr>
        <w:t xml:space="preserve"> </w:t>
      </w:r>
    </w:p>
    <w:p w14:paraId="3BF3B501" w14:textId="653CF093" w:rsidR="00FF7482" w:rsidRDefault="00FF7482" w:rsidP="000C2C7F">
      <w:pPr>
        <w:pStyle w:val="ListParagraph"/>
        <w:ind w:right="720"/>
        <w:jc w:val="both"/>
        <w:rPr>
          <w:rFonts w:ascii="Times New Roman" w:hAnsi="Times New Roman" w:cs="Times New Roman"/>
          <w:sz w:val="24"/>
          <w:szCs w:val="24"/>
        </w:rPr>
      </w:pPr>
    </w:p>
    <w:p w14:paraId="68B0FDCA" w14:textId="5BB02172" w:rsidR="00FF7482" w:rsidRDefault="00FF7482" w:rsidP="001810E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Practitioners should be aware that the general reluctance of workers’ compensation law to deprive beneficiaries of benefits, if it is reasonably possible to avoid doing so, </w:t>
      </w:r>
      <w:r w:rsidRPr="000C2C7F">
        <w:rPr>
          <w:rFonts w:ascii="Times New Roman" w:hAnsi="Times New Roman" w:cs="Times New Roman"/>
          <w:sz w:val="24"/>
          <w:szCs w:val="24"/>
        </w:rPr>
        <w:t xml:space="preserve">should not be allowed to create the impression that </w:t>
      </w:r>
      <w:r>
        <w:rPr>
          <w:rFonts w:ascii="Times New Roman" w:hAnsi="Times New Roman" w:cs="Times New Roman"/>
          <w:sz w:val="24"/>
          <w:szCs w:val="24"/>
        </w:rPr>
        <w:t>procedural requirements are</w:t>
      </w:r>
      <w:r w:rsidRPr="000C2C7F">
        <w:rPr>
          <w:rFonts w:ascii="Times New Roman" w:hAnsi="Times New Roman" w:cs="Times New Roman"/>
          <w:sz w:val="24"/>
          <w:szCs w:val="24"/>
        </w:rPr>
        <w:t xml:space="preserve"> hollow formalit</w:t>
      </w:r>
      <w:r>
        <w:rPr>
          <w:rFonts w:ascii="Times New Roman" w:hAnsi="Times New Roman" w:cs="Times New Roman"/>
          <w:sz w:val="24"/>
          <w:szCs w:val="24"/>
        </w:rPr>
        <w:t>ies</w:t>
      </w:r>
      <w:r w:rsidRPr="000C2C7F">
        <w:rPr>
          <w:rFonts w:ascii="Times New Roman" w:hAnsi="Times New Roman" w:cs="Times New Roman"/>
          <w:sz w:val="24"/>
          <w:szCs w:val="24"/>
        </w:rPr>
        <w:t xml:space="preserve"> that may safely be disregarded. The</w:t>
      </w:r>
      <w:r>
        <w:rPr>
          <w:rFonts w:ascii="Times New Roman" w:hAnsi="Times New Roman" w:cs="Times New Roman"/>
          <w:sz w:val="24"/>
          <w:szCs w:val="24"/>
        </w:rPr>
        <w:t>se</w:t>
      </w:r>
      <w:r w:rsidRPr="000C2C7F">
        <w:rPr>
          <w:rFonts w:ascii="Times New Roman" w:hAnsi="Times New Roman" w:cs="Times New Roman"/>
          <w:sz w:val="24"/>
          <w:szCs w:val="24"/>
        </w:rPr>
        <w:t xml:space="preserve"> requirement</w:t>
      </w:r>
      <w:r>
        <w:rPr>
          <w:rFonts w:ascii="Times New Roman" w:hAnsi="Times New Roman" w:cs="Times New Roman"/>
          <w:sz w:val="24"/>
          <w:szCs w:val="24"/>
        </w:rPr>
        <w:t>s are</w:t>
      </w:r>
      <w:r w:rsidRPr="000C2C7F">
        <w:rPr>
          <w:rFonts w:ascii="Times New Roman" w:hAnsi="Times New Roman" w:cs="Times New Roman"/>
          <w:sz w:val="24"/>
          <w:szCs w:val="24"/>
        </w:rPr>
        <w:t xml:space="preserve"> no</w:t>
      </w:r>
      <w:r>
        <w:rPr>
          <w:rFonts w:ascii="Times New Roman" w:hAnsi="Times New Roman" w:cs="Times New Roman"/>
          <w:sz w:val="24"/>
          <w:szCs w:val="24"/>
        </w:rPr>
        <w:t>t</w:t>
      </w:r>
      <w:r w:rsidRPr="000C2C7F">
        <w:rPr>
          <w:rFonts w:ascii="Times New Roman" w:hAnsi="Times New Roman" w:cs="Times New Roman"/>
          <w:sz w:val="24"/>
          <w:szCs w:val="24"/>
        </w:rPr>
        <w:t xml:space="preserve"> mere technicalit</w:t>
      </w:r>
      <w:r>
        <w:rPr>
          <w:rFonts w:ascii="Times New Roman" w:hAnsi="Times New Roman" w:cs="Times New Roman"/>
          <w:sz w:val="24"/>
          <w:szCs w:val="24"/>
        </w:rPr>
        <w:t>ies,</w:t>
      </w:r>
      <w:r w:rsidRPr="00112C9C">
        <w:rPr>
          <w:rFonts w:ascii="Times New Roman" w:hAnsi="Times New Roman" w:cs="Times New Roman"/>
          <w:sz w:val="24"/>
          <w:szCs w:val="24"/>
          <w:vertAlign w:val="superscript"/>
        </w:rPr>
        <w:footnoteReference w:id="420"/>
      </w:r>
      <w:r>
        <w:rPr>
          <w:rFonts w:ascii="Times New Roman" w:hAnsi="Times New Roman" w:cs="Times New Roman"/>
          <w:sz w:val="24"/>
          <w:szCs w:val="24"/>
        </w:rPr>
        <w:t xml:space="preserve"> and great attention should be given to the precise rules of individual states like Wyoming.</w:t>
      </w:r>
    </w:p>
    <w:p w14:paraId="0EFFE6DD" w14:textId="77777777" w:rsidR="00DA2F3E" w:rsidRDefault="00DA2F3E" w:rsidP="001810E2">
      <w:pPr>
        <w:pStyle w:val="ListParagraph"/>
        <w:spacing w:after="0"/>
        <w:ind w:left="0"/>
        <w:jc w:val="both"/>
        <w:rPr>
          <w:rFonts w:ascii="Times New Roman" w:hAnsi="Times New Roman" w:cs="Times New Roman"/>
          <w:sz w:val="24"/>
          <w:szCs w:val="24"/>
        </w:rPr>
      </w:pPr>
    </w:p>
    <w:p w14:paraId="31B56EDD" w14:textId="77777777" w:rsidR="00FF7482" w:rsidRDefault="00FF7482" w:rsidP="00AD1851">
      <w:pPr>
        <w:pStyle w:val="ListParagraph"/>
        <w:spacing w:after="0"/>
        <w:ind w:left="0" w:firstLine="720"/>
        <w:jc w:val="both"/>
        <w:rPr>
          <w:rFonts w:ascii="Times New Roman" w:hAnsi="Times New Roman" w:cs="Times New Roman"/>
          <w:sz w:val="24"/>
          <w:szCs w:val="24"/>
        </w:rPr>
      </w:pPr>
    </w:p>
    <w:p w14:paraId="5516F98E" w14:textId="5BA48816" w:rsidR="00FF7482" w:rsidRPr="000203C2" w:rsidRDefault="00FF7482" w:rsidP="000203C2">
      <w:pPr>
        <w:pStyle w:val="Heading2"/>
        <w:rPr>
          <w:rFonts w:ascii="Times New Roman" w:hAnsi="Times New Roman" w:cs="Times New Roman"/>
          <w:b/>
          <w:color w:val="auto"/>
        </w:rPr>
      </w:pPr>
      <w:bookmarkStart w:id="586" w:name="_Toc75269388"/>
      <w:bookmarkStart w:id="587" w:name="_Hlk523761983"/>
      <w:bookmarkStart w:id="588" w:name="_Hlk521946481"/>
      <w:r w:rsidRPr="000C2C7F">
        <w:rPr>
          <w:rFonts w:ascii="Times New Roman" w:hAnsi="Times New Roman" w:cs="Times New Roman"/>
          <w:b/>
          <w:color w:val="auto"/>
        </w:rPr>
        <w:lastRenderedPageBreak/>
        <w:t>Notice in Wyoming</w:t>
      </w:r>
      <w:bookmarkStart w:id="589" w:name="_Hlk521164812"/>
      <w:r w:rsidR="00320134">
        <w:rPr>
          <w:rFonts w:ascii="Times New Roman" w:hAnsi="Times New Roman" w:cs="Times New Roman"/>
          <w:b/>
          <w:color w:val="auto"/>
        </w:rPr>
        <w:t xml:space="preserve"> – </w:t>
      </w:r>
      <w:r w:rsidRPr="000203C2">
        <w:rPr>
          <w:rFonts w:ascii="Times New Roman" w:hAnsi="Times New Roman" w:cs="Times New Roman"/>
          <w:b/>
          <w:color w:val="auto"/>
        </w:rPr>
        <w:t>Statutory and Regulatory Provisions</w:t>
      </w:r>
      <w:bookmarkEnd w:id="586"/>
      <w:r w:rsidRPr="000203C2">
        <w:rPr>
          <w:rFonts w:ascii="Times New Roman" w:hAnsi="Times New Roman" w:cs="Times New Roman"/>
          <w:b/>
          <w:color w:val="auto"/>
        </w:rPr>
        <w:t xml:space="preserve"> </w:t>
      </w:r>
      <w:bookmarkEnd w:id="587"/>
    </w:p>
    <w:bookmarkEnd w:id="588"/>
    <w:p w14:paraId="14F11222" w14:textId="77777777" w:rsidR="00FF7482" w:rsidRDefault="00FF7482" w:rsidP="000C2C7F">
      <w:pPr>
        <w:pStyle w:val="ListParagraph"/>
        <w:ind w:left="0" w:firstLine="720"/>
        <w:jc w:val="both"/>
        <w:rPr>
          <w:rFonts w:ascii="Times New Roman" w:hAnsi="Times New Roman" w:cs="Times New Roman"/>
          <w:sz w:val="24"/>
          <w:szCs w:val="24"/>
        </w:rPr>
      </w:pPr>
    </w:p>
    <w:p w14:paraId="6A008960" w14:textId="262E0FE0" w:rsidR="00FF7482" w:rsidRDefault="00FF7482" w:rsidP="0061450A">
      <w:pPr>
        <w:pStyle w:val="ListParagraph"/>
        <w:ind w:left="0"/>
        <w:jc w:val="both"/>
        <w:rPr>
          <w:rFonts w:ascii="Times New Roman" w:hAnsi="Times New Roman" w:cs="Times New Roman"/>
          <w:sz w:val="24"/>
          <w:szCs w:val="24"/>
        </w:rPr>
      </w:pPr>
      <w:bookmarkStart w:id="590" w:name="_Hlk521228080"/>
      <w:bookmarkStart w:id="591" w:name="_Hlk521946622"/>
      <w:r w:rsidRPr="00BE237A">
        <w:rPr>
          <w:rFonts w:ascii="Times New Roman" w:hAnsi="Times New Roman" w:cs="Times New Roman"/>
          <w:sz w:val="24"/>
          <w:szCs w:val="24"/>
        </w:rPr>
        <w:t xml:space="preserve">W.S. § </w:t>
      </w:r>
      <w:hyperlink r:id="rId78" w:history="1">
        <w:r w:rsidRPr="00BE237A">
          <w:rPr>
            <w:rStyle w:val="Hyperlink"/>
            <w:rFonts w:ascii="Times New Roman" w:hAnsi="Times New Roman" w:cs="Times New Roman"/>
            <w:sz w:val="24"/>
            <w:szCs w:val="24"/>
          </w:rPr>
          <w:t>27-14-502</w:t>
        </w:r>
      </w:hyperlink>
      <w:r w:rsidRPr="00BE237A">
        <w:rPr>
          <w:rFonts w:ascii="Times New Roman" w:hAnsi="Times New Roman" w:cs="Times New Roman"/>
          <w:sz w:val="24"/>
          <w:szCs w:val="24"/>
        </w:rPr>
        <w:t>(</w:t>
      </w:r>
      <w:r>
        <w:rPr>
          <w:rFonts w:ascii="Times New Roman" w:hAnsi="Times New Roman" w:cs="Times New Roman"/>
          <w:sz w:val="24"/>
          <w:szCs w:val="24"/>
        </w:rPr>
        <w:t>a)</w:t>
      </w:r>
      <w:bookmarkEnd w:id="590"/>
      <w:r>
        <w:rPr>
          <w:rFonts w:ascii="Times New Roman" w:hAnsi="Times New Roman" w:cs="Times New Roman"/>
          <w:sz w:val="24"/>
          <w:szCs w:val="24"/>
        </w:rPr>
        <w:t xml:space="preserve"> prescribes notice requirements:</w:t>
      </w:r>
    </w:p>
    <w:bookmarkEnd w:id="589"/>
    <w:p w14:paraId="5B7636BD" w14:textId="77777777" w:rsidR="00FF7482" w:rsidRDefault="00FF7482" w:rsidP="000C2C7F">
      <w:pPr>
        <w:pStyle w:val="ListParagraph"/>
        <w:ind w:left="0" w:firstLine="720"/>
        <w:jc w:val="both"/>
        <w:rPr>
          <w:rFonts w:ascii="Times New Roman" w:hAnsi="Times New Roman" w:cs="Times New Roman"/>
          <w:sz w:val="24"/>
          <w:szCs w:val="24"/>
        </w:rPr>
      </w:pPr>
    </w:p>
    <w:p w14:paraId="44C9FA11" w14:textId="1B82C328" w:rsidR="00FF7482" w:rsidRPr="00B052DA" w:rsidRDefault="00FF7482" w:rsidP="00722E68">
      <w:pPr>
        <w:pStyle w:val="ListParagraph"/>
        <w:ind w:right="720"/>
        <w:jc w:val="both"/>
        <w:rPr>
          <w:rFonts w:ascii="Times New Roman" w:hAnsi="Times New Roman" w:cs="Times New Roman"/>
          <w:sz w:val="24"/>
          <w:szCs w:val="24"/>
        </w:rPr>
      </w:pPr>
      <w:r w:rsidRPr="00B052DA">
        <w:rPr>
          <w:rFonts w:ascii="Times New Roman" w:hAnsi="Times New Roman" w:cs="Times New Roman"/>
          <w:sz w:val="24"/>
          <w:szCs w:val="24"/>
        </w:rPr>
        <w:t xml:space="preserve">As soon as is practical but </w:t>
      </w:r>
      <w:r w:rsidRPr="00B052DA">
        <w:rPr>
          <w:rFonts w:ascii="Times New Roman" w:hAnsi="Times New Roman" w:cs="Times New Roman"/>
          <w:b/>
          <w:iCs/>
          <w:sz w:val="24"/>
          <w:szCs w:val="24"/>
        </w:rPr>
        <w:t>not later than seventy-two (72) hours after the general nature of the injury became apparent</w:t>
      </w:r>
      <w:r w:rsidRPr="00B052DA">
        <w:rPr>
          <w:rFonts w:ascii="Times New Roman" w:hAnsi="Times New Roman" w:cs="Times New Roman"/>
          <w:sz w:val="24"/>
          <w:szCs w:val="24"/>
        </w:rPr>
        <w:t xml:space="preserve">, </w:t>
      </w:r>
      <w:bookmarkStart w:id="592" w:name="_Hlk521158422"/>
      <w:r w:rsidRPr="00B052DA">
        <w:rPr>
          <w:rFonts w:ascii="Times New Roman" w:hAnsi="Times New Roman" w:cs="Times New Roman"/>
          <w:sz w:val="24"/>
          <w:szCs w:val="24"/>
        </w:rPr>
        <w:t>an injured employee shall, in writing or by other means approved by the department, report the occurrence and general nature of the accident or injury to the employer.</w:t>
      </w:r>
      <w:bookmarkEnd w:id="592"/>
      <w:r w:rsidRPr="00B052DA">
        <w:rPr>
          <w:rFonts w:ascii="Times New Roman" w:hAnsi="Times New Roman" w:cs="Times New Roman"/>
          <w:sz w:val="24"/>
          <w:szCs w:val="24"/>
        </w:rPr>
        <w:t xml:space="preserve"> </w:t>
      </w:r>
      <w:r w:rsidRPr="006B75DA">
        <w:rPr>
          <w:rFonts w:ascii="Times New Roman" w:hAnsi="Times New Roman" w:cs="Times New Roman"/>
          <w:b/>
          <w:iCs/>
          <w:sz w:val="24"/>
          <w:szCs w:val="24"/>
        </w:rPr>
        <w:t>In addition</w:t>
      </w:r>
      <w:r w:rsidRPr="00B052DA">
        <w:rPr>
          <w:rFonts w:ascii="Times New Roman" w:hAnsi="Times New Roman" w:cs="Times New Roman"/>
          <w:sz w:val="24"/>
          <w:szCs w:val="24"/>
        </w:rPr>
        <w:t xml:space="preserve">, the injured employee shall </w:t>
      </w:r>
      <w:r w:rsidRPr="00B052DA">
        <w:rPr>
          <w:rFonts w:ascii="Times New Roman" w:hAnsi="Times New Roman" w:cs="Times New Roman"/>
          <w:b/>
          <w:iCs/>
          <w:sz w:val="24"/>
          <w:szCs w:val="24"/>
        </w:rPr>
        <w:t>within ten (10) days after the injury became apparent, file an injury report with the employer and the division</w:t>
      </w:r>
      <w:r w:rsidRPr="00B052DA">
        <w:rPr>
          <w:rFonts w:ascii="Times New Roman" w:hAnsi="Times New Roman" w:cs="Times New Roman"/>
          <w:sz w:val="24"/>
          <w:szCs w:val="24"/>
        </w:rPr>
        <w:t xml:space="preserve"> in a manner and containing information prescribed by division rule and regulation. </w:t>
      </w:r>
    </w:p>
    <w:bookmarkEnd w:id="591"/>
    <w:p w14:paraId="52310239" w14:textId="72FCE9BB" w:rsidR="00FF7482" w:rsidRDefault="00FF7482" w:rsidP="000C2C7F">
      <w:pPr>
        <w:pStyle w:val="ListParagraph"/>
        <w:ind w:left="0" w:firstLine="720"/>
        <w:jc w:val="both"/>
        <w:rPr>
          <w:rFonts w:ascii="Times New Roman" w:hAnsi="Times New Roman" w:cs="Times New Roman"/>
          <w:sz w:val="24"/>
          <w:szCs w:val="24"/>
        </w:rPr>
      </w:pPr>
    </w:p>
    <w:p w14:paraId="1C85AD0E" w14:textId="60BB025E" w:rsidR="00FF7482" w:rsidRDefault="00FF7482" w:rsidP="009E416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Despite statutory authorization in this provision for “the department” to approve notice to the employer by means other than “in writing,” it is unclear whether the Division has done so other than by having internal hearings in individual cases (See below in this Treatise at Section 6.8). If the employee has provided a written </w:t>
      </w:r>
      <w:r w:rsidR="00502D6C">
        <w:rPr>
          <w:rFonts w:ascii="Times New Roman" w:hAnsi="Times New Roman" w:cs="Times New Roman"/>
          <w:sz w:val="24"/>
          <w:szCs w:val="24"/>
        </w:rPr>
        <w:t>i</w:t>
      </w:r>
      <w:r>
        <w:rPr>
          <w:rFonts w:ascii="Times New Roman" w:hAnsi="Times New Roman" w:cs="Times New Roman"/>
          <w:sz w:val="24"/>
          <w:szCs w:val="24"/>
        </w:rPr>
        <w:t xml:space="preserve">njury </w:t>
      </w:r>
      <w:r w:rsidR="00502D6C">
        <w:rPr>
          <w:rFonts w:ascii="Times New Roman" w:hAnsi="Times New Roman" w:cs="Times New Roman"/>
          <w:sz w:val="24"/>
          <w:szCs w:val="24"/>
        </w:rPr>
        <w:t>r</w:t>
      </w:r>
      <w:r>
        <w:rPr>
          <w:rFonts w:ascii="Times New Roman" w:hAnsi="Times New Roman" w:cs="Times New Roman"/>
          <w:sz w:val="24"/>
          <w:szCs w:val="24"/>
        </w:rPr>
        <w:t xml:space="preserve">eport the issue is, of course, moot. </w:t>
      </w:r>
    </w:p>
    <w:p w14:paraId="4C6C807B" w14:textId="77777777" w:rsidR="00FF7482" w:rsidRDefault="00FF7482" w:rsidP="00741CDA">
      <w:pPr>
        <w:pStyle w:val="ListParagraph"/>
        <w:ind w:left="0" w:firstLine="720"/>
        <w:jc w:val="both"/>
        <w:rPr>
          <w:rFonts w:ascii="Times New Roman" w:hAnsi="Times New Roman" w:cs="Times New Roman"/>
          <w:sz w:val="24"/>
          <w:szCs w:val="24"/>
        </w:rPr>
      </w:pPr>
    </w:p>
    <w:p w14:paraId="56373FC2" w14:textId="3AB3B624" w:rsidR="00FF7482" w:rsidRDefault="00FF7482" w:rsidP="009B4CC6">
      <w:pPr>
        <w:pStyle w:val="ListParagraph"/>
        <w:ind w:left="0"/>
        <w:jc w:val="both"/>
        <w:rPr>
          <w:rFonts w:ascii="Times New Roman" w:hAnsi="Times New Roman" w:cs="Times New Roman"/>
          <w:sz w:val="24"/>
          <w:szCs w:val="24"/>
        </w:rPr>
      </w:pPr>
      <w:bookmarkStart w:id="593" w:name="_Hlk521947062"/>
      <w:r>
        <w:rPr>
          <w:rFonts w:ascii="Times New Roman" w:hAnsi="Times New Roman" w:cs="Times New Roman"/>
          <w:sz w:val="24"/>
          <w:szCs w:val="24"/>
        </w:rPr>
        <w:t xml:space="preserve">Regarding notice, </w:t>
      </w:r>
      <w:r w:rsidRPr="00015BEC">
        <w:rPr>
          <w:rFonts w:ascii="Times New Roman" w:hAnsi="Times New Roman" w:cs="Times New Roman"/>
          <w:b/>
          <w:sz w:val="24"/>
          <w:szCs w:val="24"/>
          <w:u w:val="single"/>
        </w:rPr>
        <w:t>the Division’s rule</w:t>
      </w:r>
      <w:r>
        <w:rPr>
          <w:rFonts w:ascii="Times New Roman" w:hAnsi="Times New Roman" w:cs="Times New Roman"/>
          <w:sz w:val="24"/>
          <w:szCs w:val="24"/>
        </w:rPr>
        <w:t xml:space="preserve"> states</w:t>
      </w:r>
      <w:bookmarkEnd w:id="593"/>
      <w:r>
        <w:rPr>
          <w:rFonts w:ascii="Times New Roman" w:hAnsi="Times New Roman" w:cs="Times New Roman"/>
          <w:sz w:val="24"/>
          <w:szCs w:val="24"/>
        </w:rPr>
        <w:t xml:space="preserve">:   </w:t>
      </w:r>
    </w:p>
    <w:p w14:paraId="3207DC84" w14:textId="77777777" w:rsidR="00FF7482" w:rsidRDefault="00FF7482" w:rsidP="00741CDA">
      <w:pPr>
        <w:pStyle w:val="ListParagraph"/>
        <w:ind w:left="0" w:firstLine="720"/>
        <w:jc w:val="both"/>
        <w:rPr>
          <w:rFonts w:ascii="Times New Roman" w:hAnsi="Times New Roman" w:cs="Times New Roman"/>
          <w:sz w:val="24"/>
          <w:szCs w:val="24"/>
        </w:rPr>
      </w:pPr>
    </w:p>
    <w:p w14:paraId="6B9F9E05" w14:textId="63B845A1" w:rsidR="00FF7482" w:rsidRDefault="00FF7482" w:rsidP="006B75DA">
      <w:pPr>
        <w:pStyle w:val="ListParagraph"/>
        <w:ind w:right="720"/>
        <w:jc w:val="both"/>
        <w:rPr>
          <w:rFonts w:ascii="Times New Roman" w:hAnsi="Times New Roman" w:cs="Times New Roman"/>
          <w:sz w:val="24"/>
          <w:szCs w:val="24"/>
        </w:rPr>
      </w:pPr>
      <w:r w:rsidRPr="006B75DA">
        <w:rPr>
          <w:rFonts w:ascii="Times New Roman" w:hAnsi="Times New Roman" w:cs="Times New Roman"/>
          <w:sz w:val="24"/>
          <w:szCs w:val="24"/>
        </w:rPr>
        <w:t>The report of the injury is not a claim for benefits</w:t>
      </w:r>
      <w:r>
        <w:rPr>
          <w:rFonts w:ascii="Times New Roman" w:hAnsi="Times New Roman" w:cs="Times New Roman"/>
          <w:sz w:val="24"/>
          <w:szCs w:val="24"/>
        </w:rPr>
        <w:t xml:space="preserve"> . . . </w:t>
      </w:r>
      <w:r w:rsidRPr="006B75DA">
        <w:rPr>
          <w:rFonts w:ascii="Times New Roman" w:hAnsi="Times New Roman" w:cs="Times New Roman"/>
          <w:sz w:val="24"/>
          <w:szCs w:val="24"/>
        </w:rPr>
        <w:t>The injured worker is required by the statute to report the occurrence and general nature of the injury to the employer as soon as practical within 72 hours after the injury becomes apparent, and to file a signed injury report on the required form with the Division within ten days after the injury becomes apparent. Otherwise, there is a statutory presumption that the claim shall be denied. However, this presumption may be rebutted if the worker can establish by clear and convincing evidence that the delay does not prejudice the employer or Division in investigating the injury and in monitoring medical treatment.</w:t>
      </w:r>
    </w:p>
    <w:p w14:paraId="2E119B51" w14:textId="74803230" w:rsidR="00FF7482" w:rsidRDefault="00FF7482" w:rsidP="006B75DA">
      <w:pPr>
        <w:pStyle w:val="ListParagraph"/>
        <w:ind w:right="720"/>
        <w:jc w:val="both"/>
        <w:rPr>
          <w:rFonts w:ascii="Times New Roman" w:hAnsi="Times New Roman" w:cs="Times New Roman"/>
          <w:sz w:val="24"/>
          <w:szCs w:val="24"/>
        </w:rPr>
      </w:pPr>
    </w:p>
    <w:p w14:paraId="75124B61" w14:textId="1AE68955" w:rsidR="00FF7482" w:rsidRDefault="00FF7482" w:rsidP="009B4CC6">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rule by its terms requires the employee to provide a signed injury report but does not explicitly require written notice to the employer. In reviewing reported cases, it does not appear that a writing is essential to notice. Although no holding seems squarely on point, there are several cases in which </w:t>
      </w:r>
      <w:r w:rsidRPr="00891D73">
        <w:rPr>
          <w:rFonts w:ascii="Times New Roman" w:hAnsi="Times New Roman" w:cs="Times New Roman"/>
          <w:i/>
          <w:iCs/>
          <w:sz w:val="24"/>
          <w:szCs w:val="24"/>
        </w:rPr>
        <w:t>only oral notice</w:t>
      </w:r>
      <w:r>
        <w:rPr>
          <w:rFonts w:ascii="Times New Roman" w:hAnsi="Times New Roman" w:cs="Times New Roman"/>
          <w:sz w:val="24"/>
          <w:szCs w:val="24"/>
        </w:rPr>
        <w:t xml:space="preserve"> was provided to the employer and lack of written notice was not identified as an issue</w:t>
      </w:r>
      <w:r w:rsidR="00A8356C">
        <w:rPr>
          <w:rFonts w:ascii="Times New Roman" w:hAnsi="Times New Roman" w:cs="Times New Roman"/>
          <w:sz w:val="24"/>
          <w:szCs w:val="24"/>
        </w:rPr>
        <w:t xml:space="preserve">. </w:t>
      </w:r>
    </w:p>
    <w:p w14:paraId="1699A6A2" w14:textId="1F9A4D6D" w:rsidR="00FF7482" w:rsidRDefault="00FF7482" w:rsidP="006B3F49">
      <w:pPr>
        <w:pStyle w:val="ListParagraph"/>
        <w:ind w:left="0" w:right="720"/>
        <w:jc w:val="both"/>
        <w:rPr>
          <w:rFonts w:ascii="Times New Roman" w:hAnsi="Times New Roman" w:cs="Times New Roman"/>
          <w:sz w:val="24"/>
          <w:szCs w:val="24"/>
        </w:rPr>
      </w:pPr>
    </w:p>
    <w:p w14:paraId="4B86B374" w14:textId="1271EEFB" w:rsidR="00FF7482" w:rsidRDefault="00FF7482" w:rsidP="00A8356C">
      <w:pPr>
        <w:pStyle w:val="ListParagraph"/>
        <w:ind w:left="0"/>
        <w:jc w:val="both"/>
        <w:rPr>
          <w:rFonts w:ascii="Times New Roman" w:hAnsi="Times New Roman" w:cs="Times New Roman"/>
          <w:sz w:val="24"/>
          <w:szCs w:val="24"/>
        </w:rPr>
      </w:pPr>
      <w:r w:rsidRPr="00E20994">
        <w:rPr>
          <w:rFonts w:ascii="Times New Roman" w:hAnsi="Times New Roman" w:cs="Times New Roman"/>
          <w:b/>
          <w:sz w:val="24"/>
          <w:szCs w:val="24"/>
        </w:rPr>
        <w:lastRenderedPageBreak/>
        <w:t xml:space="preserve">Under prior Wyoming law </w:t>
      </w:r>
      <w:r w:rsidRPr="000203C2">
        <w:rPr>
          <w:rFonts w:ascii="Times New Roman" w:hAnsi="Times New Roman" w:cs="Times New Roman"/>
          <w:b/>
          <w:sz w:val="24"/>
          <w:szCs w:val="24"/>
          <w:u w:val="single"/>
        </w:rPr>
        <w:t>both</w:t>
      </w:r>
      <w:r w:rsidRPr="002E2AAB">
        <w:rPr>
          <w:rFonts w:ascii="Times New Roman" w:hAnsi="Times New Roman" w:cs="Times New Roman"/>
          <w:b/>
          <w:sz w:val="24"/>
          <w:szCs w:val="24"/>
        </w:rPr>
        <w:t xml:space="preserve"> the seventy-two-hour reporting </w:t>
      </w:r>
      <w:r w:rsidRPr="006D73FD">
        <w:rPr>
          <w:rFonts w:ascii="Times New Roman" w:hAnsi="Times New Roman" w:cs="Times New Roman"/>
          <w:b/>
          <w:sz w:val="24"/>
          <w:szCs w:val="24"/>
          <w:u w:val="single"/>
        </w:rPr>
        <w:t>and</w:t>
      </w:r>
      <w:r w:rsidRPr="002E2AAB">
        <w:rPr>
          <w:rFonts w:ascii="Times New Roman" w:hAnsi="Times New Roman" w:cs="Times New Roman"/>
          <w:b/>
          <w:sz w:val="24"/>
          <w:szCs w:val="24"/>
        </w:rPr>
        <w:t xml:space="preserve"> ten-day filing requirements </w:t>
      </w:r>
      <w:r>
        <w:rPr>
          <w:rFonts w:ascii="Times New Roman" w:hAnsi="Times New Roman" w:cs="Times New Roman"/>
          <w:b/>
          <w:sz w:val="24"/>
          <w:szCs w:val="24"/>
        </w:rPr>
        <w:t>had to</w:t>
      </w:r>
      <w:r w:rsidRPr="002E2AAB">
        <w:rPr>
          <w:rFonts w:ascii="Times New Roman" w:hAnsi="Times New Roman" w:cs="Times New Roman"/>
          <w:b/>
          <w:sz w:val="24"/>
          <w:szCs w:val="24"/>
        </w:rPr>
        <w:t xml:space="preserve"> be complied with </w:t>
      </w:r>
      <w:r>
        <w:rPr>
          <w:rFonts w:ascii="Times New Roman" w:hAnsi="Times New Roman" w:cs="Times New Roman"/>
          <w:b/>
          <w:sz w:val="24"/>
          <w:szCs w:val="24"/>
        </w:rPr>
        <w:t>to satisfy notice requirements</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21"/>
      </w:r>
      <w:r>
        <w:rPr>
          <w:rFonts w:ascii="Times New Roman" w:hAnsi="Times New Roman" w:cs="Times New Roman"/>
          <w:sz w:val="24"/>
          <w:szCs w:val="24"/>
        </w:rPr>
        <w:t xml:space="preserve"> The dual reporting system has become more complicated, however. </w:t>
      </w:r>
    </w:p>
    <w:p w14:paraId="3F605744" w14:textId="77777777" w:rsidR="00FF7482" w:rsidRDefault="00FF7482" w:rsidP="004C34C9">
      <w:pPr>
        <w:pStyle w:val="ListParagraph"/>
        <w:ind w:left="0" w:firstLine="720"/>
        <w:jc w:val="both"/>
        <w:rPr>
          <w:rFonts w:ascii="Times New Roman" w:hAnsi="Times New Roman" w:cs="Times New Roman"/>
          <w:sz w:val="24"/>
          <w:szCs w:val="24"/>
        </w:rPr>
      </w:pPr>
    </w:p>
    <w:p w14:paraId="77B4AD08" w14:textId="294C11EF" w:rsidR="00FF7482" w:rsidRDefault="00FF7482" w:rsidP="005F3636">
      <w:pPr>
        <w:pStyle w:val="ListParagraph"/>
        <w:ind w:left="0"/>
        <w:jc w:val="both"/>
        <w:rPr>
          <w:rFonts w:ascii="Times New Roman" w:hAnsi="Times New Roman" w:cs="Times New Roman"/>
          <w:sz w:val="24"/>
          <w:szCs w:val="24"/>
        </w:rPr>
      </w:pPr>
      <w:r w:rsidRPr="00BE237A">
        <w:rPr>
          <w:rFonts w:ascii="Times New Roman" w:hAnsi="Times New Roman" w:cs="Times New Roman"/>
          <w:sz w:val="24"/>
          <w:szCs w:val="24"/>
        </w:rPr>
        <w:t xml:space="preserve">W.S. § </w:t>
      </w:r>
      <w:hyperlink r:id="rId79" w:history="1">
        <w:r w:rsidRPr="00BE237A">
          <w:rPr>
            <w:rStyle w:val="Hyperlink"/>
            <w:rFonts w:ascii="Times New Roman" w:hAnsi="Times New Roman" w:cs="Times New Roman"/>
            <w:sz w:val="24"/>
            <w:szCs w:val="24"/>
          </w:rPr>
          <w:t>27-14-502</w:t>
        </w:r>
      </w:hyperlink>
      <w:r>
        <w:rPr>
          <w:rFonts w:ascii="Times New Roman" w:hAnsi="Times New Roman" w:cs="Times New Roman"/>
          <w:sz w:val="24"/>
          <w:szCs w:val="24"/>
        </w:rPr>
        <w:t>(c) states</w:t>
      </w:r>
      <w:r w:rsidR="00E3008F">
        <w:rPr>
          <w:rFonts w:ascii="Times New Roman" w:hAnsi="Times New Roman" w:cs="Times New Roman"/>
          <w:sz w:val="24"/>
          <w:szCs w:val="24"/>
        </w:rPr>
        <w:t xml:space="preserve"> (Emphases supplied)</w:t>
      </w:r>
      <w:r>
        <w:rPr>
          <w:rFonts w:ascii="Times New Roman" w:hAnsi="Times New Roman" w:cs="Times New Roman"/>
          <w:sz w:val="24"/>
          <w:szCs w:val="24"/>
        </w:rPr>
        <w:t>:</w:t>
      </w:r>
    </w:p>
    <w:p w14:paraId="7D990764" w14:textId="7C0988A8" w:rsidR="00FF7482" w:rsidRDefault="00FF7482" w:rsidP="006D73FD">
      <w:pPr>
        <w:pStyle w:val="ListParagraph"/>
        <w:ind w:left="0" w:firstLine="720"/>
        <w:jc w:val="both"/>
        <w:rPr>
          <w:rFonts w:ascii="Times New Roman" w:hAnsi="Times New Roman" w:cs="Times New Roman"/>
          <w:sz w:val="24"/>
          <w:szCs w:val="24"/>
        </w:rPr>
      </w:pPr>
    </w:p>
    <w:p w14:paraId="1C502FC0" w14:textId="0FCA2AD6" w:rsidR="00FF7482" w:rsidRDefault="00FF7482" w:rsidP="00722E68">
      <w:pPr>
        <w:pStyle w:val="ListParagraph"/>
        <w:ind w:right="720"/>
        <w:jc w:val="both"/>
        <w:rPr>
          <w:rFonts w:ascii="Times New Roman" w:hAnsi="Times New Roman" w:cs="Times New Roman"/>
          <w:sz w:val="24"/>
          <w:szCs w:val="24"/>
        </w:rPr>
      </w:pPr>
      <w:r w:rsidRPr="004C34C9">
        <w:rPr>
          <w:rFonts w:ascii="Times New Roman" w:hAnsi="Times New Roman" w:cs="Times New Roman"/>
          <w:b/>
          <w:sz w:val="24"/>
          <w:szCs w:val="24"/>
        </w:rPr>
        <w:t xml:space="preserve">Failure of the injured employee, any dependent or personal representative to report the accident or injury to the employer </w:t>
      </w:r>
      <w:r w:rsidRPr="00D779AA">
        <w:rPr>
          <w:rFonts w:ascii="Times New Roman" w:hAnsi="Times New Roman" w:cs="Times New Roman"/>
          <w:b/>
          <w:sz w:val="24"/>
          <w:szCs w:val="24"/>
          <w:u w:val="single"/>
        </w:rPr>
        <w:t>and</w:t>
      </w:r>
      <w:r w:rsidRPr="004C34C9">
        <w:rPr>
          <w:rFonts w:ascii="Times New Roman" w:hAnsi="Times New Roman" w:cs="Times New Roman"/>
          <w:b/>
          <w:sz w:val="24"/>
          <w:szCs w:val="24"/>
        </w:rPr>
        <w:t xml:space="preserve"> to file the injury report</w:t>
      </w:r>
      <w:r w:rsidRPr="004C34C9">
        <w:rPr>
          <w:rFonts w:ascii="Times New Roman" w:hAnsi="Times New Roman" w:cs="Times New Roman"/>
          <w:sz w:val="24"/>
          <w:szCs w:val="24"/>
        </w:rPr>
        <w:t xml:space="preserve"> in accordance with subsection (a) of this section </w:t>
      </w:r>
      <w:bookmarkStart w:id="596" w:name="_Hlk521265253"/>
      <w:r w:rsidRPr="004C34C9">
        <w:rPr>
          <w:rFonts w:ascii="Times New Roman" w:hAnsi="Times New Roman" w:cs="Times New Roman"/>
          <w:sz w:val="24"/>
          <w:szCs w:val="24"/>
        </w:rPr>
        <w:t xml:space="preserve">is a </w:t>
      </w:r>
      <w:r w:rsidRPr="00891D73">
        <w:rPr>
          <w:rFonts w:ascii="Times New Roman" w:hAnsi="Times New Roman" w:cs="Times New Roman"/>
          <w:i/>
          <w:iCs/>
          <w:sz w:val="24"/>
          <w:szCs w:val="24"/>
        </w:rPr>
        <w:t>presumption</w:t>
      </w:r>
      <w:r w:rsidRPr="004C34C9">
        <w:rPr>
          <w:rFonts w:ascii="Times New Roman" w:hAnsi="Times New Roman" w:cs="Times New Roman"/>
          <w:sz w:val="24"/>
          <w:szCs w:val="24"/>
        </w:rPr>
        <w:t xml:space="preserve"> that the claim shall be denied. The </w:t>
      </w:r>
      <w:r w:rsidRPr="004C34C9">
        <w:rPr>
          <w:rFonts w:ascii="Times New Roman" w:hAnsi="Times New Roman" w:cs="Times New Roman"/>
          <w:b/>
          <w:sz w:val="24"/>
          <w:szCs w:val="24"/>
        </w:rPr>
        <w:t>presumption may be rebutted if the employee establishes by clear and convincing evidence a lack of prejudice to the employer or division in investigating the injury and in monitoring medical treatment</w:t>
      </w:r>
      <w:r w:rsidRPr="004C34C9">
        <w:rPr>
          <w:rFonts w:ascii="Times New Roman" w:hAnsi="Times New Roman" w:cs="Times New Roman"/>
          <w:sz w:val="24"/>
          <w:szCs w:val="24"/>
        </w:rPr>
        <w:t>.</w:t>
      </w:r>
    </w:p>
    <w:bookmarkEnd w:id="596"/>
    <w:p w14:paraId="59DA014C" w14:textId="1B70AB3C" w:rsidR="00FF7482" w:rsidRDefault="00FF7482" w:rsidP="004C34C9">
      <w:pPr>
        <w:pStyle w:val="ListParagraph"/>
        <w:ind w:right="720"/>
        <w:jc w:val="both"/>
        <w:rPr>
          <w:rFonts w:ascii="Times New Roman" w:hAnsi="Times New Roman" w:cs="Times New Roman"/>
          <w:sz w:val="24"/>
          <w:szCs w:val="24"/>
        </w:rPr>
      </w:pPr>
    </w:p>
    <w:p w14:paraId="4C65E27B" w14:textId="652F7047" w:rsidR="00FF7482" w:rsidRDefault="00FF7482" w:rsidP="005F36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Obviously, by operation of subsection (c), if an injured employee </w:t>
      </w:r>
      <w:r w:rsidRPr="00723906">
        <w:rPr>
          <w:rFonts w:ascii="Times New Roman" w:hAnsi="Times New Roman" w:cs="Times New Roman"/>
          <w:b/>
          <w:sz w:val="24"/>
          <w:szCs w:val="24"/>
        </w:rPr>
        <w:t>both</w:t>
      </w:r>
      <w:r>
        <w:rPr>
          <w:rFonts w:ascii="Times New Roman" w:hAnsi="Times New Roman" w:cs="Times New Roman"/>
          <w:sz w:val="24"/>
          <w:szCs w:val="24"/>
        </w:rPr>
        <w:t xml:space="preserve"> fails to report an accident or injury </w:t>
      </w:r>
      <w:r w:rsidRPr="00723906">
        <w:rPr>
          <w:rFonts w:ascii="Times New Roman" w:hAnsi="Times New Roman" w:cs="Times New Roman"/>
          <w:b/>
          <w:i/>
          <w:sz w:val="24"/>
          <w:szCs w:val="24"/>
        </w:rPr>
        <w:t>and</w:t>
      </w:r>
      <w:r>
        <w:rPr>
          <w:rFonts w:ascii="Times New Roman" w:hAnsi="Times New Roman" w:cs="Times New Roman"/>
          <w:sz w:val="24"/>
          <w:szCs w:val="24"/>
        </w:rPr>
        <w:t xml:space="preserve"> fails to file an injury report in connection with the accident or injury the “clear and convincing” presumption arises. But what result if an injured employee reports an accident or injury to the employer but fails to file an injury report with the employer and the </w:t>
      </w:r>
      <w:r w:rsidR="00301EA9">
        <w:rPr>
          <w:rFonts w:ascii="Times New Roman" w:hAnsi="Times New Roman" w:cs="Times New Roman"/>
          <w:sz w:val="24"/>
          <w:szCs w:val="24"/>
        </w:rPr>
        <w:t>D</w:t>
      </w:r>
      <w:r>
        <w:rPr>
          <w:rFonts w:ascii="Times New Roman" w:hAnsi="Times New Roman" w:cs="Times New Roman"/>
          <w:sz w:val="24"/>
          <w:szCs w:val="24"/>
        </w:rPr>
        <w:t xml:space="preserve">ivision? </w:t>
      </w:r>
    </w:p>
    <w:p w14:paraId="1F160F85" w14:textId="77777777" w:rsidR="00FF7482" w:rsidRDefault="00FF7482" w:rsidP="00D779AA">
      <w:pPr>
        <w:pStyle w:val="ListParagraph"/>
        <w:ind w:left="0" w:firstLine="720"/>
        <w:jc w:val="both"/>
        <w:rPr>
          <w:rFonts w:ascii="Times New Roman" w:hAnsi="Times New Roman" w:cs="Times New Roman"/>
          <w:sz w:val="24"/>
          <w:szCs w:val="24"/>
        </w:rPr>
      </w:pPr>
    </w:p>
    <w:p w14:paraId="3B7646D1" w14:textId="7C243F61" w:rsidR="00FF7482" w:rsidRDefault="00FF7482" w:rsidP="0006368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w:t>
      </w:r>
      <w:r w:rsidRPr="00723906">
        <w:rPr>
          <w:rFonts w:ascii="Times New Roman" w:hAnsi="Times New Roman" w:cs="Times New Roman"/>
          <w:i/>
          <w:sz w:val="24"/>
          <w:szCs w:val="24"/>
        </w:rPr>
        <w:t>Wesaw v. Quality Maintenance</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22"/>
      </w:r>
      <w:r>
        <w:rPr>
          <w:rFonts w:ascii="Times New Roman" w:hAnsi="Times New Roman" w:cs="Times New Roman"/>
          <w:sz w:val="24"/>
          <w:szCs w:val="24"/>
        </w:rPr>
        <w:t xml:space="preserve"> </w:t>
      </w:r>
      <w:r w:rsidRPr="00723906">
        <w:rPr>
          <w:rFonts w:ascii="Times New Roman" w:hAnsi="Times New Roman" w:cs="Times New Roman"/>
          <w:sz w:val="24"/>
          <w:szCs w:val="24"/>
        </w:rPr>
        <w:t xml:space="preserve">Wesaw was exposed to sulfuric acid </w:t>
      </w:r>
      <w:r>
        <w:rPr>
          <w:rFonts w:ascii="Times New Roman" w:hAnsi="Times New Roman" w:cs="Times New Roman"/>
          <w:sz w:val="24"/>
          <w:szCs w:val="24"/>
        </w:rPr>
        <w:t xml:space="preserve">and reported the exposure to his supervisor immediately, </w:t>
      </w:r>
      <w:r w:rsidRPr="00723906">
        <w:rPr>
          <w:rFonts w:ascii="Times New Roman" w:hAnsi="Times New Roman" w:cs="Times New Roman"/>
          <w:sz w:val="24"/>
          <w:szCs w:val="24"/>
        </w:rPr>
        <w:t>on October 15, 1998</w:t>
      </w:r>
      <w:r>
        <w:rPr>
          <w:rFonts w:ascii="Times New Roman" w:hAnsi="Times New Roman" w:cs="Times New Roman"/>
          <w:sz w:val="24"/>
          <w:szCs w:val="24"/>
        </w:rPr>
        <w:t>, a Thursday</w:t>
      </w:r>
      <w:r w:rsidRPr="00723906">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23"/>
      </w:r>
      <w:r w:rsidRPr="00723906">
        <w:rPr>
          <w:rFonts w:ascii="Times New Roman" w:hAnsi="Times New Roman" w:cs="Times New Roman"/>
          <w:sz w:val="24"/>
          <w:szCs w:val="24"/>
        </w:rPr>
        <w:t xml:space="preserve"> His throat felt sore later that night, but he went to work the next day</w:t>
      </w:r>
      <w:r>
        <w:rPr>
          <w:rFonts w:ascii="Times New Roman" w:hAnsi="Times New Roman" w:cs="Times New Roman"/>
          <w:sz w:val="24"/>
          <w:szCs w:val="24"/>
        </w:rPr>
        <w:t>, Friday</w:t>
      </w:r>
      <w:r w:rsidRPr="00723906">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24"/>
      </w:r>
      <w:r w:rsidRPr="00723906">
        <w:rPr>
          <w:rFonts w:ascii="Times New Roman" w:hAnsi="Times New Roman" w:cs="Times New Roman"/>
          <w:sz w:val="24"/>
          <w:szCs w:val="24"/>
        </w:rPr>
        <w:t xml:space="preserve"> </w:t>
      </w:r>
      <w:r>
        <w:rPr>
          <w:rFonts w:ascii="Times New Roman" w:hAnsi="Times New Roman" w:cs="Times New Roman"/>
          <w:sz w:val="24"/>
          <w:szCs w:val="24"/>
        </w:rPr>
        <w:t>He</w:t>
      </w:r>
      <w:r w:rsidRPr="00723906">
        <w:rPr>
          <w:rFonts w:ascii="Times New Roman" w:hAnsi="Times New Roman" w:cs="Times New Roman"/>
          <w:sz w:val="24"/>
          <w:szCs w:val="24"/>
        </w:rPr>
        <w:t xml:space="preserve"> was convinced that his illness was due to </w:t>
      </w:r>
      <w:r>
        <w:rPr>
          <w:rFonts w:ascii="Times New Roman" w:hAnsi="Times New Roman" w:cs="Times New Roman"/>
          <w:sz w:val="24"/>
          <w:szCs w:val="24"/>
        </w:rPr>
        <w:t>an underlying</w:t>
      </w:r>
      <w:r w:rsidRPr="00723906">
        <w:rPr>
          <w:rFonts w:ascii="Times New Roman" w:hAnsi="Times New Roman" w:cs="Times New Roman"/>
          <w:sz w:val="24"/>
          <w:szCs w:val="24"/>
        </w:rPr>
        <w:t xml:space="preserve"> asthma condition, </w:t>
      </w:r>
      <w:r>
        <w:rPr>
          <w:rFonts w:ascii="Times New Roman" w:hAnsi="Times New Roman" w:cs="Times New Roman"/>
          <w:sz w:val="24"/>
          <w:szCs w:val="24"/>
        </w:rPr>
        <w:t>so</w:t>
      </w:r>
      <w:r w:rsidRPr="00723906">
        <w:rPr>
          <w:rFonts w:ascii="Times New Roman" w:hAnsi="Times New Roman" w:cs="Times New Roman"/>
          <w:sz w:val="24"/>
          <w:szCs w:val="24"/>
        </w:rPr>
        <w:t xml:space="preserve"> he took </w:t>
      </w:r>
      <w:r>
        <w:rPr>
          <w:rFonts w:ascii="Times New Roman" w:hAnsi="Times New Roman" w:cs="Times New Roman"/>
          <w:sz w:val="24"/>
          <w:szCs w:val="24"/>
        </w:rPr>
        <w:t>asthma</w:t>
      </w:r>
      <w:r w:rsidRPr="00723906">
        <w:rPr>
          <w:rFonts w:ascii="Times New Roman" w:hAnsi="Times New Roman" w:cs="Times New Roman"/>
          <w:sz w:val="24"/>
          <w:szCs w:val="24"/>
        </w:rPr>
        <w:t xml:space="preserve"> medications </w:t>
      </w:r>
      <w:r>
        <w:rPr>
          <w:rFonts w:ascii="Times New Roman" w:hAnsi="Times New Roman" w:cs="Times New Roman"/>
          <w:sz w:val="24"/>
          <w:szCs w:val="24"/>
        </w:rPr>
        <w:t>during the ensuing</w:t>
      </w:r>
      <w:r w:rsidRPr="00723906">
        <w:rPr>
          <w:rFonts w:ascii="Times New Roman" w:hAnsi="Times New Roman" w:cs="Times New Roman"/>
          <w:sz w:val="24"/>
          <w:szCs w:val="24"/>
        </w:rPr>
        <w:t xml:space="preserve"> weekend.</w:t>
      </w:r>
      <w:r w:rsidRPr="00336412">
        <w:rPr>
          <w:rFonts w:ascii="Times New Roman" w:hAnsi="Times New Roman" w:cs="Times New Roman"/>
          <w:sz w:val="24"/>
          <w:szCs w:val="24"/>
          <w:vertAlign w:val="superscript"/>
        </w:rPr>
        <w:footnoteReference w:id="425"/>
      </w:r>
      <w:r w:rsidRPr="00723906">
        <w:rPr>
          <w:rFonts w:ascii="Times New Roman" w:hAnsi="Times New Roman" w:cs="Times New Roman"/>
          <w:sz w:val="24"/>
          <w:szCs w:val="24"/>
        </w:rPr>
        <w:t xml:space="preserve"> Although he felt ill, he returned to work on</w:t>
      </w:r>
      <w:r>
        <w:rPr>
          <w:rFonts w:ascii="Times New Roman" w:hAnsi="Times New Roman" w:cs="Times New Roman"/>
          <w:sz w:val="24"/>
          <w:szCs w:val="24"/>
        </w:rPr>
        <w:t xml:space="preserve"> the following</w:t>
      </w:r>
      <w:r w:rsidRPr="00723906">
        <w:rPr>
          <w:rFonts w:ascii="Times New Roman" w:hAnsi="Times New Roman" w:cs="Times New Roman"/>
          <w:sz w:val="24"/>
          <w:szCs w:val="24"/>
        </w:rPr>
        <w:t xml:space="preserve"> Monday and Tuesday</w:t>
      </w:r>
      <w:r>
        <w:rPr>
          <w:rFonts w:ascii="Times New Roman" w:hAnsi="Times New Roman" w:cs="Times New Roman"/>
          <w:sz w:val="24"/>
          <w:szCs w:val="24"/>
        </w:rPr>
        <w:t>, but</w:t>
      </w:r>
      <w:r w:rsidRPr="00723906">
        <w:rPr>
          <w:rFonts w:ascii="Times New Roman" w:hAnsi="Times New Roman" w:cs="Times New Roman"/>
          <w:sz w:val="24"/>
          <w:szCs w:val="24"/>
        </w:rPr>
        <w:t xml:space="preserve"> became </w:t>
      </w:r>
      <w:r>
        <w:rPr>
          <w:rFonts w:ascii="Times New Roman" w:hAnsi="Times New Roman" w:cs="Times New Roman"/>
          <w:sz w:val="24"/>
          <w:szCs w:val="24"/>
        </w:rPr>
        <w:t>so</w:t>
      </w:r>
      <w:r w:rsidRPr="00723906">
        <w:rPr>
          <w:rFonts w:ascii="Times New Roman" w:hAnsi="Times New Roman" w:cs="Times New Roman"/>
          <w:sz w:val="24"/>
          <w:szCs w:val="24"/>
        </w:rPr>
        <w:t xml:space="preserve"> ill </w:t>
      </w:r>
      <w:r>
        <w:rPr>
          <w:rFonts w:ascii="Times New Roman" w:hAnsi="Times New Roman" w:cs="Times New Roman"/>
          <w:sz w:val="24"/>
          <w:szCs w:val="24"/>
        </w:rPr>
        <w:t xml:space="preserve">at </w:t>
      </w:r>
      <w:r w:rsidRPr="00723906">
        <w:rPr>
          <w:rFonts w:ascii="Times New Roman" w:hAnsi="Times New Roman" w:cs="Times New Roman"/>
          <w:sz w:val="24"/>
          <w:szCs w:val="24"/>
        </w:rPr>
        <w:t>work on Tuesday</w:t>
      </w:r>
      <w:r>
        <w:rPr>
          <w:rFonts w:ascii="Times New Roman" w:hAnsi="Times New Roman" w:cs="Times New Roman"/>
          <w:sz w:val="24"/>
          <w:szCs w:val="24"/>
        </w:rPr>
        <w:t xml:space="preserve"> that he </w:t>
      </w:r>
      <w:r w:rsidRPr="00723906">
        <w:rPr>
          <w:rFonts w:ascii="Times New Roman" w:hAnsi="Times New Roman" w:cs="Times New Roman"/>
          <w:sz w:val="24"/>
          <w:szCs w:val="24"/>
        </w:rPr>
        <w:t>sought medical treatment</w:t>
      </w:r>
      <w:r>
        <w:rPr>
          <w:rFonts w:ascii="Times New Roman" w:hAnsi="Times New Roman" w:cs="Times New Roman"/>
          <w:sz w:val="24"/>
          <w:szCs w:val="24"/>
        </w:rPr>
        <w:t xml:space="preserve"> after his employer drove him home</w:t>
      </w:r>
      <w:r w:rsidRPr="00723906">
        <w:rPr>
          <w:rFonts w:ascii="Times New Roman" w:hAnsi="Times New Roman" w:cs="Times New Roman"/>
          <w:sz w:val="24"/>
          <w:szCs w:val="24"/>
        </w:rPr>
        <w:t>. The next day, he was diagnosed with “dysphagia, which is pain with swallowing, and inhalation injury.”</w:t>
      </w:r>
    </w:p>
    <w:p w14:paraId="64BC004A" w14:textId="1B640481" w:rsidR="00FF7482" w:rsidRDefault="00FF7482" w:rsidP="00D779AA">
      <w:pPr>
        <w:pStyle w:val="ListParagraph"/>
        <w:ind w:left="0" w:firstLine="720"/>
        <w:jc w:val="both"/>
        <w:rPr>
          <w:rFonts w:ascii="Times New Roman" w:hAnsi="Times New Roman" w:cs="Times New Roman"/>
          <w:sz w:val="24"/>
          <w:szCs w:val="24"/>
        </w:rPr>
      </w:pPr>
    </w:p>
    <w:p w14:paraId="0CDC79F1" w14:textId="16431936" w:rsidR="00FF7482" w:rsidRDefault="00FF7482" w:rsidP="003B0882">
      <w:pPr>
        <w:pStyle w:val="ListParagraph"/>
        <w:ind w:left="0"/>
        <w:jc w:val="both"/>
        <w:rPr>
          <w:rFonts w:ascii="Times New Roman" w:hAnsi="Times New Roman" w:cs="Times New Roman"/>
          <w:sz w:val="24"/>
          <w:szCs w:val="24"/>
        </w:rPr>
      </w:pPr>
      <w:r>
        <w:rPr>
          <w:rFonts w:ascii="Times New Roman" w:hAnsi="Times New Roman" w:cs="Times New Roman"/>
          <w:sz w:val="24"/>
          <w:szCs w:val="24"/>
        </w:rPr>
        <w:t>Wesaw</w:t>
      </w:r>
      <w:r w:rsidRPr="00ED2867">
        <w:rPr>
          <w:rFonts w:ascii="Times New Roman" w:hAnsi="Times New Roman" w:cs="Times New Roman"/>
          <w:sz w:val="24"/>
          <w:szCs w:val="24"/>
        </w:rPr>
        <w:t xml:space="preserve"> filed an injury report </w:t>
      </w:r>
      <w:r>
        <w:rPr>
          <w:rFonts w:ascii="Times New Roman" w:hAnsi="Times New Roman" w:cs="Times New Roman"/>
          <w:sz w:val="24"/>
          <w:szCs w:val="24"/>
        </w:rPr>
        <w:t xml:space="preserve">with the Division </w:t>
      </w:r>
      <w:r w:rsidRPr="00ED2867">
        <w:rPr>
          <w:rFonts w:ascii="Times New Roman" w:hAnsi="Times New Roman" w:cs="Times New Roman"/>
          <w:sz w:val="24"/>
          <w:szCs w:val="24"/>
        </w:rPr>
        <w:t>on November 3, by telephone. On November 5, the Division request</w:t>
      </w:r>
      <w:r>
        <w:rPr>
          <w:rFonts w:ascii="Times New Roman" w:hAnsi="Times New Roman" w:cs="Times New Roman"/>
          <w:sz w:val="24"/>
          <w:szCs w:val="24"/>
        </w:rPr>
        <w:t>ed by letter additional information</w:t>
      </w:r>
      <w:r w:rsidRPr="00ED2867">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D2867">
        <w:rPr>
          <w:rFonts w:ascii="Times New Roman" w:hAnsi="Times New Roman" w:cs="Times New Roman"/>
          <w:sz w:val="24"/>
          <w:szCs w:val="24"/>
        </w:rPr>
        <w:t xml:space="preserve">explanation by December 3, </w:t>
      </w:r>
      <w:r>
        <w:rPr>
          <w:rFonts w:ascii="Times New Roman" w:hAnsi="Times New Roman" w:cs="Times New Roman"/>
          <w:sz w:val="24"/>
          <w:szCs w:val="24"/>
        </w:rPr>
        <w:t>and eventually denied the claim for other reasons.</w:t>
      </w:r>
      <w:r w:rsidRPr="00336412">
        <w:rPr>
          <w:rFonts w:ascii="Times New Roman" w:hAnsi="Times New Roman" w:cs="Times New Roman"/>
          <w:sz w:val="24"/>
          <w:szCs w:val="24"/>
          <w:vertAlign w:val="superscript"/>
        </w:rPr>
        <w:footnoteReference w:id="426"/>
      </w:r>
      <w:r>
        <w:rPr>
          <w:rFonts w:ascii="Times New Roman" w:hAnsi="Times New Roman" w:cs="Times New Roman"/>
          <w:sz w:val="24"/>
          <w:szCs w:val="24"/>
        </w:rPr>
        <w:t xml:space="preserve"> The employer, but not the Division, raised at hearing the issue of whether the </w:t>
      </w:r>
      <w:r>
        <w:rPr>
          <w:rFonts w:ascii="Times New Roman" w:hAnsi="Times New Roman" w:cs="Times New Roman"/>
          <w:sz w:val="24"/>
          <w:szCs w:val="24"/>
        </w:rPr>
        <w:lastRenderedPageBreak/>
        <w:t>employee had provided adequate notice.</w:t>
      </w:r>
      <w:r w:rsidRPr="00336412">
        <w:rPr>
          <w:rFonts w:ascii="Times New Roman" w:hAnsi="Times New Roman" w:cs="Times New Roman"/>
          <w:sz w:val="24"/>
          <w:szCs w:val="24"/>
          <w:vertAlign w:val="superscript"/>
        </w:rPr>
        <w:footnoteReference w:id="427"/>
      </w:r>
      <w:r>
        <w:rPr>
          <w:rFonts w:ascii="Times New Roman" w:hAnsi="Times New Roman" w:cs="Times New Roman"/>
          <w:sz w:val="24"/>
          <w:szCs w:val="24"/>
        </w:rPr>
        <w:t xml:space="preserve"> The hearing officer assigned to the case eventually ruled that, </w:t>
      </w:r>
    </w:p>
    <w:p w14:paraId="5FDE109C" w14:textId="77777777" w:rsidR="00FF7482" w:rsidRDefault="00FF7482" w:rsidP="0054718C">
      <w:pPr>
        <w:pStyle w:val="ListParagraph"/>
        <w:ind w:left="0" w:firstLine="720"/>
        <w:jc w:val="both"/>
        <w:rPr>
          <w:rFonts w:ascii="Times New Roman" w:hAnsi="Times New Roman" w:cs="Times New Roman"/>
          <w:sz w:val="24"/>
          <w:szCs w:val="24"/>
        </w:rPr>
      </w:pPr>
    </w:p>
    <w:p w14:paraId="670D98BC" w14:textId="161B8644" w:rsidR="00FF7482" w:rsidRDefault="00FF7482" w:rsidP="00722E68">
      <w:pPr>
        <w:pStyle w:val="ListParagraph"/>
        <w:ind w:right="720"/>
        <w:jc w:val="both"/>
        <w:rPr>
          <w:rFonts w:ascii="Times New Roman" w:hAnsi="Times New Roman" w:cs="Times New Roman"/>
          <w:sz w:val="24"/>
          <w:szCs w:val="24"/>
        </w:rPr>
      </w:pPr>
      <w:r w:rsidRPr="0054718C">
        <w:rPr>
          <w:rFonts w:ascii="Times New Roman" w:hAnsi="Times New Roman" w:cs="Times New Roman"/>
          <w:sz w:val="24"/>
          <w:szCs w:val="24"/>
        </w:rPr>
        <w:t>Wesaw was aware that he had been injured on October 15, 1998, and was statutorily required to file an injury report within ten days of that date. The order found that his failure to timely file the report raised a rebuttable presumption that his claim should be denied, and he did not meet his burden of rebutting the presumption by clear and convincing evidence that no prejudice resulted when the accident could not be investigated and medical treatment monitored. Benefits were denied, and this appeal followed</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28"/>
      </w:r>
    </w:p>
    <w:p w14:paraId="6444C2E6" w14:textId="3CF5DFC6" w:rsidR="00FF7482" w:rsidRDefault="00FF7482" w:rsidP="0054718C">
      <w:pPr>
        <w:pStyle w:val="ListParagraph"/>
        <w:ind w:right="720"/>
        <w:jc w:val="both"/>
        <w:rPr>
          <w:rFonts w:ascii="Times New Roman" w:hAnsi="Times New Roman" w:cs="Times New Roman"/>
          <w:sz w:val="24"/>
          <w:szCs w:val="24"/>
        </w:rPr>
      </w:pPr>
    </w:p>
    <w:p w14:paraId="3F969030" w14:textId="19B9F449" w:rsidR="00FF7482" w:rsidRDefault="00FF7482" w:rsidP="003D7AEA">
      <w:pPr>
        <w:pStyle w:val="ListParagraph"/>
        <w:ind w:left="0" w:right="720"/>
        <w:jc w:val="both"/>
        <w:rPr>
          <w:rFonts w:ascii="Times New Roman" w:hAnsi="Times New Roman" w:cs="Times New Roman"/>
          <w:sz w:val="24"/>
          <w:szCs w:val="24"/>
        </w:rPr>
      </w:pPr>
      <w:r>
        <w:rPr>
          <w:rFonts w:ascii="Times New Roman" w:hAnsi="Times New Roman" w:cs="Times New Roman"/>
          <w:sz w:val="24"/>
          <w:szCs w:val="24"/>
        </w:rPr>
        <w:t>The Wyoming Supreme Court reversed the hearing office on the notice issue:</w:t>
      </w:r>
    </w:p>
    <w:p w14:paraId="0DDD4A06" w14:textId="7D6D6FD0" w:rsidR="00FF7482" w:rsidRDefault="00FF7482" w:rsidP="003D7AEA">
      <w:pPr>
        <w:pStyle w:val="ListParagraph"/>
        <w:ind w:left="0" w:right="720"/>
        <w:jc w:val="both"/>
        <w:rPr>
          <w:rFonts w:ascii="Times New Roman" w:hAnsi="Times New Roman" w:cs="Times New Roman"/>
          <w:sz w:val="24"/>
          <w:szCs w:val="24"/>
        </w:rPr>
      </w:pPr>
    </w:p>
    <w:p w14:paraId="6A678222" w14:textId="34B89755" w:rsidR="00FF7482" w:rsidRDefault="00FF7482" w:rsidP="00722E68">
      <w:pPr>
        <w:pStyle w:val="ListParagraph"/>
        <w:ind w:right="720"/>
        <w:jc w:val="both"/>
        <w:rPr>
          <w:rFonts w:ascii="Times New Roman" w:hAnsi="Times New Roman" w:cs="Times New Roman"/>
          <w:sz w:val="24"/>
          <w:szCs w:val="24"/>
        </w:rPr>
      </w:pPr>
      <w:r w:rsidRPr="003D7AEA">
        <w:rPr>
          <w:rFonts w:ascii="Times New Roman" w:hAnsi="Times New Roman" w:cs="Times New Roman"/>
          <w:sz w:val="24"/>
          <w:szCs w:val="24"/>
        </w:rPr>
        <w:t>The statute at issue here is subject to only one interpretation and is not ambiguous. Furthermore, the statutory language “after the general nature of the injury became apparent” remains unchanged, and these amendments do not replace our previous decisions applying the statute's requirements from the date a compensable injury is discovered. We do find, however, that the plain language of subsection (c) indicates that the statutory presumption does not arise unless an employee failed to report within 72 hours and failed to file an injury report within ten days. Here, the employer raised only the issue whether Wesaw reported within ten days. Unmistakably, this contention is insufficient to raise the statutory presumption of claim denial.</w:t>
      </w:r>
      <w:r w:rsidRPr="00336412">
        <w:rPr>
          <w:rFonts w:ascii="Times New Roman" w:hAnsi="Times New Roman" w:cs="Times New Roman"/>
          <w:sz w:val="24"/>
          <w:szCs w:val="24"/>
          <w:vertAlign w:val="superscript"/>
        </w:rPr>
        <w:footnoteReference w:id="429"/>
      </w:r>
    </w:p>
    <w:p w14:paraId="7B48B8D2" w14:textId="2FE7501E" w:rsidR="00FF7482" w:rsidRDefault="00FF7482" w:rsidP="003D7AEA">
      <w:pPr>
        <w:pStyle w:val="ListParagraph"/>
        <w:ind w:right="720"/>
        <w:jc w:val="both"/>
        <w:rPr>
          <w:rFonts w:ascii="Times New Roman" w:hAnsi="Times New Roman" w:cs="Times New Roman"/>
          <w:sz w:val="24"/>
          <w:szCs w:val="24"/>
        </w:rPr>
      </w:pPr>
    </w:p>
    <w:p w14:paraId="57F9643E" w14:textId="7D2F974E" w:rsidR="00FF7482" w:rsidRDefault="00FF7482" w:rsidP="009C0CA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notice rule as it applies to presumption of denial and the “clear and convincing evidence” standard surfaced again in </w:t>
      </w:r>
      <w:r w:rsidRPr="001161F2">
        <w:rPr>
          <w:rFonts w:ascii="Times New Roman" w:hAnsi="Times New Roman" w:cs="Times New Roman"/>
          <w:i/>
          <w:sz w:val="24"/>
          <w:szCs w:val="24"/>
        </w:rPr>
        <w:t>In re Jensen</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30"/>
      </w:r>
      <w:r>
        <w:rPr>
          <w:rFonts w:ascii="Times New Roman" w:hAnsi="Times New Roman" w:cs="Times New Roman"/>
          <w:sz w:val="24"/>
          <w:szCs w:val="24"/>
        </w:rPr>
        <w:t xml:space="preserve"> In that case, </w:t>
      </w:r>
      <w:r w:rsidRPr="001161F2">
        <w:rPr>
          <w:rFonts w:ascii="Times New Roman" w:hAnsi="Times New Roman" w:cs="Times New Roman"/>
          <w:sz w:val="24"/>
          <w:szCs w:val="24"/>
        </w:rPr>
        <w:t>Jensen allege</w:t>
      </w:r>
      <w:r>
        <w:rPr>
          <w:rFonts w:ascii="Times New Roman" w:hAnsi="Times New Roman" w:cs="Times New Roman"/>
          <w:sz w:val="24"/>
          <w:szCs w:val="24"/>
        </w:rPr>
        <w:t xml:space="preserve">d that he suffered </w:t>
      </w:r>
      <w:r w:rsidRPr="001161F2">
        <w:rPr>
          <w:rFonts w:ascii="Times New Roman" w:hAnsi="Times New Roman" w:cs="Times New Roman"/>
          <w:sz w:val="24"/>
          <w:szCs w:val="24"/>
        </w:rPr>
        <w:t>a work-related lower back injury</w:t>
      </w:r>
      <w:r>
        <w:rPr>
          <w:rFonts w:ascii="Times New Roman" w:hAnsi="Times New Roman" w:cs="Times New Roman"/>
          <w:sz w:val="24"/>
          <w:szCs w:val="24"/>
        </w:rPr>
        <w:t xml:space="preserve"> on February 26, 1998, a Thursday.</w:t>
      </w:r>
      <w:r w:rsidRPr="00336412">
        <w:rPr>
          <w:rFonts w:ascii="Times New Roman" w:hAnsi="Times New Roman" w:cs="Times New Roman"/>
          <w:sz w:val="24"/>
          <w:szCs w:val="24"/>
          <w:vertAlign w:val="superscript"/>
        </w:rPr>
        <w:footnoteReference w:id="431"/>
      </w:r>
      <w:r w:rsidRPr="001161F2">
        <w:rPr>
          <w:rFonts w:ascii="Times New Roman" w:hAnsi="Times New Roman" w:cs="Times New Roman"/>
          <w:sz w:val="24"/>
          <w:szCs w:val="24"/>
        </w:rPr>
        <w:t xml:space="preserve"> </w:t>
      </w:r>
      <w:r>
        <w:rPr>
          <w:rFonts w:ascii="Times New Roman" w:hAnsi="Times New Roman" w:cs="Times New Roman"/>
          <w:sz w:val="24"/>
          <w:szCs w:val="24"/>
        </w:rPr>
        <w:t>He further alleged that</w:t>
      </w:r>
      <w:r w:rsidRPr="001161F2">
        <w:rPr>
          <w:rFonts w:ascii="Times New Roman" w:hAnsi="Times New Roman" w:cs="Times New Roman"/>
          <w:sz w:val="24"/>
          <w:szCs w:val="24"/>
        </w:rPr>
        <w:t xml:space="preserve"> he </w:t>
      </w:r>
      <w:r>
        <w:rPr>
          <w:rFonts w:ascii="Times New Roman" w:hAnsi="Times New Roman" w:cs="Times New Roman"/>
          <w:sz w:val="24"/>
          <w:szCs w:val="24"/>
        </w:rPr>
        <w:t>reported the injury to his supervisor that day, or the following day.</w:t>
      </w:r>
      <w:r w:rsidRPr="00336412">
        <w:rPr>
          <w:rFonts w:ascii="Times New Roman" w:hAnsi="Times New Roman" w:cs="Times New Roman"/>
          <w:sz w:val="24"/>
          <w:szCs w:val="24"/>
          <w:vertAlign w:val="superscript"/>
        </w:rPr>
        <w:footnoteReference w:id="432"/>
      </w:r>
      <w:r>
        <w:rPr>
          <w:rFonts w:ascii="Times New Roman" w:hAnsi="Times New Roman" w:cs="Times New Roman"/>
          <w:sz w:val="24"/>
          <w:szCs w:val="24"/>
        </w:rPr>
        <w:t xml:space="preserve"> </w:t>
      </w:r>
      <w:r w:rsidRPr="001161F2">
        <w:rPr>
          <w:rFonts w:ascii="Times New Roman" w:hAnsi="Times New Roman" w:cs="Times New Roman"/>
          <w:sz w:val="24"/>
          <w:szCs w:val="24"/>
        </w:rPr>
        <w:t xml:space="preserve">He did not work </w:t>
      </w:r>
      <w:r>
        <w:rPr>
          <w:rFonts w:ascii="Times New Roman" w:hAnsi="Times New Roman" w:cs="Times New Roman"/>
          <w:sz w:val="24"/>
          <w:szCs w:val="24"/>
        </w:rPr>
        <w:t xml:space="preserve">for </w:t>
      </w:r>
      <w:r w:rsidRPr="001161F2">
        <w:rPr>
          <w:rFonts w:ascii="Times New Roman" w:hAnsi="Times New Roman" w:cs="Times New Roman"/>
          <w:sz w:val="24"/>
          <w:szCs w:val="24"/>
        </w:rPr>
        <w:t>the next four days due to soreness in his back.</w:t>
      </w:r>
      <w:r w:rsidRPr="00336412">
        <w:rPr>
          <w:rFonts w:ascii="Times New Roman" w:hAnsi="Times New Roman" w:cs="Times New Roman"/>
          <w:sz w:val="24"/>
          <w:szCs w:val="24"/>
          <w:vertAlign w:val="superscript"/>
        </w:rPr>
        <w:footnoteReference w:id="433"/>
      </w:r>
      <w:r w:rsidRPr="001161F2">
        <w:rPr>
          <w:rFonts w:ascii="Times New Roman" w:hAnsi="Times New Roman" w:cs="Times New Roman"/>
          <w:sz w:val="24"/>
          <w:szCs w:val="24"/>
        </w:rPr>
        <w:t xml:space="preserve"> At that point, he believed</w:t>
      </w:r>
      <w:r>
        <w:rPr>
          <w:rFonts w:ascii="Times New Roman" w:hAnsi="Times New Roman" w:cs="Times New Roman"/>
          <w:sz w:val="24"/>
          <w:szCs w:val="24"/>
        </w:rPr>
        <w:t xml:space="preserve"> he had experienced only muscle strain.</w:t>
      </w:r>
      <w:r w:rsidRPr="00336412">
        <w:rPr>
          <w:rFonts w:ascii="Times New Roman" w:hAnsi="Times New Roman" w:cs="Times New Roman"/>
          <w:sz w:val="24"/>
          <w:szCs w:val="24"/>
          <w:vertAlign w:val="superscript"/>
        </w:rPr>
        <w:footnoteReference w:id="434"/>
      </w:r>
      <w:r>
        <w:rPr>
          <w:rFonts w:ascii="Times New Roman" w:hAnsi="Times New Roman" w:cs="Times New Roman"/>
          <w:sz w:val="24"/>
          <w:szCs w:val="24"/>
        </w:rPr>
        <w:t xml:space="preserve"> </w:t>
      </w:r>
      <w:r w:rsidRPr="001161F2">
        <w:rPr>
          <w:rFonts w:ascii="Times New Roman" w:hAnsi="Times New Roman" w:cs="Times New Roman"/>
          <w:sz w:val="24"/>
          <w:szCs w:val="24"/>
        </w:rPr>
        <w:t xml:space="preserve">He returned to work that Friday for a half day and then saw a doctor the following </w:t>
      </w:r>
      <w:r w:rsidRPr="001161F2">
        <w:rPr>
          <w:rFonts w:ascii="Times New Roman" w:hAnsi="Times New Roman" w:cs="Times New Roman"/>
          <w:sz w:val="24"/>
          <w:szCs w:val="24"/>
        </w:rPr>
        <w:lastRenderedPageBreak/>
        <w:t>Monday, March 9.</w:t>
      </w:r>
      <w:r w:rsidRPr="00336412">
        <w:rPr>
          <w:rFonts w:ascii="Times New Roman" w:hAnsi="Times New Roman" w:cs="Times New Roman"/>
          <w:sz w:val="24"/>
          <w:szCs w:val="24"/>
          <w:vertAlign w:val="superscript"/>
        </w:rPr>
        <w:footnoteReference w:id="435"/>
      </w:r>
      <w:r w:rsidRPr="001161F2">
        <w:rPr>
          <w:rFonts w:ascii="Times New Roman" w:hAnsi="Times New Roman" w:cs="Times New Roman"/>
          <w:sz w:val="24"/>
          <w:szCs w:val="24"/>
        </w:rPr>
        <w:t xml:space="preserve"> The doctor prescribed muscle relaxants and pain medication</w:t>
      </w:r>
      <w:r>
        <w:rPr>
          <w:rFonts w:ascii="Times New Roman" w:hAnsi="Times New Roman" w:cs="Times New Roman"/>
          <w:sz w:val="24"/>
          <w:szCs w:val="24"/>
        </w:rPr>
        <w:t>,</w:t>
      </w:r>
      <w:r w:rsidRPr="001161F2">
        <w:rPr>
          <w:rFonts w:ascii="Times New Roman" w:hAnsi="Times New Roman" w:cs="Times New Roman"/>
          <w:sz w:val="24"/>
          <w:szCs w:val="24"/>
        </w:rPr>
        <w:t xml:space="preserve"> told him to rest</w:t>
      </w:r>
      <w:r>
        <w:rPr>
          <w:rFonts w:ascii="Times New Roman" w:hAnsi="Times New Roman" w:cs="Times New Roman"/>
          <w:sz w:val="24"/>
          <w:szCs w:val="24"/>
        </w:rPr>
        <w:t xml:space="preserve">, and </w:t>
      </w:r>
      <w:r w:rsidRPr="001161F2">
        <w:rPr>
          <w:rFonts w:ascii="Times New Roman" w:hAnsi="Times New Roman" w:cs="Times New Roman"/>
          <w:sz w:val="24"/>
          <w:szCs w:val="24"/>
        </w:rPr>
        <w:t>informed</w:t>
      </w:r>
      <w:r>
        <w:rPr>
          <w:rFonts w:ascii="Times New Roman" w:hAnsi="Times New Roman" w:cs="Times New Roman"/>
          <w:sz w:val="24"/>
          <w:szCs w:val="24"/>
        </w:rPr>
        <w:t xml:space="preserve"> him</w:t>
      </w:r>
      <w:r w:rsidRPr="001161F2">
        <w:rPr>
          <w:rFonts w:ascii="Times New Roman" w:hAnsi="Times New Roman" w:cs="Times New Roman"/>
          <w:sz w:val="24"/>
          <w:szCs w:val="24"/>
        </w:rPr>
        <w:t xml:space="preserve"> that his back would “clear nicely.”</w:t>
      </w:r>
      <w:r w:rsidRPr="00336412">
        <w:rPr>
          <w:rFonts w:ascii="Times New Roman" w:hAnsi="Times New Roman" w:cs="Times New Roman"/>
          <w:sz w:val="24"/>
          <w:szCs w:val="24"/>
          <w:vertAlign w:val="superscript"/>
        </w:rPr>
        <w:footnoteReference w:id="436"/>
      </w:r>
      <w:r>
        <w:rPr>
          <w:rFonts w:ascii="Times New Roman" w:hAnsi="Times New Roman" w:cs="Times New Roman"/>
          <w:sz w:val="24"/>
          <w:szCs w:val="24"/>
        </w:rPr>
        <w:t xml:space="preserve"> </w:t>
      </w:r>
      <w:r w:rsidRPr="001161F2">
        <w:rPr>
          <w:rFonts w:ascii="Times New Roman" w:hAnsi="Times New Roman" w:cs="Times New Roman"/>
          <w:sz w:val="24"/>
          <w:szCs w:val="24"/>
        </w:rPr>
        <w:t>Jensen returned to work on March 16,</w:t>
      </w:r>
      <w:r>
        <w:rPr>
          <w:rFonts w:ascii="Times New Roman" w:hAnsi="Times New Roman" w:cs="Times New Roman"/>
          <w:sz w:val="24"/>
          <w:szCs w:val="24"/>
        </w:rPr>
        <w:t xml:space="preserve"> but</w:t>
      </w:r>
      <w:r w:rsidRPr="001161F2">
        <w:rPr>
          <w:rFonts w:ascii="Times New Roman" w:hAnsi="Times New Roman" w:cs="Times New Roman"/>
          <w:sz w:val="24"/>
          <w:szCs w:val="24"/>
        </w:rPr>
        <w:t xml:space="preserve"> could </w:t>
      </w:r>
      <w:r>
        <w:rPr>
          <w:rFonts w:ascii="Times New Roman" w:hAnsi="Times New Roman" w:cs="Times New Roman"/>
          <w:sz w:val="24"/>
          <w:szCs w:val="24"/>
        </w:rPr>
        <w:t xml:space="preserve">not </w:t>
      </w:r>
      <w:r w:rsidRPr="001161F2">
        <w:rPr>
          <w:rFonts w:ascii="Times New Roman" w:hAnsi="Times New Roman" w:cs="Times New Roman"/>
          <w:sz w:val="24"/>
          <w:szCs w:val="24"/>
        </w:rPr>
        <w:t>work beyond March 18</w:t>
      </w:r>
      <w:r>
        <w:rPr>
          <w:rFonts w:ascii="Times New Roman" w:hAnsi="Times New Roman" w:cs="Times New Roman"/>
          <w:sz w:val="24"/>
          <w:szCs w:val="24"/>
        </w:rPr>
        <w:t xml:space="preserve"> because of his back </w:t>
      </w:r>
      <w:r w:rsidRPr="001161F2">
        <w:rPr>
          <w:rFonts w:ascii="Times New Roman" w:hAnsi="Times New Roman" w:cs="Times New Roman"/>
          <w:sz w:val="24"/>
          <w:szCs w:val="24"/>
        </w:rPr>
        <w:t>pain</w:t>
      </w:r>
      <w:r>
        <w:rPr>
          <w:rFonts w:ascii="Times New Roman" w:hAnsi="Times New Roman" w:cs="Times New Roman"/>
          <w:sz w:val="24"/>
          <w:szCs w:val="24"/>
        </w:rPr>
        <w:t xml:space="preserve"> </w:t>
      </w:r>
      <w:r w:rsidRPr="001161F2">
        <w:rPr>
          <w:rFonts w:ascii="Times New Roman" w:hAnsi="Times New Roman" w:cs="Times New Roman"/>
          <w:sz w:val="24"/>
          <w:szCs w:val="24"/>
        </w:rPr>
        <w:t xml:space="preserve">and </w:t>
      </w:r>
      <w:r>
        <w:rPr>
          <w:rFonts w:ascii="Times New Roman" w:hAnsi="Times New Roman" w:cs="Times New Roman"/>
          <w:sz w:val="24"/>
          <w:szCs w:val="24"/>
        </w:rPr>
        <w:t>informed his</w:t>
      </w:r>
      <w:r w:rsidRPr="001161F2">
        <w:rPr>
          <w:rFonts w:ascii="Times New Roman" w:hAnsi="Times New Roman" w:cs="Times New Roman"/>
          <w:sz w:val="24"/>
          <w:szCs w:val="24"/>
        </w:rPr>
        <w:t xml:space="preserve"> employer</w:t>
      </w:r>
      <w:r>
        <w:rPr>
          <w:rFonts w:ascii="Times New Roman" w:hAnsi="Times New Roman" w:cs="Times New Roman"/>
          <w:sz w:val="24"/>
          <w:szCs w:val="24"/>
        </w:rPr>
        <w:t xml:space="preserve"> of the fact</w:t>
      </w:r>
      <w:r w:rsidRPr="001161F2">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37"/>
      </w:r>
      <w:r w:rsidRPr="001161F2">
        <w:rPr>
          <w:rFonts w:ascii="Times New Roman" w:hAnsi="Times New Roman" w:cs="Times New Roman"/>
          <w:sz w:val="24"/>
          <w:szCs w:val="24"/>
        </w:rPr>
        <w:t xml:space="preserve"> </w:t>
      </w:r>
      <w:r>
        <w:rPr>
          <w:rFonts w:ascii="Times New Roman" w:hAnsi="Times New Roman" w:cs="Times New Roman"/>
          <w:sz w:val="24"/>
          <w:szCs w:val="24"/>
        </w:rPr>
        <w:t xml:space="preserve">The following day his doctor told him </w:t>
      </w:r>
      <w:r w:rsidRPr="001161F2">
        <w:rPr>
          <w:rFonts w:ascii="Times New Roman" w:hAnsi="Times New Roman" w:cs="Times New Roman"/>
          <w:sz w:val="24"/>
          <w:szCs w:val="24"/>
        </w:rPr>
        <w:t>that he suspected a herniated disk.</w:t>
      </w:r>
      <w:r w:rsidRPr="00336412">
        <w:rPr>
          <w:rFonts w:ascii="Times New Roman" w:hAnsi="Times New Roman" w:cs="Times New Roman"/>
          <w:sz w:val="24"/>
          <w:szCs w:val="24"/>
          <w:vertAlign w:val="superscript"/>
        </w:rPr>
        <w:footnoteReference w:id="438"/>
      </w:r>
      <w:r>
        <w:rPr>
          <w:rFonts w:ascii="Times New Roman" w:hAnsi="Times New Roman" w:cs="Times New Roman"/>
          <w:sz w:val="24"/>
          <w:szCs w:val="24"/>
        </w:rPr>
        <w:t xml:space="preserve"> </w:t>
      </w:r>
      <w:r w:rsidRPr="001161F2">
        <w:rPr>
          <w:rFonts w:ascii="Times New Roman" w:hAnsi="Times New Roman" w:cs="Times New Roman"/>
          <w:sz w:val="24"/>
          <w:szCs w:val="24"/>
        </w:rPr>
        <w:t>Jensen claim</w:t>
      </w:r>
      <w:r>
        <w:rPr>
          <w:rFonts w:ascii="Times New Roman" w:hAnsi="Times New Roman" w:cs="Times New Roman"/>
          <w:sz w:val="24"/>
          <w:szCs w:val="24"/>
        </w:rPr>
        <w:t>ed</w:t>
      </w:r>
      <w:r w:rsidRPr="001161F2">
        <w:rPr>
          <w:rFonts w:ascii="Times New Roman" w:hAnsi="Times New Roman" w:cs="Times New Roman"/>
          <w:sz w:val="24"/>
          <w:szCs w:val="24"/>
        </w:rPr>
        <w:t xml:space="preserve"> it was</w:t>
      </w:r>
      <w:r>
        <w:rPr>
          <w:rFonts w:ascii="Times New Roman" w:hAnsi="Times New Roman" w:cs="Times New Roman"/>
          <w:sz w:val="24"/>
          <w:szCs w:val="24"/>
        </w:rPr>
        <w:t xml:space="preserve"> only</w:t>
      </w:r>
      <w:r w:rsidRPr="001161F2">
        <w:rPr>
          <w:rFonts w:ascii="Times New Roman" w:hAnsi="Times New Roman" w:cs="Times New Roman"/>
          <w:sz w:val="24"/>
          <w:szCs w:val="24"/>
        </w:rPr>
        <w:t xml:space="preserve"> on that day</w:t>
      </w:r>
      <w:r>
        <w:rPr>
          <w:rFonts w:ascii="Times New Roman" w:hAnsi="Times New Roman" w:cs="Times New Roman"/>
          <w:sz w:val="24"/>
          <w:szCs w:val="24"/>
        </w:rPr>
        <w:t xml:space="preserve"> </w:t>
      </w:r>
      <w:r w:rsidRPr="001161F2">
        <w:rPr>
          <w:rFonts w:ascii="Times New Roman" w:hAnsi="Times New Roman" w:cs="Times New Roman"/>
          <w:sz w:val="24"/>
          <w:szCs w:val="24"/>
        </w:rPr>
        <w:t xml:space="preserve">that he </w:t>
      </w:r>
      <w:r>
        <w:rPr>
          <w:rFonts w:ascii="Times New Roman" w:hAnsi="Times New Roman" w:cs="Times New Roman"/>
          <w:sz w:val="24"/>
          <w:szCs w:val="24"/>
        </w:rPr>
        <w:t>suspected</w:t>
      </w:r>
      <w:r w:rsidRPr="001161F2">
        <w:rPr>
          <w:rFonts w:ascii="Times New Roman" w:hAnsi="Times New Roman" w:cs="Times New Roman"/>
          <w:sz w:val="24"/>
          <w:szCs w:val="24"/>
        </w:rPr>
        <w:t xml:space="preserve"> he might have</w:t>
      </w:r>
      <w:r>
        <w:rPr>
          <w:rFonts w:ascii="Times New Roman" w:hAnsi="Times New Roman" w:cs="Times New Roman"/>
          <w:sz w:val="24"/>
          <w:szCs w:val="24"/>
        </w:rPr>
        <w:t xml:space="preserve"> suffered</w:t>
      </w:r>
      <w:r w:rsidRPr="001161F2">
        <w:rPr>
          <w:rFonts w:ascii="Times New Roman" w:hAnsi="Times New Roman" w:cs="Times New Roman"/>
          <w:sz w:val="24"/>
          <w:szCs w:val="24"/>
        </w:rPr>
        <w:t xml:space="preserve"> a compensable injur</w:t>
      </w:r>
      <w:r>
        <w:rPr>
          <w:rFonts w:ascii="Times New Roman" w:hAnsi="Times New Roman" w:cs="Times New Roman"/>
          <w:sz w:val="24"/>
          <w:szCs w:val="24"/>
        </w:rPr>
        <w:t>y.</w:t>
      </w:r>
      <w:r w:rsidRPr="00336412">
        <w:rPr>
          <w:rFonts w:ascii="Times New Roman" w:hAnsi="Times New Roman" w:cs="Times New Roman"/>
          <w:sz w:val="24"/>
          <w:szCs w:val="24"/>
          <w:vertAlign w:val="superscript"/>
        </w:rPr>
        <w:footnoteReference w:id="439"/>
      </w:r>
      <w:r>
        <w:rPr>
          <w:rFonts w:ascii="Times New Roman" w:hAnsi="Times New Roman" w:cs="Times New Roman"/>
          <w:sz w:val="24"/>
          <w:szCs w:val="24"/>
        </w:rPr>
        <w:t xml:space="preserve"> </w:t>
      </w:r>
      <w:r w:rsidRPr="001161F2">
        <w:rPr>
          <w:rFonts w:ascii="Times New Roman" w:hAnsi="Times New Roman" w:cs="Times New Roman"/>
          <w:sz w:val="24"/>
          <w:szCs w:val="24"/>
        </w:rPr>
        <w:t>On March 23,</w:t>
      </w:r>
      <w:r>
        <w:rPr>
          <w:rFonts w:ascii="Times New Roman" w:hAnsi="Times New Roman" w:cs="Times New Roman"/>
          <w:sz w:val="24"/>
          <w:szCs w:val="24"/>
        </w:rPr>
        <w:t xml:space="preserve"> </w:t>
      </w:r>
      <w:r w:rsidRPr="001161F2">
        <w:rPr>
          <w:rFonts w:ascii="Times New Roman" w:hAnsi="Times New Roman" w:cs="Times New Roman"/>
          <w:sz w:val="24"/>
          <w:szCs w:val="24"/>
        </w:rPr>
        <w:t xml:space="preserve">Jensen delivered </w:t>
      </w:r>
      <w:r>
        <w:rPr>
          <w:rFonts w:ascii="Times New Roman" w:hAnsi="Times New Roman" w:cs="Times New Roman"/>
          <w:sz w:val="24"/>
          <w:szCs w:val="24"/>
        </w:rPr>
        <w:t>a written report</w:t>
      </w:r>
      <w:r w:rsidRPr="001161F2">
        <w:rPr>
          <w:rFonts w:ascii="Times New Roman" w:hAnsi="Times New Roman" w:cs="Times New Roman"/>
          <w:sz w:val="24"/>
          <w:szCs w:val="24"/>
        </w:rPr>
        <w:t xml:space="preserve"> to his employer</w:t>
      </w:r>
      <w:r>
        <w:rPr>
          <w:rFonts w:ascii="Times New Roman" w:hAnsi="Times New Roman" w:cs="Times New Roman"/>
          <w:sz w:val="24"/>
          <w:szCs w:val="24"/>
        </w:rPr>
        <w:t>.</w:t>
      </w:r>
      <w:r w:rsidRPr="001161F2">
        <w:rPr>
          <w:rFonts w:ascii="Times New Roman" w:hAnsi="Times New Roman" w:cs="Times New Roman"/>
          <w:sz w:val="24"/>
          <w:szCs w:val="24"/>
        </w:rPr>
        <w:t xml:space="preserve"> </w:t>
      </w:r>
      <w:r>
        <w:rPr>
          <w:rFonts w:ascii="Times New Roman" w:hAnsi="Times New Roman" w:cs="Times New Roman"/>
          <w:sz w:val="24"/>
          <w:szCs w:val="24"/>
        </w:rPr>
        <w:t>(</w:t>
      </w:r>
      <w:r w:rsidRPr="001161F2">
        <w:rPr>
          <w:rFonts w:ascii="Times New Roman" w:hAnsi="Times New Roman" w:cs="Times New Roman"/>
          <w:sz w:val="24"/>
          <w:szCs w:val="24"/>
        </w:rPr>
        <w:t xml:space="preserve">The </w:t>
      </w:r>
      <w:r>
        <w:rPr>
          <w:rFonts w:ascii="Times New Roman" w:hAnsi="Times New Roman" w:cs="Times New Roman"/>
          <w:sz w:val="24"/>
          <w:szCs w:val="24"/>
        </w:rPr>
        <w:t>D</w:t>
      </w:r>
      <w:r w:rsidRPr="001161F2">
        <w:rPr>
          <w:rFonts w:ascii="Times New Roman" w:hAnsi="Times New Roman" w:cs="Times New Roman"/>
          <w:sz w:val="24"/>
          <w:szCs w:val="24"/>
        </w:rPr>
        <w:t>ivision received the report</w:t>
      </w:r>
      <w:r>
        <w:rPr>
          <w:rFonts w:ascii="Times New Roman" w:hAnsi="Times New Roman" w:cs="Times New Roman"/>
          <w:sz w:val="24"/>
          <w:szCs w:val="24"/>
        </w:rPr>
        <w:t xml:space="preserve"> from the employer</w:t>
      </w:r>
      <w:r w:rsidRPr="001161F2">
        <w:rPr>
          <w:rFonts w:ascii="Times New Roman" w:hAnsi="Times New Roman" w:cs="Times New Roman"/>
          <w:sz w:val="24"/>
          <w:szCs w:val="24"/>
        </w:rPr>
        <w:t xml:space="preserve"> on April 6</w:t>
      </w:r>
      <w:r w:rsidR="00386669">
        <w:rPr>
          <w:rFonts w:ascii="Times New Roman" w:hAnsi="Times New Roman" w:cs="Times New Roman"/>
          <w:sz w:val="24"/>
          <w:szCs w:val="24"/>
        </w:rPr>
        <w: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40"/>
      </w:r>
      <w:r w:rsidRPr="001161F2">
        <w:rPr>
          <w:rFonts w:ascii="Times New Roman" w:hAnsi="Times New Roman" w:cs="Times New Roman"/>
          <w:sz w:val="24"/>
          <w:szCs w:val="24"/>
        </w:rPr>
        <w:t xml:space="preserve"> On March 2</w:t>
      </w:r>
      <w:r>
        <w:rPr>
          <w:rFonts w:ascii="Times New Roman" w:hAnsi="Times New Roman" w:cs="Times New Roman"/>
          <w:sz w:val="24"/>
          <w:szCs w:val="24"/>
        </w:rPr>
        <w:t>6</w:t>
      </w:r>
      <w:r w:rsidRPr="001161F2">
        <w:rPr>
          <w:rFonts w:ascii="Times New Roman" w:hAnsi="Times New Roman" w:cs="Times New Roman"/>
          <w:sz w:val="24"/>
          <w:szCs w:val="24"/>
        </w:rPr>
        <w:t xml:space="preserve">, Jensen </w:t>
      </w:r>
      <w:r>
        <w:rPr>
          <w:rFonts w:ascii="Times New Roman" w:hAnsi="Times New Roman" w:cs="Times New Roman"/>
          <w:sz w:val="24"/>
          <w:szCs w:val="24"/>
        </w:rPr>
        <w:t>returned to work</w:t>
      </w:r>
      <w:r w:rsidRPr="001161F2">
        <w:rPr>
          <w:rFonts w:ascii="Times New Roman" w:hAnsi="Times New Roman" w:cs="Times New Roman"/>
          <w:sz w:val="24"/>
          <w:szCs w:val="24"/>
        </w:rPr>
        <w:t xml:space="preserve">, but by March 27 could </w:t>
      </w:r>
      <w:r>
        <w:rPr>
          <w:rFonts w:ascii="Times New Roman" w:hAnsi="Times New Roman" w:cs="Times New Roman"/>
          <w:sz w:val="24"/>
          <w:szCs w:val="24"/>
        </w:rPr>
        <w:t xml:space="preserve">barely </w:t>
      </w:r>
      <w:r w:rsidRPr="001161F2">
        <w:rPr>
          <w:rFonts w:ascii="Times New Roman" w:hAnsi="Times New Roman" w:cs="Times New Roman"/>
          <w:sz w:val="24"/>
          <w:szCs w:val="24"/>
        </w:rPr>
        <w:t>stand or walk.</w:t>
      </w:r>
      <w:r w:rsidRPr="00336412">
        <w:rPr>
          <w:rFonts w:ascii="Times New Roman" w:hAnsi="Times New Roman" w:cs="Times New Roman"/>
          <w:sz w:val="24"/>
          <w:szCs w:val="24"/>
          <w:vertAlign w:val="superscript"/>
        </w:rPr>
        <w:footnoteReference w:id="441"/>
      </w:r>
      <w:r w:rsidRPr="001161F2">
        <w:rPr>
          <w:rFonts w:ascii="Times New Roman" w:hAnsi="Times New Roman" w:cs="Times New Roman"/>
          <w:sz w:val="24"/>
          <w:szCs w:val="24"/>
        </w:rPr>
        <w:t xml:space="preserve"> On March 30,</w:t>
      </w:r>
      <w:r>
        <w:rPr>
          <w:rFonts w:ascii="Times New Roman" w:hAnsi="Times New Roman" w:cs="Times New Roman"/>
          <w:sz w:val="24"/>
          <w:szCs w:val="24"/>
        </w:rPr>
        <w:t xml:space="preserve"> Jensen underwent an MRI, which </w:t>
      </w:r>
      <w:r w:rsidRPr="001161F2">
        <w:rPr>
          <w:rFonts w:ascii="Times New Roman" w:hAnsi="Times New Roman" w:cs="Times New Roman"/>
          <w:sz w:val="24"/>
          <w:szCs w:val="24"/>
        </w:rPr>
        <w:t>revealed that he had a severely herniated disk.</w:t>
      </w:r>
      <w:r w:rsidRPr="00336412">
        <w:rPr>
          <w:rFonts w:ascii="Times New Roman" w:hAnsi="Times New Roman" w:cs="Times New Roman"/>
          <w:sz w:val="24"/>
          <w:szCs w:val="24"/>
          <w:vertAlign w:val="superscript"/>
        </w:rPr>
        <w:footnoteReference w:id="442"/>
      </w:r>
      <w:r>
        <w:rPr>
          <w:rFonts w:ascii="Times New Roman" w:hAnsi="Times New Roman" w:cs="Times New Roman"/>
          <w:sz w:val="24"/>
          <w:szCs w:val="24"/>
        </w:rPr>
        <w:t xml:space="preserve"> </w:t>
      </w:r>
      <w:r w:rsidRPr="001161F2">
        <w:rPr>
          <w:rFonts w:ascii="Times New Roman" w:hAnsi="Times New Roman" w:cs="Times New Roman"/>
          <w:sz w:val="24"/>
          <w:szCs w:val="24"/>
        </w:rPr>
        <w:t xml:space="preserve">The </w:t>
      </w:r>
      <w:r>
        <w:rPr>
          <w:rFonts w:ascii="Times New Roman" w:hAnsi="Times New Roman" w:cs="Times New Roman"/>
          <w:sz w:val="24"/>
          <w:szCs w:val="24"/>
        </w:rPr>
        <w:t>D</w:t>
      </w:r>
      <w:r w:rsidRPr="001161F2">
        <w:rPr>
          <w:rFonts w:ascii="Times New Roman" w:hAnsi="Times New Roman" w:cs="Times New Roman"/>
          <w:sz w:val="24"/>
          <w:szCs w:val="24"/>
        </w:rPr>
        <w:t xml:space="preserve">ivision </w:t>
      </w:r>
      <w:r>
        <w:rPr>
          <w:rFonts w:ascii="Times New Roman" w:hAnsi="Times New Roman" w:cs="Times New Roman"/>
          <w:sz w:val="24"/>
          <w:szCs w:val="24"/>
        </w:rPr>
        <w:t>denied his claim for, among other reasons,</w:t>
      </w:r>
      <w:r w:rsidRPr="001161F2">
        <w:rPr>
          <w:rFonts w:ascii="Times New Roman" w:hAnsi="Times New Roman" w:cs="Times New Roman"/>
          <w:sz w:val="24"/>
          <w:szCs w:val="24"/>
        </w:rPr>
        <w:t xml:space="preserve"> failure to file a written report within ten days after the injury.</w:t>
      </w:r>
      <w:r w:rsidRPr="00336412">
        <w:rPr>
          <w:rFonts w:ascii="Times New Roman" w:hAnsi="Times New Roman" w:cs="Times New Roman"/>
          <w:sz w:val="24"/>
          <w:szCs w:val="24"/>
          <w:vertAlign w:val="superscript"/>
        </w:rPr>
        <w:footnoteReference w:id="443"/>
      </w:r>
      <w:r>
        <w:rPr>
          <w:rFonts w:ascii="Times New Roman" w:hAnsi="Times New Roman" w:cs="Times New Roman"/>
          <w:sz w:val="24"/>
          <w:szCs w:val="24"/>
        </w:rPr>
        <w:t xml:space="preserve"> At hearing, a hearing examiner granted the Division’s motion to dismiss the claim and “</w:t>
      </w:r>
      <w:r w:rsidRPr="001161F2">
        <w:rPr>
          <w:rFonts w:ascii="Times New Roman" w:hAnsi="Times New Roman" w:cs="Times New Roman"/>
          <w:sz w:val="24"/>
          <w:szCs w:val="24"/>
        </w:rPr>
        <w:t>found that Mr. Jensen's claim was untimely and he failed to demonstrate a lack of prejudice had accrued to the division.</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44"/>
      </w:r>
      <w:r>
        <w:rPr>
          <w:rFonts w:ascii="Times New Roman" w:hAnsi="Times New Roman" w:cs="Times New Roman"/>
          <w:sz w:val="24"/>
          <w:szCs w:val="24"/>
        </w:rPr>
        <w:t xml:space="preserve"> On appeal, the district court reversed the hearing examiner finding that </w:t>
      </w:r>
      <w:r w:rsidRPr="001161F2">
        <w:rPr>
          <w:rFonts w:ascii="Times New Roman" w:hAnsi="Times New Roman" w:cs="Times New Roman"/>
          <w:sz w:val="24"/>
          <w:szCs w:val="24"/>
        </w:rPr>
        <w:t>Jensen “did everything reasonable that was required of him under the circumstances” and to “deny him compensation is mean and cruel spirited, and in brutal departure from the entire purpose of the Worker's Compensation system.”</w:t>
      </w:r>
      <w:r w:rsidRPr="00336412">
        <w:rPr>
          <w:rFonts w:ascii="Times New Roman" w:hAnsi="Times New Roman" w:cs="Times New Roman"/>
          <w:sz w:val="24"/>
          <w:szCs w:val="24"/>
          <w:vertAlign w:val="superscript"/>
        </w:rPr>
        <w:footnoteReference w:id="445"/>
      </w:r>
      <w:r w:rsidRPr="001161F2">
        <w:rPr>
          <w:rFonts w:ascii="Times New Roman" w:hAnsi="Times New Roman" w:cs="Times New Roman"/>
          <w:sz w:val="24"/>
          <w:szCs w:val="24"/>
        </w:rPr>
        <w:t xml:space="preserve"> </w:t>
      </w:r>
    </w:p>
    <w:p w14:paraId="0C163530" w14:textId="77777777" w:rsidR="00FF7482" w:rsidRDefault="00FF7482" w:rsidP="00EB7F23">
      <w:pPr>
        <w:pStyle w:val="ListParagraph"/>
        <w:ind w:left="0" w:firstLine="720"/>
        <w:jc w:val="both"/>
        <w:rPr>
          <w:rFonts w:ascii="Times New Roman" w:hAnsi="Times New Roman" w:cs="Times New Roman"/>
          <w:sz w:val="24"/>
          <w:szCs w:val="24"/>
        </w:rPr>
      </w:pPr>
    </w:p>
    <w:p w14:paraId="2A14D5E4" w14:textId="4A1B158A" w:rsidR="00FF7482" w:rsidRDefault="00FF7482" w:rsidP="0038666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Wyoming Supreme Court flatly upheld the district court’s reversal of the hearing examiner. Citing </w:t>
      </w:r>
      <w:r w:rsidRPr="005E51FB">
        <w:rPr>
          <w:rFonts w:ascii="Times New Roman" w:hAnsi="Times New Roman" w:cs="Times New Roman"/>
          <w:i/>
          <w:sz w:val="24"/>
          <w:szCs w:val="24"/>
        </w:rPr>
        <w:t>Wesaw</w:t>
      </w:r>
      <w:r>
        <w:rPr>
          <w:rFonts w:ascii="Times New Roman" w:hAnsi="Times New Roman" w:cs="Times New Roman"/>
          <w:sz w:val="24"/>
          <w:szCs w:val="24"/>
        </w:rPr>
        <w:t>, the Court said,</w:t>
      </w:r>
    </w:p>
    <w:p w14:paraId="685A8682" w14:textId="73E71E1D" w:rsidR="00FF7482" w:rsidRDefault="00FF7482" w:rsidP="00EB7F23">
      <w:pPr>
        <w:pStyle w:val="ListParagraph"/>
        <w:ind w:left="0" w:firstLine="720"/>
        <w:jc w:val="both"/>
        <w:rPr>
          <w:rFonts w:ascii="Times New Roman" w:hAnsi="Times New Roman" w:cs="Times New Roman"/>
          <w:sz w:val="24"/>
          <w:szCs w:val="24"/>
        </w:rPr>
      </w:pPr>
    </w:p>
    <w:p w14:paraId="047B262A" w14:textId="1DB95B9B" w:rsidR="00FF7482" w:rsidRDefault="00FF7482" w:rsidP="00722E68">
      <w:pPr>
        <w:pStyle w:val="ListParagraph"/>
        <w:ind w:right="720"/>
        <w:jc w:val="both"/>
        <w:rPr>
          <w:rFonts w:ascii="Times New Roman" w:hAnsi="Times New Roman" w:cs="Times New Roman"/>
          <w:sz w:val="24"/>
          <w:szCs w:val="24"/>
        </w:rPr>
      </w:pPr>
      <w:r w:rsidRPr="002B406F">
        <w:rPr>
          <w:rFonts w:ascii="Times New Roman" w:hAnsi="Times New Roman" w:cs="Times New Roman"/>
          <w:sz w:val="24"/>
          <w:szCs w:val="24"/>
        </w:rPr>
        <w:t>The uncontroverted evidence reveals that Mr. Jensen timely complied with the requirement that he report the occurrence and general nature of his injury to his employer within seventy-two hours after the injury became apparent. Therefore, upon proper application of Wesaw, the statutory presumption of claim denial does not arise. The hearing examiner's ruling that Mr. Jensen did not meet his burden of proof was not in accordance with the law.</w:t>
      </w:r>
      <w:r w:rsidRPr="00336412">
        <w:rPr>
          <w:rFonts w:ascii="Times New Roman" w:hAnsi="Times New Roman" w:cs="Times New Roman"/>
          <w:sz w:val="24"/>
          <w:szCs w:val="24"/>
          <w:vertAlign w:val="superscript"/>
        </w:rPr>
        <w:footnoteReference w:id="446"/>
      </w:r>
    </w:p>
    <w:p w14:paraId="197E9A64" w14:textId="28F5ABEC" w:rsidR="00FF7482" w:rsidRDefault="00FF7482" w:rsidP="002B406F">
      <w:pPr>
        <w:pStyle w:val="ListParagraph"/>
        <w:ind w:right="720"/>
        <w:jc w:val="both"/>
        <w:rPr>
          <w:rFonts w:ascii="Times New Roman" w:hAnsi="Times New Roman" w:cs="Times New Roman"/>
          <w:sz w:val="24"/>
          <w:szCs w:val="24"/>
        </w:rPr>
      </w:pPr>
    </w:p>
    <w:p w14:paraId="4C5415F4" w14:textId="0CDF1AC7" w:rsidR="00FF7482" w:rsidRDefault="00FF7482" w:rsidP="00191416">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Read in concert</w:t>
      </w:r>
      <w:r w:rsidRPr="002B406F">
        <w:rPr>
          <w:rFonts w:ascii="Times New Roman" w:hAnsi="Times New Roman" w:cs="Times New Roman"/>
          <w:i/>
          <w:sz w:val="24"/>
          <w:szCs w:val="24"/>
        </w:rPr>
        <w:t>, Clark</w:t>
      </w:r>
      <w:r>
        <w:rPr>
          <w:rFonts w:ascii="Times New Roman" w:hAnsi="Times New Roman" w:cs="Times New Roman"/>
          <w:sz w:val="24"/>
          <w:szCs w:val="24"/>
        </w:rPr>
        <w:t xml:space="preserve">, </w:t>
      </w:r>
      <w:r w:rsidRPr="002B406F">
        <w:rPr>
          <w:rFonts w:ascii="Times New Roman" w:hAnsi="Times New Roman" w:cs="Times New Roman"/>
          <w:i/>
          <w:sz w:val="24"/>
          <w:szCs w:val="24"/>
        </w:rPr>
        <w:t>Wesaw</w:t>
      </w:r>
      <w:r>
        <w:rPr>
          <w:rFonts w:ascii="Times New Roman" w:hAnsi="Times New Roman" w:cs="Times New Roman"/>
          <w:sz w:val="24"/>
          <w:szCs w:val="24"/>
        </w:rPr>
        <w:t xml:space="preserve">, and </w:t>
      </w:r>
      <w:r w:rsidRPr="002B406F">
        <w:rPr>
          <w:rFonts w:ascii="Times New Roman" w:hAnsi="Times New Roman" w:cs="Times New Roman"/>
          <w:i/>
          <w:sz w:val="24"/>
          <w:szCs w:val="24"/>
        </w:rPr>
        <w:t>Jensen</w:t>
      </w:r>
      <w:r>
        <w:rPr>
          <w:rFonts w:ascii="Times New Roman" w:hAnsi="Times New Roman" w:cs="Times New Roman"/>
          <w:sz w:val="24"/>
          <w:szCs w:val="24"/>
        </w:rPr>
        <w:t xml:space="preserve"> present a puzzle. </w:t>
      </w:r>
      <w:r w:rsidRPr="00400F5B">
        <w:rPr>
          <w:rFonts w:ascii="Times New Roman" w:hAnsi="Times New Roman" w:cs="Times New Roman"/>
          <w:i/>
          <w:sz w:val="24"/>
          <w:szCs w:val="24"/>
        </w:rPr>
        <w:t>Clark</w:t>
      </w:r>
      <w:r>
        <w:rPr>
          <w:rFonts w:ascii="Times New Roman" w:hAnsi="Times New Roman" w:cs="Times New Roman"/>
          <w:sz w:val="24"/>
          <w:szCs w:val="24"/>
        </w:rPr>
        <w:t xml:space="preserve"> was decided under a prior version of the statute that stated that “failure of an employee </w:t>
      </w:r>
      <w:r w:rsidRPr="000203C2">
        <w:rPr>
          <w:rFonts w:ascii="Times New Roman" w:hAnsi="Times New Roman" w:cs="Times New Roman"/>
          <w:sz w:val="24"/>
          <w:szCs w:val="24"/>
        </w:rPr>
        <w:t xml:space="preserve">to report the accident to the employer and to file the report with </w:t>
      </w:r>
      <w:r w:rsidRPr="000203C2">
        <w:rPr>
          <w:rFonts w:ascii="Times New Roman" w:hAnsi="Times New Roman" w:cs="Times New Roman"/>
          <w:b/>
          <w:sz w:val="24"/>
          <w:szCs w:val="24"/>
        </w:rPr>
        <w:t>the clerk of court</w:t>
      </w:r>
      <w:r w:rsidRPr="000203C2">
        <w:rPr>
          <w:rFonts w:ascii="Times New Roman" w:hAnsi="Times New Roman" w:cs="Times New Roman"/>
          <w:sz w:val="24"/>
          <w:szCs w:val="24"/>
        </w:rPr>
        <w:t xml:space="preserve"> in </w:t>
      </w:r>
      <w:r w:rsidRPr="000203C2">
        <w:rPr>
          <w:rFonts w:ascii="Times New Roman" w:hAnsi="Times New Roman" w:cs="Times New Roman"/>
          <w:sz w:val="24"/>
          <w:szCs w:val="24"/>
        </w:rPr>
        <w:lastRenderedPageBreak/>
        <w:t>accordance with subsection (a) of this section is a presumption that the claim shall be denied.</w:t>
      </w:r>
      <w:r>
        <w:rPr>
          <w:rFonts w:ascii="Times New Roman" w:hAnsi="Times New Roman" w:cs="Times New Roman"/>
          <w:sz w:val="24"/>
          <w:szCs w:val="24"/>
        </w:rPr>
        <w:t xml:space="preserve">” The language in the statute governing </w:t>
      </w:r>
      <w:r w:rsidRPr="000203C2">
        <w:rPr>
          <w:rFonts w:ascii="Times New Roman" w:hAnsi="Times New Roman" w:cs="Times New Roman"/>
          <w:i/>
          <w:sz w:val="24"/>
          <w:szCs w:val="24"/>
        </w:rPr>
        <w:t>Clark</w:t>
      </w:r>
      <w:r>
        <w:rPr>
          <w:rFonts w:ascii="Times New Roman" w:hAnsi="Times New Roman" w:cs="Times New Roman"/>
          <w:sz w:val="24"/>
          <w:szCs w:val="24"/>
        </w:rPr>
        <w:t xml:space="preserve"> seems virtually identical to the language in the current statute except that filing of the injury report was with the district court instead of with the Division. Yet in </w:t>
      </w:r>
      <w:r w:rsidRPr="000203C2">
        <w:rPr>
          <w:rFonts w:ascii="Times New Roman" w:hAnsi="Times New Roman" w:cs="Times New Roman"/>
          <w:i/>
          <w:sz w:val="24"/>
          <w:szCs w:val="24"/>
        </w:rPr>
        <w:t>Clark</w:t>
      </w:r>
      <w:r>
        <w:rPr>
          <w:rFonts w:ascii="Times New Roman" w:hAnsi="Times New Roman" w:cs="Times New Roman"/>
          <w:sz w:val="24"/>
          <w:szCs w:val="24"/>
        </w:rPr>
        <w:t xml:space="preserve"> the Wyoming Supreme Court stated that failure </w:t>
      </w:r>
      <w:r w:rsidRPr="005760D3">
        <w:rPr>
          <w:rFonts w:ascii="Times New Roman" w:hAnsi="Times New Roman" w:cs="Times New Roman"/>
          <w:b/>
          <w:bCs/>
          <w:sz w:val="24"/>
          <w:szCs w:val="24"/>
        </w:rPr>
        <w:t>either</w:t>
      </w:r>
      <w:r>
        <w:rPr>
          <w:rFonts w:ascii="Times New Roman" w:hAnsi="Times New Roman" w:cs="Times New Roman"/>
          <w:sz w:val="24"/>
          <w:szCs w:val="24"/>
        </w:rPr>
        <w:t xml:space="preserve"> to report </w:t>
      </w:r>
      <w:r w:rsidRPr="005760D3">
        <w:rPr>
          <w:rFonts w:ascii="Times New Roman" w:hAnsi="Times New Roman" w:cs="Times New Roman"/>
          <w:b/>
          <w:bCs/>
          <w:sz w:val="24"/>
          <w:szCs w:val="24"/>
        </w:rPr>
        <w:t xml:space="preserve">or </w:t>
      </w:r>
      <w:r>
        <w:rPr>
          <w:rFonts w:ascii="Times New Roman" w:hAnsi="Times New Roman" w:cs="Times New Roman"/>
          <w:sz w:val="24"/>
          <w:szCs w:val="24"/>
        </w:rPr>
        <w:t xml:space="preserve">to file triggered the “clear and convincing” presumption, while in </w:t>
      </w:r>
      <w:r w:rsidRPr="00CA757B">
        <w:rPr>
          <w:rFonts w:ascii="Times New Roman" w:hAnsi="Times New Roman" w:cs="Times New Roman"/>
          <w:i/>
          <w:sz w:val="24"/>
          <w:szCs w:val="24"/>
        </w:rPr>
        <w:t>Wesaw</w:t>
      </w:r>
      <w:r>
        <w:rPr>
          <w:rFonts w:ascii="Times New Roman" w:hAnsi="Times New Roman" w:cs="Times New Roman"/>
          <w:sz w:val="24"/>
          <w:szCs w:val="24"/>
        </w:rPr>
        <w:t xml:space="preserve"> and </w:t>
      </w:r>
      <w:r w:rsidRPr="00CA757B">
        <w:rPr>
          <w:rFonts w:ascii="Times New Roman" w:hAnsi="Times New Roman" w:cs="Times New Roman"/>
          <w:i/>
          <w:sz w:val="24"/>
          <w:szCs w:val="24"/>
        </w:rPr>
        <w:t>Jensen</w:t>
      </w:r>
      <w:r>
        <w:rPr>
          <w:rFonts w:ascii="Times New Roman" w:hAnsi="Times New Roman" w:cs="Times New Roman"/>
          <w:sz w:val="24"/>
          <w:szCs w:val="24"/>
        </w:rPr>
        <w:t xml:space="preserve"> the Court held that </w:t>
      </w:r>
      <w:r w:rsidRPr="00CA757B">
        <w:rPr>
          <w:rFonts w:ascii="Times New Roman" w:hAnsi="Times New Roman" w:cs="Times New Roman"/>
          <w:b/>
          <w:sz w:val="24"/>
          <w:szCs w:val="24"/>
        </w:rPr>
        <w:t>both</w:t>
      </w:r>
      <w:r>
        <w:rPr>
          <w:rFonts w:ascii="Times New Roman" w:hAnsi="Times New Roman" w:cs="Times New Roman"/>
          <w:sz w:val="24"/>
          <w:szCs w:val="24"/>
        </w:rPr>
        <w:t xml:space="preserve"> reporting and filing must fail in order to trigger the presumption. One is inclined to simply conclude that the more recent pronouncements in </w:t>
      </w:r>
      <w:r w:rsidRPr="00CA757B">
        <w:rPr>
          <w:rFonts w:ascii="Times New Roman" w:hAnsi="Times New Roman" w:cs="Times New Roman"/>
          <w:i/>
          <w:sz w:val="24"/>
          <w:szCs w:val="24"/>
        </w:rPr>
        <w:t>Wesaw</w:t>
      </w:r>
      <w:r>
        <w:rPr>
          <w:rFonts w:ascii="Times New Roman" w:hAnsi="Times New Roman" w:cs="Times New Roman"/>
          <w:sz w:val="24"/>
          <w:szCs w:val="24"/>
        </w:rPr>
        <w:t xml:space="preserve"> and </w:t>
      </w:r>
      <w:r w:rsidRPr="00CA757B">
        <w:rPr>
          <w:rFonts w:ascii="Times New Roman" w:hAnsi="Times New Roman" w:cs="Times New Roman"/>
          <w:i/>
          <w:sz w:val="24"/>
          <w:szCs w:val="24"/>
        </w:rPr>
        <w:t>Jensen</w:t>
      </w:r>
      <w:r>
        <w:rPr>
          <w:rFonts w:ascii="Times New Roman" w:hAnsi="Times New Roman" w:cs="Times New Roman"/>
          <w:iCs/>
          <w:sz w:val="24"/>
          <w:szCs w:val="24"/>
        </w:rPr>
        <w:t>,</w:t>
      </w:r>
      <w:r>
        <w:rPr>
          <w:rFonts w:ascii="Times New Roman" w:hAnsi="Times New Roman" w:cs="Times New Roman"/>
          <w:sz w:val="24"/>
          <w:szCs w:val="24"/>
        </w:rPr>
        <w:t xml:space="preserve"> decided under the current statute, control. That interpretation fails to answer the very basic question of what happens if an employee timely reports an injury but fails to timely file with the Division. Under </w:t>
      </w:r>
      <w:r w:rsidRPr="00846728">
        <w:rPr>
          <w:rFonts w:ascii="Times New Roman" w:hAnsi="Times New Roman" w:cs="Times New Roman"/>
          <w:i/>
          <w:sz w:val="24"/>
          <w:szCs w:val="24"/>
        </w:rPr>
        <w:t>Wesaw</w:t>
      </w:r>
      <w:r>
        <w:rPr>
          <w:rFonts w:ascii="Times New Roman" w:hAnsi="Times New Roman" w:cs="Times New Roman"/>
          <w:sz w:val="24"/>
          <w:szCs w:val="24"/>
        </w:rPr>
        <w:t xml:space="preserve"> and </w:t>
      </w:r>
      <w:r w:rsidRPr="00846728">
        <w:rPr>
          <w:rFonts w:ascii="Times New Roman" w:hAnsi="Times New Roman" w:cs="Times New Roman"/>
          <w:i/>
          <w:sz w:val="24"/>
          <w:szCs w:val="24"/>
        </w:rPr>
        <w:t>Jensen</w:t>
      </w:r>
      <w:r>
        <w:rPr>
          <w:rFonts w:ascii="Times New Roman" w:hAnsi="Times New Roman" w:cs="Times New Roman"/>
          <w:sz w:val="24"/>
          <w:szCs w:val="24"/>
        </w:rPr>
        <w:t xml:space="preserve">, the presumption does not apply. The last line of </w:t>
      </w:r>
      <w:r w:rsidRPr="00846728">
        <w:rPr>
          <w:rFonts w:ascii="Times New Roman" w:hAnsi="Times New Roman" w:cs="Times New Roman"/>
          <w:i/>
          <w:sz w:val="24"/>
          <w:szCs w:val="24"/>
        </w:rPr>
        <w:t>Jensen</w:t>
      </w:r>
      <w:r>
        <w:rPr>
          <w:rFonts w:ascii="Times New Roman" w:hAnsi="Times New Roman" w:cs="Times New Roman"/>
          <w:sz w:val="24"/>
          <w:szCs w:val="24"/>
        </w:rPr>
        <w:t xml:space="preserve"> states, “</w:t>
      </w:r>
      <w:r w:rsidRPr="00846728">
        <w:rPr>
          <w:rFonts w:ascii="Times New Roman" w:hAnsi="Times New Roman" w:cs="Times New Roman"/>
          <w:sz w:val="24"/>
          <w:szCs w:val="24"/>
        </w:rPr>
        <w:t xml:space="preserve">We affirm the district court's conclusion that a presumption of claim denial did not arise and its remand to the hearing examiner </w:t>
      </w:r>
      <w:r w:rsidRPr="00846728">
        <w:rPr>
          <w:rFonts w:ascii="Times New Roman" w:hAnsi="Times New Roman" w:cs="Times New Roman"/>
          <w:b/>
          <w:sz w:val="24"/>
          <w:szCs w:val="24"/>
        </w:rPr>
        <w:t>for a determination of compensability</w:t>
      </w:r>
      <w:r>
        <w:rPr>
          <w:rFonts w:ascii="Times New Roman" w:hAnsi="Times New Roman" w:cs="Times New Roman"/>
          <w:sz w:val="24"/>
          <w:szCs w:val="24"/>
        </w:rPr>
        <w:t xml:space="preserve">.” But, even though the hearing officer erroneously applied </w:t>
      </w:r>
      <w:r w:rsidRPr="005C761B">
        <w:rPr>
          <w:rFonts w:ascii="Times New Roman" w:hAnsi="Times New Roman" w:cs="Times New Roman"/>
          <w:i/>
          <w:sz w:val="24"/>
          <w:szCs w:val="24"/>
        </w:rPr>
        <w:t>the presumption</w:t>
      </w:r>
      <w:r>
        <w:rPr>
          <w:rFonts w:ascii="Times New Roman" w:hAnsi="Times New Roman" w:cs="Times New Roman"/>
          <w:i/>
          <w:sz w:val="24"/>
          <w:szCs w:val="24"/>
        </w:rPr>
        <w:t xml:space="preserve"> of </w:t>
      </w:r>
      <w:r w:rsidRPr="005C761B">
        <w:rPr>
          <w:rFonts w:ascii="Times New Roman" w:hAnsi="Times New Roman" w:cs="Times New Roman"/>
          <w:b/>
          <w:i/>
          <w:sz w:val="24"/>
          <w:szCs w:val="24"/>
        </w:rPr>
        <w:t>claim noncompensability</w:t>
      </w:r>
      <w:r>
        <w:rPr>
          <w:rFonts w:ascii="Times New Roman" w:hAnsi="Times New Roman" w:cs="Times New Roman"/>
          <w:sz w:val="24"/>
          <w:szCs w:val="24"/>
        </w:rPr>
        <w:t xml:space="preserve">, the employee would seemingly retain on remand </w:t>
      </w:r>
      <w:r w:rsidRPr="005C761B">
        <w:rPr>
          <w:rFonts w:ascii="Times New Roman" w:hAnsi="Times New Roman" w:cs="Times New Roman"/>
          <w:b/>
          <w:sz w:val="24"/>
          <w:szCs w:val="24"/>
        </w:rPr>
        <w:t>the burden of proving all elements of the claim</w:t>
      </w:r>
      <w:r>
        <w:rPr>
          <w:rFonts w:ascii="Times New Roman" w:hAnsi="Times New Roman" w:cs="Times New Roman"/>
          <w:b/>
          <w:sz w:val="24"/>
          <w:szCs w:val="24"/>
        </w:rPr>
        <w:t>, including compliance with</w:t>
      </w:r>
      <w:r w:rsidRPr="005C761B">
        <w:rPr>
          <w:rFonts w:ascii="Times New Roman" w:hAnsi="Times New Roman" w:cs="Times New Roman"/>
          <w:sz w:val="24"/>
          <w:szCs w:val="24"/>
        </w:rPr>
        <w:t xml:space="preserve"> </w:t>
      </w:r>
      <w:r w:rsidRPr="00BE237A">
        <w:rPr>
          <w:rFonts w:ascii="Times New Roman" w:hAnsi="Times New Roman" w:cs="Times New Roman"/>
          <w:b/>
          <w:sz w:val="24"/>
          <w:szCs w:val="24"/>
        </w:rPr>
        <w:t xml:space="preserve">W.S. § </w:t>
      </w:r>
      <w:hyperlink r:id="rId80" w:history="1">
        <w:r w:rsidRPr="00BE237A">
          <w:rPr>
            <w:rStyle w:val="Hyperlink"/>
            <w:rFonts w:ascii="Times New Roman" w:hAnsi="Times New Roman" w:cs="Times New Roman"/>
            <w:b/>
            <w:sz w:val="24"/>
            <w:szCs w:val="24"/>
          </w:rPr>
          <w:t>27-14-502</w:t>
        </w:r>
      </w:hyperlink>
      <w:r w:rsidRPr="005C761B">
        <w:rPr>
          <w:rFonts w:ascii="Times New Roman" w:hAnsi="Times New Roman" w:cs="Times New Roman"/>
          <w:b/>
          <w:sz w:val="24"/>
          <w:szCs w:val="24"/>
        </w:rPr>
        <w:t>(a)</w:t>
      </w:r>
      <w:r>
        <w:rPr>
          <w:rFonts w:ascii="Times New Roman" w:hAnsi="Times New Roman" w:cs="Times New Roman"/>
          <w:sz w:val="24"/>
          <w:szCs w:val="24"/>
        </w:rPr>
        <w:t xml:space="preserve">. Otherwise, “notice” might be effective any time the employee merely reported an injury within 72-hours. This is what Justice Golden seemed to suggest in his dissenting opinion in </w:t>
      </w:r>
      <w:r w:rsidRPr="0051023A">
        <w:rPr>
          <w:rFonts w:ascii="Times New Roman" w:hAnsi="Times New Roman" w:cs="Times New Roman"/>
          <w:i/>
          <w:sz w:val="24"/>
          <w:szCs w:val="24"/>
        </w:rPr>
        <w:t xml:space="preserve">Logue v. Workers’ Safety </w:t>
      </w:r>
      <w:r>
        <w:rPr>
          <w:rFonts w:ascii="Times New Roman" w:hAnsi="Times New Roman" w:cs="Times New Roman"/>
          <w:i/>
          <w:sz w:val="24"/>
          <w:szCs w:val="24"/>
        </w:rPr>
        <w:t>&amp;</w:t>
      </w:r>
      <w:r w:rsidRPr="0051023A">
        <w:rPr>
          <w:rFonts w:ascii="Times New Roman" w:hAnsi="Times New Roman" w:cs="Times New Roman"/>
          <w:i/>
          <w:sz w:val="24"/>
          <w:szCs w:val="24"/>
        </w:rPr>
        <w:t xml:space="preserve"> Compensation Div</w:t>
      </w:r>
      <w:r>
        <w:rPr>
          <w:rFonts w:ascii="Times New Roman" w:hAnsi="Times New Roman" w:cs="Times New Roman"/>
          <w:sz w:val="24"/>
          <w:szCs w:val="24"/>
        </w:rPr>
        <w:t>.: “</w:t>
      </w:r>
      <w:r w:rsidRPr="0051023A">
        <w:rPr>
          <w:rFonts w:ascii="Times New Roman" w:hAnsi="Times New Roman" w:cs="Times New Roman"/>
          <w:sz w:val="24"/>
          <w:szCs w:val="24"/>
        </w:rPr>
        <w:t xml:space="preserve">In </w:t>
      </w:r>
      <w:r w:rsidRPr="0051023A">
        <w:rPr>
          <w:rFonts w:ascii="Times New Roman" w:hAnsi="Times New Roman" w:cs="Times New Roman"/>
          <w:i/>
          <w:iCs/>
          <w:sz w:val="24"/>
          <w:szCs w:val="24"/>
        </w:rPr>
        <w:t>Wesaw,</w:t>
      </w:r>
      <w:r w:rsidRPr="0051023A">
        <w:rPr>
          <w:rFonts w:ascii="Times New Roman" w:hAnsi="Times New Roman" w:cs="Times New Roman"/>
          <w:sz w:val="24"/>
          <w:szCs w:val="24"/>
        </w:rPr>
        <w:t xml:space="preserve"> we stated that </w:t>
      </w:r>
      <w:r w:rsidRPr="0051023A">
        <w:rPr>
          <w:rFonts w:ascii="Times New Roman" w:hAnsi="Times New Roman" w:cs="Times New Roman"/>
          <w:b/>
          <w:sz w:val="24"/>
          <w:szCs w:val="24"/>
        </w:rPr>
        <w:t>if a claimant timely tells her supervisor of a work-related injury, her claim cannot be denied under Wyo. Stat. Ann. § 27-14-502</w:t>
      </w:r>
      <w:r w:rsidRPr="0051023A">
        <w:rPr>
          <w:rFonts w:ascii="Times New Roman" w:hAnsi="Times New Roman" w:cs="Times New Roman"/>
          <w:sz w:val="24"/>
          <w:szCs w:val="24"/>
        </w:rPr>
        <w:t xml:space="preserve">. </w:t>
      </w:r>
      <w:r w:rsidRPr="0051023A">
        <w:rPr>
          <w:rFonts w:ascii="Times New Roman" w:hAnsi="Times New Roman" w:cs="Times New Roman"/>
          <w:i/>
          <w:iCs/>
          <w:sz w:val="24"/>
          <w:szCs w:val="24"/>
        </w:rPr>
        <w:t>Wesaw,</w:t>
      </w:r>
      <w:r w:rsidRPr="0051023A">
        <w:rPr>
          <w:rFonts w:ascii="Times New Roman" w:hAnsi="Times New Roman" w:cs="Times New Roman"/>
          <w:sz w:val="24"/>
          <w:szCs w:val="24"/>
        </w:rPr>
        <w:t xml:space="preserve"> </w:t>
      </w:r>
      <w:bookmarkStart w:id="623" w:name="_Hlk521229338"/>
      <w:r w:rsidRPr="0051023A">
        <w:rPr>
          <w:rFonts w:ascii="Times New Roman" w:hAnsi="Times New Roman" w:cs="Times New Roman"/>
          <w:sz w:val="24"/>
          <w:szCs w:val="24"/>
        </w:rPr>
        <w:t>¶ 15</w:t>
      </w:r>
      <w:bookmarkEnd w:id="623"/>
      <w:r w:rsidRPr="0051023A">
        <w:rPr>
          <w:rFonts w:ascii="Times New Roman" w:hAnsi="Times New Roman" w:cs="Times New Roman"/>
          <w:sz w:val="24"/>
          <w:szCs w:val="24"/>
        </w:rPr>
        <w: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47"/>
      </w:r>
      <w:r>
        <w:rPr>
          <w:rFonts w:ascii="Times New Roman" w:hAnsi="Times New Roman" w:cs="Times New Roman"/>
          <w:sz w:val="24"/>
          <w:szCs w:val="24"/>
        </w:rPr>
        <w:t xml:space="preserve">  In fact, </w:t>
      </w:r>
      <w:r w:rsidRPr="0051023A">
        <w:rPr>
          <w:rFonts w:ascii="Times New Roman" w:hAnsi="Times New Roman" w:cs="Times New Roman"/>
          <w:i/>
          <w:sz w:val="24"/>
          <w:szCs w:val="24"/>
        </w:rPr>
        <w:t>Wesaw</w:t>
      </w:r>
      <w:r>
        <w:rPr>
          <w:rFonts w:ascii="Times New Roman" w:hAnsi="Times New Roman" w:cs="Times New Roman"/>
          <w:sz w:val="24"/>
          <w:szCs w:val="24"/>
        </w:rPr>
        <w:t xml:space="preserve"> does not appear, fairly read, to have made this statement at </w:t>
      </w:r>
      <w:r w:rsidRPr="0051023A">
        <w:rPr>
          <w:rFonts w:ascii="Times New Roman" w:hAnsi="Times New Roman" w:cs="Times New Roman"/>
          <w:sz w:val="24"/>
          <w:szCs w:val="24"/>
        </w:rPr>
        <w:t>¶ 15</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48"/>
      </w:r>
      <w:r>
        <w:rPr>
          <w:rFonts w:ascii="Times New Roman" w:hAnsi="Times New Roman" w:cs="Times New Roman"/>
          <w:sz w:val="24"/>
          <w:szCs w:val="24"/>
        </w:rPr>
        <w:t xml:space="preserve"> but it is respectfully suggested that Justice Golden perceptively identified the sticking point in this area of law. </w:t>
      </w:r>
    </w:p>
    <w:p w14:paraId="543E1712" w14:textId="77777777" w:rsidR="00FF7482" w:rsidRDefault="00FF7482" w:rsidP="00AD1851">
      <w:pPr>
        <w:pStyle w:val="ListParagraph"/>
        <w:spacing w:after="0"/>
        <w:ind w:left="0" w:firstLine="720"/>
        <w:jc w:val="both"/>
        <w:rPr>
          <w:rFonts w:ascii="Times New Roman" w:hAnsi="Times New Roman" w:cs="Times New Roman"/>
          <w:sz w:val="24"/>
          <w:szCs w:val="24"/>
        </w:rPr>
      </w:pPr>
    </w:p>
    <w:p w14:paraId="504545FF" w14:textId="2154E90B" w:rsidR="00FF7482" w:rsidRDefault="00FF7482" w:rsidP="005C761B">
      <w:pPr>
        <w:pStyle w:val="Heading2"/>
        <w:rPr>
          <w:rFonts w:ascii="Times New Roman" w:hAnsi="Times New Roman" w:cs="Times New Roman"/>
          <w:b/>
          <w:color w:val="auto"/>
        </w:rPr>
      </w:pPr>
      <w:bookmarkStart w:id="629" w:name="_Hlk521264897"/>
      <w:bookmarkStart w:id="630" w:name="_Toc75269389"/>
      <w:bookmarkStart w:id="631" w:name="_Hlk523762041"/>
      <w:r w:rsidRPr="00866700">
        <w:rPr>
          <w:rFonts w:ascii="Times New Roman" w:hAnsi="Times New Roman" w:cs="Times New Roman"/>
          <w:b/>
          <w:color w:val="auto"/>
        </w:rPr>
        <w:t xml:space="preserve">Notice in Wyoming </w:t>
      </w:r>
      <w:bookmarkEnd w:id="629"/>
      <w:r w:rsidRPr="00866700">
        <w:rPr>
          <w:rFonts w:ascii="Times New Roman" w:hAnsi="Times New Roman" w:cs="Times New Roman"/>
          <w:b/>
          <w:color w:val="auto"/>
        </w:rPr>
        <w:t>– Commencement of Notice Period</w:t>
      </w:r>
      <w:bookmarkEnd w:id="630"/>
    </w:p>
    <w:bookmarkEnd w:id="631"/>
    <w:p w14:paraId="649BD81A" w14:textId="77777777" w:rsidR="00FF7482" w:rsidRDefault="00FF7482" w:rsidP="00866700">
      <w:pPr>
        <w:pStyle w:val="ListParagraph"/>
        <w:ind w:left="0" w:firstLine="720"/>
        <w:jc w:val="both"/>
        <w:rPr>
          <w:rFonts w:ascii="Times New Roman" w:hAnsi="Times New Roman" w:cs="Times New Roman"/>
          <w:sz w:val="24"/>
          <w:szCs w:val="24"/>
        </w:rPr>
      </w:pPr>
    </w:p>
    <w:p w14:paraId="18A7AFFF" w14:textId="2E1E6BE9" w:rsidR="00FF7482" w:rsidRDefault="00FF7482" w:rsidP="00AA6E8D">
      <w:pPr>
        <w:pStyle w:val="ListParagraph"/>
        <w:ind w:left="0"/>
        <w:jc w:val="both"/>
        <w:rPr>
          <w:rFonts w:ascii="Times New Roman" w:hAnsi="Times New Roman" w:cs="Times New Roman"/>
          <w:sz w:val="24"/>
          <w:szCs w:val="24"/>
        </w:rPr>
      </w:pPr>
      <w:r w:rsidRPr="00866700">
        <w:rPr>
          <w:rFonts w:ascii="Times New Roman" w:hAnsi="Times New Roman" w:cs="Times New Roman"/>
          <w:sz w:val="24"/>
          <w:szCs w:val="24"/>
        </w:rPr>
        <w:t>A common question in workers’ compensation law is when the notice period begins to run</w:t>
      </w:r>
      <w:r>
        <w:rPr>
          <w:rFonts w:ascii="Times New Roman" w:hAnsi="Times New Roman" w:cs="Times New Roman"/>
          <w:sz w:val="24"/>
          <w:szCs w:val="24"/>
        </w:rPr>
        <w:t>, and there is no ambiguity in Wyoming law on this point</w:t>
      </w:r>
      <w:r w:rsidRPr="00866700">
        <w:rPr>
          <w:rFonts w:ascii="Times New Roman" w:hAnsi="Times New Roman" w:cs="Times New Roman"/>
          <w:sz w:val="24"/>
          <w:szCs w:val="24"/>
        </w:rPr>
        <w:t xml:space="preserve">. </w:t>
      </w:r>
      <w:r w:rsidRPr="00866700">
        <w:rPr>
          <w:rFonts w:ascii="Times New Roman" w:hAnsi="Times New Roman" w:cs="Times New Roman"/>
          <w:b/>
          <w:sz w:val="24"/>
          <w:szCs w:val="24"/>
        </w:rPr>
        <w:t xml:space="preserve">The notice and claim requirements of the worker's compensation statutes </w:t>
      </w:r>
      <w:r w:rsidRPr="004227AB">
        <w:rPr>
          <w:rFonts w:ascii="Times New Roman" w:hAnsi="Times New Roman" w:cs="Times New Roman"/>
          <w:b/>
          <w:sz w:val="24"/>
          <w:szCs w:val="24"/>
          <w:u w:val="single"/>
        </w:rPr>
        <w:t>do not begin to run until the employee becomes aware that an accident has caused an injury; and the term “injury” as used in the statutes means compensable injury</w:t>
      </w:r>
      <w:r w:rsidRPr="00866700">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49"/>
      </w:r>
      <w:r w:rsidRPr="00866700">
        <w:rPr>
          <w:rFonts w:ascii="Times New Roman" w:hAnsi="Times New Roman" w:cs="Times New Roman"/>
          <w:sz w:val="24"/>
          <w:szCs w:val="24"/>
        </w:rPr>
        <w:t> </w:t>
      </w:r>
      <w:r>
        <w:rPr>
          <w:rFonts w:ascii="Times New Roman" w:hAnsi="Times New Roman" w:cs="Times New Roman"/>
          <w:sz w:val="24"/>
          <w:szCs w:val="24"/>
        </w:rPr>
        <w:t>This language should be carefully distinguished from a situation in which the employee is merely aware of the occurrence of an “accident” or an “event” of some type. It is not until an accident has “ripened” into a compensable injury that notice and claim timing requirements are triggered.</w:t>
      </w:r>
    </w:p>
    <w:p w14:paraId="02E7AF7E" w14:textId="7ABFFD11" w:rsidR="00FF7482" w:rsidRDefault="00FF7482" w:rsidP="00866700">
      <w:pPr>
        <w:pStyle w:val="ListParagraph"/>
        <w:ind w:left="0" w:firstLine="720"/>
        <w:jc w:val="both"/>
        <w:rPr>
          <w:rFonts w:ascii="Times New Roman" w:hAnsi="Times New Roman" w:cs="Times New Roman"/>
          <w:sz w:val="24"/>
          <w:szCs w:val="24"/>
        </w:rPr>
      </w:pPr>
    </w:p>
    <w:p w14:paraId="325C5F47" w14:textId="2BB7A247" w:rsidR="00FF7482" w:rsidRDefault="00FF7482" w:rsidP="00E114D4">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W</w:t>
      </w:r>
      <w:r w:rsidRPr="004227AB">
        <w:rPr>
          <w:rFonts w:ascii="Times New Roman" w:hAnsi="Times New Roman" w:cs="Times New Roman"/>
          <w:sz w:val="24"/>
          <w:szCs w:val="24"/>
        </w:rPr>
        <w:t>hen determining the time</w:t>
      </w:r>
      <w:r>
        <w:rPr>
          <w:rFonts w:ascii="Times New Roman" w:hAnsi="Times New Roman" w:cs="Times New Roman"/>
          <w:sz w:val="24"/>
          <w:szCs w:val="24"/>
        </w:rPr>
        <w:t xml:space="preserve"> in which</w:t>
      </w:r>
      <w:r w:rsidRPr="004227AB">
        <w:rPr>
          <w:rFonts w:ascii="Times New Roman" w:hAnsi="Times New Roman" w:cs="Times New Roman"/>
          <w:sz w:val="24"/>
          <w:szCs w:val="24"/>
        </w:rPr>
        <w:t xml:space="preserve"> a</w:t>
      </w:r>
      <w:r>
        <w:rPr>
          <w:rFonts w:ascii="Times New Roman" w:hAnsi="Times New Roman" w:cs="Times New Roman"/>
          <w:sz w:val="24"/>
          <w:szCs w:val="24"/>
        </w:rPr>
        <w:t>n</w:t>
      </w:r>
      <w:r w:rsidRPr="004227AB">
        <w:rPr>
          <w:rFonts w:ascii="Times New Roman" w:hAnsi="Times New Roman" w:cs="Times New Roman"/>
          <w:sz w:val="24"/>
          <w:szCs w:val="24"/>
        </w:rPr>
        <w:t xml:space="preserve"> injury became compensable</w:t>
      </w:r>
      <w:r>
        <w:rPr>
          <w:rFonts w:ascii="Times New Roman" w:hAnsi="Times New Roman" w:cs="Times New Roman"/>
          <w:sz w:val="24"/>
          <w:szCs w:val="24"/>
        </w:rPr>
        <w:t xml:space="preserve">—in other words when it ripened from an accident or event to a compensable injury—“it should </w:t>
      </w:r>
      <w:r w:rsidRPr="004227AB">
        <w:rPr>
          <w:rFonts w:ascii="Times New Roman" w:hAnsi="Times New Roman" w:cs="Times New Roman"/>
          <w:sz w:val="24"/>
          <w:szCs w:val="24"/>
        </w:rPr>
        <w:t xml:space="preserve">be asked: </w:t>
      </w:r>
      <w:r w:rsidRPr="00AA64F6">
        <w:rPr>
          <w:rFonts w:ascii="Times New Roman" w:hAnsi="Times New Roman" w:cs="Times New Roman"/>
          <w:b/>
          <w:sz w:val="24"/>
          <w:szCs w:val="24"/>
          <w:u w:val="single"/>
        </w:rPr>
        <w:t>When would a reasonable person, under the circumstances, have understood the full extent and nature of the injury and that the injury was related to his or her employment</w:t>
      </w:r>
      <w:r w:rsidRPr="004227AB">
        <w:rPr>
          <w:rFonts w:ascii="Times New Roman" w:hAnsi="Times New Roman" w:cs="Times New Roman"/>
          <w:sz w:val="24"/>
          <w:szCs w:val="24"/>
        </w:rPr>
        <w: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50"/>
      </w:r>
    </w:p>
    <w:p w14:paraId="0E27F488" w14:textId="2DDCAB06" w:rsidR="00FF7482" w:rsidRDefault="00FF7482" w:rsidP="00866700">
      <w:pPr>
        <w:pStyle w:val="ListParagraph"/>
        <w:ind w:left="0" w:firstLine="720"/>
        <w:jc w:val="both"/>
        <w:rPr>
          <w:rFonts w:ascii="Times New Roman" w:hAnsi="Times New Roman" w:cs="Times New Roman"/>
          <w:sz w:val="24"/>
          <w:szCs w:val="24"/>
        </w:rPr>
      </w:pPr>
    </w:p>
    <w:p w14:paraId="5891936D" w14:textId="683FCAE6" w:rsidR="00FF7482" w:rsidRDefault="00FF7482" w:rsidP="0056578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Notice cases can become tricky in the context of </w:t>
      </w:r>
      <w:r w:rsidRPr="003C5B06">
        <w:rPr>
          <w:rFonts w:ascii="Times New Roman" w:hAnsi="Times New Roman" w:cs="Times New Roman"/>
          <w:b/>
          <w:sz w:val="24"/>
          <w:szCs w:val="24"/>
          <w:u w:val="single"/>
        </w:rPr>
        <w:t>medical diagnoses</w:t>
      </w:r>
      <w:r>
        <w:rPr>
          <w:rFonts w:ascii="Times New Roman" w:hAnsi="Times New Roman" w:cs="Times New Roman"/>
          <w:sz w:val="24"/>
          <w:szCs w:val="24"/>
        </w:rPr>
        <w:t xml:space="preserve">. In general, in Wyoming </w:t>
      </w:r>
      <w:r w:rsidRPr="003F2F4B">
        <w:rPr>
          <w:rFonts w:ascii="Times New Roman" w:hAnsi="Times New Roman" w:cs="Times New Roman"/>
          <w:b/>
          <w:sz w:val="24"/>
          <w:szCs w:val="24"/>
          <w:u w:val="single"/>
        </w:rPr>
        <w:t xml:space="preserve">an injury becomes compensable when the claimant reasonably knows about </w:t>
      </w:r>
      <w:r>
        <w:rPr>
          <w:rFonts w:ascii="Times New Roman" w:hAnsi="Times New Roman" w:cs="Times New Roman"/>
          <w:b/>
          <w:sz w:val="24"/>
          <w:szCs w:val="24"/>
          <w:u w:val="single"/>
        </w:rPr>
        <w:t>the injury,</w:t>
      </w:r>
      <w:r w:rsidRPr="003F2F4B">
        <w:rPr>
          <w:rFonts w:ascii="Times New Roman" w:hAnsi="Times New Roman" w:cs="Times New Roman"/>
          <w:b/>
          <w:sz w:val="24"/>
          <w:szCs w:val="24"/>
          <w:u w:val="single"/>
        </w:rPr>
        <w:t xml:space="preserve"> not when an official or final diagnosis of injury is made by a physician</w:t>
      </w:r>
      <w:r>
        <w:rPr>
          <w:rFonts w:ascii="Times New Roman" w:hAnsi="Times New Roman" w:cs="Times New Roman"/>
          <w:sz w:val="24"/>
          <w:szCs w:val="24"/>
        </w:rPr>
        <w:t>. It could be argued there is some circularity here. Would a reasonable person second-guess his or her physician who is not herself certain of the full extent and nature of an injury?</w:t>
      </w:r>
      <w:r w:rsidRPr="00336412">
        <w:rPr>
          <w:rFonts w:ascii="Times New Roman" w:hAnsi="Times New Roman" w:cs="Times New Roman"/>
          <w:sz w:val="24"/>
          <w:szCs w:val="24"/>
          <w:vertAlign w:val="superscript"/>
        </w:rPr>
        <w:footnoteReference w:id="451"/>
      </w:r>
      <w:r>
        <w:rPr>
          <w:rFonts w:ascii="Times New Roman" w:hAnsi="Times New Roman" w:cs="Times New Roman"/>
          <w:sz w:val="24"/>
          <w:szCs w:val="24"/>
        </w:rPr>
        <w:t xml:space="preserve">  </w:t>
      </w:r>
    </w:p>
    <w:p w14:paraId="7E310E11" w14:textId="77777777" w:rsidR="00FF7482" w:rsidRDefault="00FF7482" w:rsidP="00866700">
      <w:pPr>
        <w:pStyle w:val="ListParagraph"/>
        <w:ind w:left="0" w:firstLine="720"/>
        <w:jc w:val="both"/>
        <w:rPr>
          <w:rFonts w:ascii="Times New Roman" w:hAnsi="Times New Roman" w:cs="Times New Roman"/>
          <w:sz w:val="24"/>
          <w:szCs w:val="24"/>
        </w:rPr>
      </w:pPr>
    </w:p>
    <w:p w14:paraId="0599BFB4" w14:textId="4831B306" w:rsidR="00FF7482" w:rsidRDefault="00FF7482" w:rsidP="001659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w:t>
      </w:r>
      <w:r w:rsidRPr="00F10975">
        <w:rPr>
          <w:rFonts w:ascii="Times New Roman" w:hAnsi="Times New Roman" w:cs="Times New Roman"/>
          <w:i/>
          <w:sz w:val="24"/>
          <w:szCs w:val="24"/>
        </w:rPr>
        <w:t xml:space="preserve">Matter of </w:t>
      </w:r>
      <w:r>
        <w:rPr>
          <w:rFonts w:ascii="Times New Roman" w:hAnsi="Times New Roman" w:cs="Times New Roman"/>
          <w:i/>
          <w:sz w:val="24"/>
          <w:szCs w:val="24"/>
        </w:rPr>
        <w:t>Zielinske</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52"/>
      </w:r>
      <w:r>
        <w:rPr>
          <w:rFonts w:ascii="Times New Roman" w:hAnsi="Times New Roman" w:cs="Times New Roman"/>
          <w:sz w:val="24"/>
          <w:szCs w:val="24"/>
        </w:rPr>
        <w:t xml:space="preserve"> for example, Zielinske, hired as a custodian by a school district in June 1993, began to experience sinus problems and headaches within a month of starting her job.</w:t>
      </w:r>
      <w:r w:rsidRPr="00336412">
        <w:rPr>
          <w:rFonts w:ascii="Times New Roman" w:hAnsi="Times New Roman" w:cs="Times New Roman"/>
          <w:sz w:val="24"/>
          <w:szCs w:val="24"/>
          <w:vertAlign w:val="superscript"/>
        </w:rPr>
        <w:footnoteReference w:id="453"/>
      </w:r>
      <w:r>
        <w:rPr>
          <w:rFonts w:ascii="Times New Roman" w:hAnsi="Times New Roman" w:cs="Times New Roman"/>
          <w:sz w:val="24"/>
          <w:szCs w:val="24"/>
        </w:rPr>
        <w:t xml:space="preserve"> Although she requested and was promised a respiratory mask, one was not provided, and she did not complain again during the subsequent year.</w:t>
      </w:r>
      <w:r w:rsidRPr="00336412">
        <w:rPr>
          <w:rFonts w:ascii="Times New Roman" w:hAnsi="Times New Roman" w:cs="Times New Roman"/>
          <w:sz w:val="24"/>
          <w:szCs w:val="24"/>
          <w:vertAlign w:val="superscript"/>
        </w:rPr>
        <w:footnoteReference w:id="454"/>
      </w:r>
      <w:r>
        <w:rPr>
          <w:rFonts w:ascii="Times New Roman" w:hAnsi="Times New Roman" w:cs="Times New Roman"/>
          <w:sz w:val="24"/>
          <w:szCs w:val="24"/>
        </w:rPr>
        <w:t xml:space="preserve"> While she was plagued with respiratory issues that year, medical treatment providers counseled her that the problems were likely the consequence of working amidst school-aged, germ-transmitting children.</w:t>
      </w:r>
      <w:r w:rsidRPr="00336412">
        <w:rPr>
          <w:rFonts w:ascii="Times New Roman" w:hAnsi="Times New Roman" w:cs="Times New Roman"/>
          <w:sz w:val="24"/>
          <w:szCs w:val="24"/>
          <w:vertAlign w:val="superscript"/>
        </w:rPr>
        <w:footnoteReference w:id="455"/>
      </w:r>
      <w:r>
        <w:rPr>
          <w:rFonts w:ascii="Times New Roman" w:hAnsi="Times New Roman" w:cs="Times New Roman"/>
          <w:sz w:val="24"/>
          <w:szCs w:val="24"/>
        </w:rPr>
        <w:t xml:space="preserve"> Eventually, on June 27, 1994, a physician opined that Zielinske’s problems were probably the result of underlying asthma and work-related exposure to chemicals aggravating the asthma, and that “</w:t>
      </w:r>
      <w:r w:rsidRPr="006F77CF">
        <w:rPr>
          <w:rFonts w:ascii="Times New Roman" w:hAnsi="Times New Roman" w:cs="Times New Roman"/>
          <w:sz w:val="24"/>
          <w:szCs w:val="24"/>
        </w:rPr>
        <w:t>her smoking is playing a significant role in this as well.”</w:t>
      </w:r>
      <w:r w:rsidRPr="00336412">
        <w:rPr>
          <w:rFonts w:ascii="Times New Roman" w:hAnsi="Times New Roman" w:cs="Times New Roman"/>
          <w:sz w:val="24"/>
          <w:szCs w:val="24"/>
          <w:vertAlign w:val="superscript"/>
        </w:rPr>
        <w:footnoteReference w:id="456"/>
      </w:r>
      <w:r>
        <w:rPr>
          <w:rFonts w:ascii="Times New Roman" w:hAnsi="Times New Roman" w:cs="Times New Roman"/>
          <w:sz w:val="24"/>
          <w:szCs w:val="24"/>
        </w:rPr>
        <w:t xml:space="preserve"> From June 27 through July 28, Zielinske apparently deliberately exposed herself to the work chemicals to test their relationship to her condition, possibly exacerbating her asthma.</w:t>
      </w:r>
      <w:r w:rsidRPr="00336412">
        <w:rPr>
          <w:rFonts w:ascii="Times New Roman" w:hAnsi="Times New Roman" w:cs="Times New Roman"/>
          <w:sz w:val="24"/>
          <w:szCs w:val="24"/>
          <w:vertAlign w:val="superscript"/>
        </w:rPr>
        <w:footnoteReference w:id="457"/>
      </w:r>
      <w:r>
        <w:rPr>
          <w:rFonts w:ascii="Times New Roman" w:hAnsi="Times New Roman" w:cs="Times New Roman"/>
          <w:sz w:val="24"/>
          <w:szCs w:val="24"/>
        </w:rPr>
        <w:t xml:space="preserve"> There was conflict in testimony as to whether on July 27 she told her supervisor that her breathing problems were definitively work-related.</w:t>
      </w:r>
      <w:r w:rsidRPr="00336412">
        <w:rPr>
          <w:rFonts w:ascii="Times New Roman" w:hAnsi="Times New Roman" w:cs="Times New Roman"/>
          <w:sz w:val="24"/>
          <w:szCs w:val="24"/>
          <w:vertAlign w:val="superscript"/>
        </w:rPr>
        <w:footnoteReference w:id="458"/>
      </w:r>
      <w:r>
        <w:rPr>
          <w:rFonts w:ascii="Times New Roman" w:hAnsi="Times New Roman" w:cs="Times New Roman"/>
          <w:sz w:val="24"/>
          <w:szCs w:val="24"/>
        </w:rPr>
        <w:t xml:space="preserve"> Eventually, on July 28, conversation between various treating physicians lead to the conclusion that</w:t>
      </w:r>
      <w:r w:rsidRPr="006F77CF">
        <w:rPr>
          <w:rFonts w:ascii="Times New Roman" w:hAnsi="Times New Roman" w:cs="Times New Roman"/>
          <w:sz w:val="24"/>
          <w:szCs w:val="24"/>
        </w:rPr>
        <w:t xml:space="preserve"> </w:t>
      </w:r>
      <w:r>
        <w:rPr>
          <w:rFonts w:ascii="Times New Roman" w:hAnsi="Times New Roman" w:cs="Times New Roman"/>
          <w:sz w:val="24"/>
          <w:szCs w:val="24"/>
        </w:rPr>
        <w:t>the breathing problem was</w:t>
      </w:r>
      <w:r w:rsidRPr="006F77CF">
        <w:rPr>
          <w:rFonts w:ascii="Times New Roman" w:hAnsi="Times New Roman" w:cs="Times New Roman"/>
          <w:sz w:val="24"/>
          <w:szCs w:val="24"/>
        </w:rPr>
        <w:t xml:space="preserve"> </w:t>
      </w:r>
      <w:r>
        <w:rPr>
          <w:rFonts w:ascii="Times New Roman" w:hAnsi="Times New Roman" w:cs="Times New Roman"/>
          <w:sz w:val="24"/>
          <w:szCs w:val="24"/>
        </w:rPr>
        <w:t>“</w:t>
      </w:r>
      <w:r w:rsidRPr="006F77CF">
        <w:rPr>
          <w:rFonts w:ascii="Times New Roman" w:hAnsi="Times New Roman" w:cs="Times New Roman"/>
          <w:sz w:val="24"/>
          <w:szCs w:val="24"/>
        </w:rPr>
        <w:t>a potentially fatal condition and to re-enter the work place with caution.</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59"/>
      </w:r>
      <w:r>
        <w:rPr>
          <w:rFonts w:ascii="Times New Roman" w:hAnsi="Times New Roman" w:cs="Times New Roman"/>
          <w:sz w:val="24"/>
          <w:szCs w:val="24"/>
        </w:rPr>
        <w:t xml:space="preserve"> The physicians reviewed this conclusion with Zielinske on August 4, and she immediately informed her employer.</w:t>
      </w:r>
      <w:r w:rsidRPr="00336412">
        <w:rPr>
          <w:rFonts w:ascii="Times New Roman" w:hAnsi="Times New Roman" w:cs="Times New Roman"/>
          <w:sz w:val="24"/>
          <w:szCs w:val="24"/>
          <w:vertAlign w:val="superscript"/>
        </w:rPr>
        <w:footnoteReference w:id="460"/>
      </w:r>
      <w:r>
        <w:rPr>
          <w:rFonts w:ascii="Times New Roman" w:hAnsi="Times New Roman" w:cs="Times New Roman"/>
          <w:sz w:val="24"/>
          <w:szCs w:val="24"/>
        </w:rPr>
        <w:t xml:space="preserve"> Zielinske resigned immediately thereafter (no work accommodations were possible).</w:t>
      </w:r>
      <w:r w:rsidRPr="00336412">
        <w:rPr>
          <w:rFonts w:ascii="Times New Roman" w:hAnsi="Times New Roman" w:cs="Times New Roman"/>
          <w:sz w:val="24"/>
          <w:szCs w:val="24"/>
          <w:vertAlign w:val="superscript"/>
        </w:rPr>
        <w:footnoteReference w:id="461"/>
      </w:r>
      <w:r>
        <w:rPr>
          <w:rFonts w:ascii="Times New Roman" w:hAnsi="Times New Roman" w:cs="Times New Roman"/>
          <w:sz w:val="24"/>
          <w:szCs w:val="24"/>
        </w:rPr>
        <w:t xml:space="preserve"> She filed a report of injury </w:t>
      </w:r>
      <w:r>
        <w:rPr>
          <w:rFonts w:ascii="Times New Roman" w:hAnsi="Times New Roman" w:cs="Times New Roman"/>
          <w:sz w:val="24"/>
          <w:szCs w:val="24"/>
        </w:rPr>
        <w:lastRenderedPageBreak/>
        <w:t>on August 9, identifying her date of injury as June 7.</w:t>
      </w:r>
      <w:r w:rsidRPr="00336412">
        <w:rPr>
          <w:rFonts w:ascii="Times New Roman" w:hAnsi="Times New Roman" w:cs="Times New Roman"/>
          <w:sz w:val="24"/>
          <w:szCs w:val="24"/>
          <w:vertAlign w:val="superscript"/>
        </w:rPr>
        <w:footnoteReference w:id="462"/>
      </w:r>
      <w:r>
        <w:rPr>
          <w:rFonts w:ascii="Times New Roman" w:hAnsi="Times New Roman" w:cs="Times New Roman"/>
          <w:sz w:val="24"/>
          <w:szCs w:val="24"/>
        </w:rPr>
        <w:t xml:space="preserve"> Her school district-employer objected to the claim, the matter went to hearing, and a hearing examiner rejected the claim, at least partly because of “</w:t>
      </w:r>
      <w:r w:rsidRPr="006F77CF">
        <w:rPr>
          <w:rFonts w:ascii="Times New Roman" w:hAnsi="Times New Roman" w:cs="Times New Roman"/>
          <w:sz w:val="24"/>
          <w:szCs w:val="24"/>
        </w:rPr>
        <w:t xml:space="preserve">finding that Zielinske had not timely filed; </w:t>
      </w:r>
      <w:r>
        <w:rPr>
          <w:rFonts w:ascii="Times New Roman" w:hAnsi="Times New Roman" w:cs="Times New Roman"/>
          <w:sz w:val="24"/>
          <w:szCs w:val="24"/>
        </w:rPr>
        <w:t xml:space="preserve">[and] </w:t>
      </w:r>
      <w:r w:rsidRPr="006F77CF">
        <w:rPr>
          <w:rFonts w:ascii="Times New Roman" w:hAnsi="Times New Roman" w:cs="Times New Roman"/>
          <w:sz w:val="24"/>
          <w:szCs w:val="24"/>
        </w:rPr>
        <w:t>she had failed to rebut by clear and convincing evidence the statutory presumption that her claim should be denied</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63"/>
      </w:r>
    </w:p>
    <w:p w14:paraId="6ED65F2F" w14:textId="310E77CD" w:rsidR="00FF7482" w:rsidRDefault="00FF7482" w:rsidP="00866700">
      <w:pPr>
        <w:pStyle w:val="ListParagraph"/>
        <w:ind w:left="0" w:firstLine="720"/>
        <w:jc w:val="both"/>
        <w:rPr>
          <w:rFonts w:ascii="Times New Roman" w:hAnsi="Times New Roman" w:cs="Times New Roman"/>
          <w:sz w:val="24"/>
          <w:szCs w:val="24"/>
        </w:rPr>
      </w:pPr>
    </w:p>
    <w:p w14:paraId="1316B257" w14:textId="34233375" w:rsidR="00FF7482" w:rsidRDefault="00FF7482" w:rsidP="00FD06AA">
      <w:pPr>
        <w:pStyle w:val="ListParagraph"/>
        <w:ind w:left="0"/>
        <w:jc w:val="both"/>
        <w:rPr>
          <w:rFonts w:ascii="Times New Roman" w:hAnsi="Times New Roman" w:cs="Times New Roman"/>
          <w:sz w:val="24"/>
          <w:szCs w:val="24"/>
        </w:rPr>
      </w:pPr>
      <w:r>
        <w:rPr>
          <w:rFonts w:ascii="Times New Roman" w:hAnsi="Times New Roman" w:cs="Times New Roman"/>
          <w:sz w:val="24"/>
          <w:szCs w:val="24"/>
        </w:rPr>
        <w:t>On appeal to the Wyoming Supreme Court, Zielinske argued that “</w:t>
      </w:r>
      <w:r w:rsidRPr="006F77CF">
        <w:rPr>
          <w:rFonts w:ascii="Times New Roman" w:hAnsi="Times New Roman" w:cs="Times New Roman"/>
          <w:sz w:val="24"/>
          <w:szCs w:val="24"/>
        </w:rPr>
        <w:t xml:space="preserve">she timely reported her injury because her condition was not </w:t>
      </w:r>
      <w:r>
        <w:rPr>
          <w:rFonts w:ascii="Times New Roman" w:hAnsi="Times New Roman" w:cs="Times New Roman"/>
          <w:sz w:val="24"/>
          <w:szCs w:val="24"/>
        </w:rPr>
        <w:t>‘</w:t>
      </w:r>
      <w:r w:rsidRPr="006F77CF">
        <w:rPr>
          <w:rFonts w:ascii="Times New Roman" w:hAnsi="Times New Roman" w:cs="Times New Roman"/>
          <w:sz w:val="24"/>
          <w:szCs w:val="24"/>
        </w:rPr>
        <w:t>properly diagnosed</w:t>
      </w:r>
      <w:r>
        <w:rPr>
          <w:rFonts w:ascii="Times New Roman" w:hAnsi="Times New Roman" w:cs="Times New Roman"/>
          <w:sz w:val="24"/>
          <w:szCs w:val="24"/>
        </w:rPr>
        <w:t>’</w:t>
      </w:r>
      <w:r w:rsidRPr="006F77CF">
        <w:rPr>
          <w:rFonts w:ascii="Times New Roman" w:hAnsi="Times New Roman" w:cs="Times New Roman"/>
          <w:sz w:val="24"/>
          <w:szCs w:val="24"/>
        </w:rPr>
        <w:t xml:space="preserve"> until she received the final diagnosis on August 4, 1994.</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64"/>
      </w:r>
      <w:r>
        <w:rPr>
          <w:rFonts w:ascii="Times New Roman" w:hAnsi="Times New Roman" w:cs="Times New Roman"/>
          <w:sz w:val="24"/>
          <w:szCs w:val="24"/>
        </w:rPr>
        <w:t xml:space="preserve"> The Court rejected the argument because </w:t>
      </w:r>
      <w:r w:rsidRPr="006F77CF">
        <w:rPr>
          <w:rFonts w:ascii="Times New Roman" w:hAnsi="Times New Roman" w:cs="Times New Roman"/>
          <w:sz w:val="24"/>
          <w:szCs w:val="24"/>
        </w:rPr>
        <w:t xml:space="preserve">Zielinske began to suspect that her condition </w:t>
      </w:r>
      <w:r>
        <w:rPr>
          <w:rFonts w:ascii="Times New Roman" w:hAnsi="Times New Roman" w:cs="Times New Roman"/>
          <w:sz w:val="24"/>
          <w:szCs w:val="24"/>
        </w:rPr>
        <w:t>might</w:t>
      </w:r>
      <w:r w:rsidRPr="006F77CF">
        <w:rPr>
          <w:rFonts w:ascii="Times New Roman" w:hAnsi="Times New Roman" w:cs="Times New Roman"/>
          <w:sz w:val="24"/>
          <w:szCs w:val="24"/>
        </w:rPr>
        <w:t xml:space="preserve"> be related to her work as early as June 1993</w:t>
      </w:r>
      <w:r>
        <w:rPr>
          <w:rFonts w:ascii="Times New Roman" w:hAnsi="Times New Roman" w:cs="Times New Roman"/>
          <w:sz w:val="24"/>
          <w:szCs w:val="24"/>
        </w:rPr>
        <w:t xml:space="preserve">, and then </w:t>
      </w:r>
      <w:r w:rsidRPr="006F77CF">
        <w:rPr>
          <w:rFonts w:ascii="Times New Roman" w:hAnsi="Times New Roman" w:cs="Times New Roman"/>
          <w:sz w:val="24"/>
          <w:szCs w:val="24"/>
        </w:rPr>
        <w:t>proceeded with a treatment specifically designed to establish the connection between her work and her injury</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65"/>
      </w:r>
      <w:r>
        <w:rPr>
          <w:rFonts w:ascii="Times New Roman" w:hAnsi="Times New Roman" w:cs="Times New Roman"/>
          <w:sz w:val="24"/>
          <w:szCs w:val="24"/>
        </w:rPr>
        <w:t xml:space="preserve"> This suspicion, according to the Court, provided </w:t>
      </w:r>
      <w:r w:rsidRPr="006F77CF">
        <w:rPr>
          <w:rFonts w:ascii="Times New Roman" w:hAnsi="Times New Roman" w:cs="Times New Roman"/>
          <w:sz w:val="24"/>
          <w:szCs w:val="24"/>
        </w:rPr>
        <w:t>sufficient</w:t>
      </w:r>
      <w:r>
        <w:rPr>
          <w:rFonts w:ascii="Times New Roman" w:hAnsi="Times New Roman" w:cs="Times New Roman"/>
          <w:sz w:val="24"/>
          <w:szCs w:val="24"/>
        </w:rPr>
        <w:t xml:space="preserve"> evidence</w:t>
      </w:r>
      <w:r w:rsidRPr="006F77CF">
        <w:rPr>
          <w:rFonts w:ascii="Times New Roman" w:hAnsi="Times New Roman" w:cs="Times New Roman"/>
          <w:sz w:val="24"/>
          <w:szCs w:val="24"/>
        </w:rPr>
        <w:t xml:space="preserve"> to support the hearing examiner's conclusion that Zielinske had knowledge, on June 27, that </w:t>
      </w:r>
      <w:r>
        <w:rPr>
          <w:rFonts w:ascii="Times New Roman" w:hAnsi="Times New Roman" w:cs="Times New Roman"/>
          <w:sz w:val="24"/>
          <w:szCs w:val="24"/>
        </w:rPr>
        <w:t>“</w:t>
      </w:r>
      <w:r w:rsidRPr="006F77CF">
        <w:rPr>
          <w:rFonts w:ascii="Times New Roman" w:hAnsi="Times New Roman" w:cs="Times New Roman"/>
          <w:sz w:val="24"/>
          <w:szCs w:val="24"/>
        </w:rPr>
        <w:t xml:space="preserve">her respiratory problems </w:t>
      </w:r>
      <w:r w:rsidRPr="003C5B06">
        <w:rPr>
          <w:rFonts w:ascii="Times New Roman" w:hAnsi="Times New Roman" w:cs="Times New Roman"/>
          <w:b/>
          <w:sz w:val="24"/>
          <w:szCs w:val="24"/>
        </w:rPr>
        <w:t>were a condition which could result in, or was likely to cause, a compensable injury</w:t>
      </w:r>
      <w:r w:rsidRPr="006F77CF">
        <w:rPr>
          <w:rFonts w:ascii="Times New Roman" w:hAnsi="Times New Roman" w:cs="Times New Roman"/>
          <w:sz w:val="24"/>
          <w:szCs w:val="24"/>
        </w:rPr>
        <w: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66"/>
      </w:r>
    </w:p>
    <w:p w14:paraId="4FAE7050" w14:textId="72177D4F" w:rsidR="00FF7482" w:rsidRDefault="00FF7482" w:rsidP="00866700">
      <w:pPr>
        <w:pStyle w:val="ListParagraph"/>
        <w:ind w:left="0" w:firstLine="720"/>
        <w:jc w:val="both"/>
        <w:rPr>
          <w:rFonts w:ascii="Times New Roman" w:hAnsi="Times New Roman" w:cs="Times New Roman"/>
          <w:sz w:val="24"/>
          <w:szCs w:val="24"/>
        </w:rPr>
      </w:pPr>
    </w:p>
    <w:p w14:paraId="0A2F2E26" w14:textId="283BA956" w:rsidR="00FF7482" w:rsidRDefault="00FF7482" w:rsidP="00502ECF">
      <w:pPr>
        <w:pStyle w:val="ListParagraph"/>
        <w:ind w:left="0"/>
        <w:jc w:val="both"/>
        <w:rPr>
          <w:rFonts w:ascii="Times New Roman" w:hAnsi="Times New Roman" w:cs="Times New Roman"/>
          <w:sz w:val="24"/>
          <w:szCs w:val="24"/>
        </w:rPr>
      </w:pPr>
      <w:r w:rsidRPr="00574CD7">
        <w:rPr>
          <w:rFonts w:ascii="Times New Roman" w:hAnsi="Times New Roman" w:cs="Times New Roman"/>
          <w:b/>
          <w:bCs/>
          <w:sz w:val="24"/>
          <w:szCs w:val="24"/>
        </w:rPr>
        <w:t>The “</w:t>
      </w:r>
      <w:r w:rsidRPr="00574CD7">
        <w:rPr>
          <w:rFonts w:ascii="Times New Roman" w:hAnsi="Times New Roman" w:cs="Times New Roman"/>
          <w:b/>
          <w:bCs/>
          <w:i/>
          <w:sz w:val="24"/>
          <w:szCs w:val="24"/>
        </w:rPr>
        <w:t>could result in, or is likely to cause, a compensable injury</w:t>
      </w:r>
      <w:r w:rsidRPr="00574CD7">
        <w:rPr>
          <w:rFonts w:ascii="Times New Roman" w:hAnsi="Times New Roman" w:cs="Times New Roman"/>
          <w:b/>
          <w:bCs/>
          <w:sz w:val="24"/>
          <w:szCs w:val="24"/>
        </w:rPr>
        <w:t>” standard seems in practice a difficult one to apply</w:t>
      </w:r>
      <w:r>
        <w:rPr>
          <w:rFonts w:ascii="Times New Roman" w:hAnsi="Times New Roman" w:cs="Times New Roman"/>
          <w:sz w:val="24"/>
          <w:szCs w:val="24"/>
        </w:rPr>
        <w:t>. Just how much must an employee know about an injury, and its possible relationship to work, before it becomes unreasonable for the employee not to report the injury to her employer?</w:t>
      </w:r>
    </w:p>
    <w:p w14:paraId="7EC06498" w14:textId="35E00C36" w:rsidR="00FF7482" w:rsidRDefault="00FF7482" w:rsidP="00866700">
      <w:pPr>
        <w:pStyle w:val="ListParagraph"/>
        <w:ind w:left="0" w:firstLine="720"/>
        <w:jc w:val="both"/>
        <w:rPr>
          <w:rFonts w:ascii="Times New Roman" w:hAnsi="Times New Roman" w:cs="Times New Roman"/>
          <w:sz w:val="24"/>
          <w:szCs w:val="24"/>
        </w:rPr>
      </w:pPr>
    </w:p>
    <w:p w14:paraId="6F414A28" w14:textId="0DC79E56" w:rsidR="00FF7482" w:rsidRDefault="00FF7482" w:rsidP="009F103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issue resurfaced at the Court </w:t>
      </w:r>
      <w:bookmarkStart w:id="651" w:name="_Hlk521257024"/>
      <w:r>
        <w:rPr>
          <w:rFonts w:ascii="Times New Roman" w:hAnsi="Times New Roman" w:cs="Times New Roman"/>
          <w:sz w:val="24"/>
          <w:szCs w:val="24"/>
        </w:rPr>
        <w:t xml:space="preserve">in </w:t>
      </w:r>
      <w:r w:rsidRPr="003C5B06">
        <w:rPr>
          <w:rFonts w:ascii="Times New Roman" w:hAnsi="Times New Roman" w:cs="Times New Roman"/>
          <w:i/>
          <w:sz w:val="24"/>
          <w:szCs w:val="24"/>
        </w:rPr>
        <w:t>Blommel v. Dep</w:t>
      </w:r>
      <w:r>
        <w:rPr>
          <w:rFonts w:ascii="Times New Roman" w:hAnsi="Times New Roman" w:cs="Times New Roman"/>
          <w:i/>
          <w:sz w:val="24"/>
          <w:szCs w:val="24"/>
        </w:rPr>
        <w:t>t.</w:t>
      </w:r>
      <w:r w:rsidRPr="003C5B06">
        <w:rPr>
          <w:rFonts w:ascii="Times New Roman" w:hAnsi="Times New Roman" w:cs="Times New Roman"/>
          <w:i/>
          <w:sz w:val="24"/>
          <w:szCs w:val="24"/>
        </w:rPr>
        <w:t xml:space="preserve"> Of Employment, Div</w:t>
      </w:r>
      <w:r>
        <w:rPr>
          <w:rFonts w:ascii="Times New Roman" w:hAnsi="Times New Roman" w:cs="Times New Roman"/>
          <w:i/>
          <w:sz w:val="24"/>
          <w:szCs w:val="24"/>
        </w:rPr>
        <w:t>.</w:t>
      </w:r>
      <w:r w:rsidRPr="003C5B06">
        <w:rPr>
          <w:rFonts w:ascii="Times New Roman" w:hAnsi="Times New Roman" w:cs="Times New Roman"/>
          <w:i/>
          <w:sz w:val="24"/>
          <w:szCs w:val="24"/>
        </w:rPr>
        <w:t xml:space="preserve"> </w:t>
      </w:r>
      <w:r>
        <w:rPr>
          <w:rFonts w:ascii="Times New Roman" w:hAnsi="Times New Roman" w:cs="Times New Roman"/>
          <w:i/>
          <w:sz w:val="24"/>
          <w:szCs w:val="24"/>
        </w:rPr>
        <w:t>o</w:t>
      </w:r>
      <w:r w:rsidRPr="003C5B06">
        <w:rPr>
          <w:rFonts w:ascii="Times New Roman" w:hAnsi="Times New Roman" w:cs="Times New Roman"/>
          <w:i/>
          <w:sz w:val="24"/>
          <w:szCs w:val="24"/>
        </w:rPr>
        <w:t xml:space="preserve">f Workers' Safety </w:t>
      </w:r>
      <w:r>
        <w:rPr>
          <w:rFonts w:ascii="Times New Roman" w:hAnsi="Times New Roman" w:cs="Times New Roman"/>
          <w:i/>
          <w:sz w:val="24"/>
          <w:szCs w:val="24"/>
        </w:rPr>
        <w:t>&amp;</w:t>
      </w:r>
      <w:r w:rsidRPr="003C5B06">
        <w:rPr>
          <w:rFonts w:ascii="Times New Roman" w:hAnsi="Times New Roman" w:cs="Times New Roman"/>
          <w:i/>
          <w:sz w:val="24"/>
          <w:szCs w:val="24"/>
        </w:rPr>
        <w:t xml:space="preserve"> Compensation</w:t>
      </w:r>
      <w:bookmarkEnd w:id="651"/>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67"/>
      </w:r>
      <w:r>
        <w:rPr>
          <w:rFonts w:ascii="Times New Roman" w:hAnsi="Times New Roman" w:cs="Times New Roman"/>
          <w:sz w:val="24"/>
          <w:szCs w:val="24"/>
        </w:rPr>
        <w:t xml:space="preserve"> In that case, a lumber stacker s</w:t>
      </w:r>
      <w:r w:rsidRPr="003C5B06">
        <w:rPr>
          <w:rFonts w:ascii="Times New Roman" w:hAnsi="Times New Roman" w:cs="Times New Roman"/>
          <w:sz w:val="24"/>
          <w:szCs w:val="24"/>
        </w:rPr>
        <w:t>aw a physician</w:t>
      </w:r>
      <w:r>
        <w:rPr>
          <w:rFonts w:ascii="Times New Roman" w:hAnsi="Times New Roman" w:cs="Times New Roman"/>
          <w:sz w:val="24"/>
          <w:szCs w:val="24"/>
        </w:rPr>
        <w:t>’</w:t>
      </w:r>
      <w:r w:rsidRPr="003C5B06">
        <w:rPr>
          <w:rFonts w:ascii="Times New Roman" w:hAnsi="Times New Roman" w:cs="Times New Roman"/>
          <w:sz w:val="24"/>
          <w:szCs w:val="24"/>
        </w:rPr>
        <w:t>s assistant for shoulder pain</w:t>
      </w:r>
      <w:r>
        <w:rPr>
          <w:rFonts w:ascii="Times New Roman" w:hAnsi="Times New Roman" w:cs="Times New Roman"/>
          <w:sz w:val="24"/>
          <w:szCs w:val="24"/>
        </w:rPr>
        <w:t xml:space="preserve">, </w:t>
      </w:r>
      <w:r w:rsidRPr="003C5B06">
        <w:rPr>
          <w:rFonts w:ascii="Times New Roman" w:hAnsi="Times New Roman" w:cs="Times New Roman"/>
          <w:sz w:val="24"/>
          <w:szCs w:val="24"/>
        </w:rPr>
        <w:t>was referred to an orthopedic surgeon</w:t>
      </w:r>
      <w:r>
        <w:rPr>
          <w:rFonts w:ascii="Times New Roman" w:hAnsi="Times New Roman" w:cs="Times New Roman"/>
          <w:sz w:val="24"/>
          <w:szCs w:val="24"/>
        </w:rPr>
        <w:t>, and</w:t>
      </w:r>
      <w:r w:rsidRPr="003C5B06">
        <w:rPr>
          <w:rFonts w:ascii="Times New Roman" w:hAnsi="Times New Roman" w:cs="Times New Roman"/>
          <w:sz w:val="24"/>
          <w:szCs w:val="24"/>
        </w:rPr>
        <w:t xml:space="preserve"> made an appointment to see the surgeon on August 23. On July 10, she told her supervisor that she was experiencing pain in her right shoulder.</w:t>
      </w:r>
      <w:r w:rsidRPr="00336412">
        <w:rPr>
          <w:rFonts w:ascii="Times New Roman" w:hAnsi="Times New Roman" w:cs="Times New Roman"/>
          <w:sz w:val="24"/>
          <w:szCs w:val="24"/>
          <w:vertAlign w:val="superscript"/>
        </w:rPr>
        <w:footnoteReference w:id="468"/>
      </w:r>
      <w:r>
        <w:rPr>
          <w:rFonts w:ascii="Times New Roman" w:hAnsi="Times New Roman" w:cs="Times New Roman"/>
          <w:sz w:val="24"/>
          <w:szCs w:val="24"/>
        </w:rPr>
        <w:t xml:space="preserve"> </w:t>
      </w:r>
      <w:r w:rsidRPr="003C5B06">
        <w:rPr>
          <w:rFonts w:ascii="Times New Roman" w:hAnsi="Times New Roman" w:cs="Times New Roman"/>
          <w:sz w:val="24"/>
          <w:szCs w:val="24"/>
        </w:rPr>
        <w:t xml:space="preserve">On July 29, </w:t>
      </w:r>
      <w:r>
        <w:rPr>
          <w:rFonts w:ascii="Times New Roman" w:hAnsi="Times New Roman" w:cs="Times New Roman"/>
          <w:sz w:val="24"/>
          <w:szCs w:val="24"/>
        </w:rPr>
        <w:t xml:space="preserve">she </w:t>
      </w:r>
      <w:r w:rsidRPr="003C5B06">
        <w:rPr>
          <w:rFonts w:ascii="Times New Roman" w:hAnsi="Times New Roman" w:cs="Times New Roman"/>
          <w:sz w:val="24"/>
          <w:szCs w:val="24"/>
        </w:rPr>
        <w:t>informed</w:t>
      </w:r>
      <w:r>
        <w:rPr>
          <w:rFonts w:ascii="Times New Roman" w:hAnsi="Times New Roman" w:cs="Times New Roman"/>
          <w:sz w:val="24"/>
          <w:szCs w:val="24"/>
        </w:rPr>
        <w:t xml:space="preserve"> her employer’s</w:t>
      </w:r>
      <w:r w:rsidRPr="003C5B06">
        <w:rPr>
          <w:rFonts w:ascii="Times New Roman" w:hAnsi="Times New Roman" w:cs="Times New Roman"/>
          <w:sz w:val="24"/>
          <w:szCs w:val="24"/>
        </w:rPr>
        <w:t xml:space="preserve"> human resources manager that she was quitting her job due to shoulder pain.</w:t>
      </w:r>
      <w:r w:rsidRPr="00336412">
        <w:rPr>
          <w:rFonts w:ascii="Times New Roman" w:hAnsi="Times New Roman" w:cs="Times New Roman"/>
          <w:sz w:val="24"/>
          <w:szCs w:val="24"/>
          <w:vertAlign w:val="superscript"/>
        </w:rPr>
        <w:footnoteReference w:id="469"/>
      </w:r>
      <w:r w:rsidRPr="003C5B06">
        <w:rPr>
          <w:rFonts w:ascii="Times New Roman" w:hAnsi="Times New Roman" w:cs="Times New Roman"/>
          <w:sz w:val="24"/>
          <w:szCs w:val="24"/>
        </w:rPr>
        <w:t xml:space="preserve"> On August 23, Blommel went to her</w:t>
      </w:r>
      <w:r>
        <w:rPr>
          <w:rFonts w:ascii="Times New Roman" w:hAnsi="Times New Roman" w:cs="Times New Roman"/>
          <w:sz w:val="24"/>
          <w:szCs w:val="24"/>
        </w:rPr>
        <w:t xml:space="preserve"> planned</w:t>
      </w:r>
      <w:r w:rsidRPr="003C5B06">
        <w:rPr>
          <w:rFonts w:ascii="Times New Roman" w:hAnsi="Times New Roman" w:cs="Times New Roman"/>
          <w:sz w:val="24"/>
          <w:szCs w:val="24"/>
        </w:rPr>
        <w:t xml:space="preserve"> appointment with the orthopedic surgeon</w:t>
      </w:r>
      <w:r>
        <w:rPr>
          <w:rFonts w:ascii="Times New Roman" w:hAnsi="Times New Roman" w:cs="Times New Roman"/>
          <w:sz w:val="24"/>
          <w:szCs w:val="24"/>
        </w:rPr>
        <w:t>,</w:t>
      </w:r>
      <w:r w:rsidRPr="003C5B06">
        <w:rPr>
          <w:rFonts w:ascii="Times New Roman" w:hAnsi="Times New Roman" w:cs="Times New Roman"/>
          <w:sz w:val="24"/>
          <w:szCs w:val="24"/>
        </w:rPr>
        <w:t xml:space="preserve"> who diagnosed a rotator cuff tear.</w:t>
      </w:r>
      <w:r w:rsidRPr="00336412">
        <w:rPr>
          <w:rFonts w:ascii="Times New Roman" w:hAnsi="Times New Roman" w:cs="Times New Roman"/>
          <w:sz w:val="24"/>
          <w:szCs w:val="24"/>
          <w:vertAlign w:val="superscript"/>
        </w:rPr>
        <w:footnoteReference w:id="470"/>
      </w:r>
      <w:r w:rsidRPr="003C5B06">
        <w:rPr>
          <w:rFonts w:ascii="Times New Roman" w:hAnsi="Times New Roman" w:cs="Times New Roman"/>
          <w:sz w:val="24"/>
          <w:szCs w:val="24"/>
        </w:rPr>
        <w:t xml:space="preserve"> Three days later, she reported the injury to </w:t>
      </w:r>
      <w:r>
        <w:rPr>
          <w:rFonts w:ascii="Times New Roman" w:hAnsi="Times New Roman" w:cs="Times New Roman"/>
          <w:sz w:val="24"/>
          <w:szCs w:val="24"/>
        </w:rPr>
        <w:t>her now former employer’s</w:t>
      </w:r>
      <w:r w:rsidRPr="003C5B06">
        <w:rPr>
          <w:rFonts w:ascii="Times New Roman" w:hAnsi="Times New Roman" w:cs="Times New Roman"/>
          <w:sz w:val="24"/>
          <w:szCs w:val="24"/>
        </w:rPr>
        <w:t xml:space="preserve"> human resources manager.</w:t>
      </w:r>
      <w:r w:rsidRPr="00336412">
        <w:rPr>
          <w:rFonts w:ascii="Times New Roman" w:hAnsi="Times New Roman" w:cs="Times New Roman"/>
          <w:sz w:val="24"/>
          <w:szCs w:val="24"/>
          <w:vertAlign w:val="superscript"/>
        </w:rPr>
        <w:footnoteReference w:id="471"/>
      </w:r>
      <w:r w:rsidRPr="003C5B06">
        <w:rPr>
          <w:rFonts w:ascii="Times New Roman" w:hAnsi="Times New Roman" w:cs="Times New Roman"/>
          <w:sz w:val="24"/>
          <w:szCs w:val="24"/>
        </w:rPr>
        <w:t xml:space="preserve"> On August 27, </w:t>
      </w:r>
      <w:r>
        <w:rPr>
          <w:rFonts w:ascii="Times New Roman" w:hAnsi="Times New Roman" w:cs="Times New Roman"/>
          <w:sz w:val="24"/>
          <w:szCs w:val="24"/>
        </w:rPr>
        <w:t xml:space="preserve">she </w:t>
      </w:r>
      <w:r w:rsidRPr="003C5B06">
        <w:rPr>
          <w:rFonts w:ascii="Times New Roman" w:hAnsi="Times New Roman" w:cs="Times New Roman"/>
          <w:sz w:val="24"/>
          <w:szCs w:val="24"/>
        </w:rPr>
        <w:t xml:space="preserve">filed a report of injury with the Division, listing the date of injury </w:t>
      </w:r>
      <w:r w:rsidRPr="003C5B06">
        <w:rPr>
          <w:rFonts w:ascii="Times New Roman" w:hAnsi="Times New Roman" w:cs="Times New Roman"/>
          <w:sz w:val="24"/>
          <w:szCs w:val="24"/>
        </w:rPr>
        <w:lastRenderedPageBreak/>
        <w:t>as July 9.</w:t>
      </w:r>
      <w:r w:rsidRPr="00336412">
        <w:rPr>
          <w:rFonts w:ascii="Times New Roman" w:hAnsi="Times New Roman" w:cs="Times New Roman"/>
          <w:sz w:val="24"/>
          <w:szCs w:val="24"/>
          <w:vertAlign w:val="superscript"/>
        </w:rPr>
        <w:footnoteReference w:id="472"/>
      </w:r>
      <w:r>
        <w:rPr>
          <w:rFonts w:ascii="Times New Roman" w:hAnsi="Times New Roman" w:cs="Times New Roman"/>
          <w:sz w:val="24"/>
          <w:szCs w:val="24"/>
        </w:rPr>
        <w:t xml:space="preserve"> The Division denied benefits and at hearing argued (among other things) that </w:t>
      </w:r>
      <w:r w:rsidRPr="003C5B06">
        <w:rPr>
          <w:rFonts w:ascii="Times New Roman" w:hAnsi="Times New Roman" w:cs="Times New Roman"/>
          <w:sz w:val="24"/>
          <w:szCs w:val="24"/>
        </w:rPr>
        <w:t>Blommel did not make a timely report of her injury.</w:t>
      </w:r>
      <w:r w:rsidRPr="00336412">
        <w:rPr>
          <w:rFonts w:ascii="Times New Roman" w:hAnsi="Times New Roman" w:cs="Times New Roman"/>
          <w:sz w:val="24"/>
          <w:szCs w:val="24"/>
          <w:vertAlign w:val="superscript"/>
        </w:rPr>
        <w:footnoteReference w:id="473"/>
      </w:r>
      <w:r>
        <w:rPr>
          <w:rFonts w:ascii="Times New Roman" w:hAnsi="Times New Roman" w:cs="Times New Roman"/>
          <w:sz w:val="24"/>
          <w:szCs w:val="24"/>
        </w:rPr>
        <w:t xml:space="preserve"> </w:t>
      </w:r>
      <w:r w:rsidRPr="003C5B06">
        <w:rPr>
          <w:rFonts w:ascii="Times New Roman" w:hAnsi="Times New Roman" w:cs="Times New Roman"/>
          <w:sz w:val="24"/>
          <w:szCs w:val="24"/>
        </w:rPr>
        <w:t>The hearing examiner denied benefits, finding</w:t>
      </w:r>
      <w:r>
        <w:rPr>
          <w:rFonts w:ascii="Times New Roman" w:hAnsi="Times New Roman" w:cs="Times New Roman"/>
          <w:sz w:val="24"/>
          <w:szCs w:val="24"/>
        </w:rPr>
        <w:t>, among other things,</w:t>
      </w:r>
      <w:r w:rsidRPr="003C5B06">
        <w:rPr>
          <w:rFonts w:ascii="Times New Roman" w:hAnsi="Times New Roman" w:cs="Times New Roman"/>
          <w:sz w:val="24"/>
          <w:szCs w:val="24"/>
        </w:rPr>
        <w:t xml:space="preserve"> that her report of injury was untimely because “it was reasonably apparent to [Blommel] at the time she quit her job</w:t>
      </w:r>
      <w:r>
        <w:rPr>
          <w:rFonts w:ascii="Times New Roman" w:hAnsi="Times New Roman" w:cs="Times New Roman"/>
          <w:sz w:val="24"/>
          <w:szCs w:val="24"/>
        </w:rPr>
        <w:t xml:space="preserve"> . . . </w:t>
      </w:r>
      <w:r w:rsidRPr="003C5B06">
        <w:rPr>
          <w:rFonts w:ascii="Times New Roman" w:hAnsi="Times New Roman" w:cs="Times New Roman"/>
          <w:sz w:val="24"/>
          <w:szCs w:val="24"/>
        </w:rPr>
        <w:t>on or about July [29], 2002, that she was suffering from a shoulder condition which she attributed to a work place injury.”</w:t>
      </w:r>
      <w:r w:rsidRPr="00336412">
        <w:rPr>
          <w:rFonts w:ascii="Times New Roman" w:hAnsi="Times New Roman" w:cs="Times New Roman"/>
          <w:sz w:val="24"/>
          <w:szCs w:val="24"/>
          <w:vertAlign w:val="superscript"/>
        </w:rPr>
        <w:footnoteReference w:id="474"/>
      </w:r>
      <w:r w:rsidRPr="003C5B06">
        <w:rPr>
          <w:rFonts w:ascii="Times New Roman" w:hAnsi="Times New Roman" w:cs="Times New Roman"/>
          <w:sz w:val="24"/>
          <w:szCs w:val="24"/>
        </w:rPr>
        <w:t xml:space="preserve"> The district court</w:t>
      </w:r>
      <w:r>
        <w:rPr>
          <w:rFonts w:ascii="Times New Roman" w:hAnsi="Times New Roman" w:cs="Times New Roman"/>
          <w:sz w:val="24"/>
          <w:szCs w:val="24"/>
        </w:rPr>
        <w:t xml:space="preserve"> </w:t>
      </w:r>
      <w:r w:rsidRPr="003C5B06">
        <w:rPr>
          <w:rFonts w:ascii="Times New Roman" w:hAnsi="Times New Roman" w:cs="Times New Roman"/>
          <w:sz w:val="24"/>
          <w:szCs w:val="24"/>
        </w:rPr>
        <w:t>affirmed the denial of benefits.</w:t>
      </w:r>
      <w:r w:rsidRPr="00336412">
        <w:rPr>
          <w:rFonts w:ascii="Times New Roman" w:hAnsi="Times New Roman" w:cs="Times New Roman"/>
          <w:sz w:val="24"/>
          <w:szCs w:val="24"/>
          <w:vertAlign w:val="superscript"/>
        </w:rPr>
        <w:footnoteReference w:id="475"/>
      </w:r>
    </w:p>
    <w:p w14:paraId="60B458AE" w14:textId="01BAE282" w:rsidR="00FF7482" w:rsidRDefault="00FF7482" w:rsidP="003C5B06">
      <w:pPr>
        <w:pStyle w:val="ListParagraph"/>
        <w:ind w:left="0" w:firstLine="720"/>
        <w:jc w:val="both"/>
        <w:rPr>
          <w:rFonts w:ascii="Times New Roman" w:hAnsi="Times New Roman" w:cs="Times New Roman"/>
          <w:sz w:val="24"/>
          <w:szCs w:val="24"/>
        </w:rPr>
      </w:pPr>
    </w:p>
    <w:p w14:paraId="799039CA" w14:textId="16C62AE7" w:rsidR="00FF7482" w:rsidRDefault="00FF7482" w:rsidP="00EB11C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Wyoming Supreme Court reversed. The Court quoted from its prior opinion in </w:t>
      </w:r>
      <w:r w:rsidRPr="003C5B06">
        <w:rPr>
          <w:rFonts w:ascii="Times New Roman" w:hAnsi="Times New Roman" w:cs="Times New Roman"/>
          <w:i/>
          <w:sz w:val="24"/>
          <w:szCs w:val="24"/>
        </w:rPr>
        <w:t>Iverson v. Frost Constr</w:t>
      </w:r>
      <w:r w:rsidRPr="003C5B06">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76"/>
      </w:r>
      <w:r>
        <w:rPr>
          <w:rFonts w:ascii="Times New Roman" w:hAnsi="Times New Roman" w:cs="Times New Roman"/>
          <w:sz w:val="24"/>
          <w:szCs w:val="24"/>
        </w:rPr>
        <w:t>:</w:t>
      </w:r>
    </w:p>
    <w:p w14:paraId="4368AACB" w14:textId="216D00B2" w:rsidR="00FF7482" w:rsidRDefault="00FF7482" w:rsidP="003C5B06">
      <w:pPr>
        <w:pStyle w:val="ListParagraph"/>
        <w:ind w:left="0" w:firstLine="720"/>
        <w:jc w:val="both"/>
        <w:rPr>
          <w:rFonts w:ascii="Times New Roman" w:hAnsi="Times New Roman" w:cs="Times New Roman"/>
          <w:sz w:val="24"/>
          <w:szCs w:val="24"/>
        </w:rPr>
      </w:pPr>
    </w:p>
    <w:p w14:paraId="6DC0630F" w14:textId="027D0218" w:rsidR="00FF7482" w:rsidRDefault="00FF7482" w:rsidP="00722E68">
      <w:pPr>
        <w:pStyle w:val="ListParagraph"/>
        <w:ind w:right="720"/>
        <w:jc w:val="both"/>
        <w:rPr>
          <w:rFonts w:ascii="Times New Roman" w:hAnsi="Times New Roman" w:cs="Times New Roman"/>
          <w:sz w:val="24"/>
          <w:szCs w:val="24"/>
        </w:rPr>
      </w:pPr>
      <w:r w:rsidRPr="003C5B06">
        <w:rPr>
          <w:rFonts w:ascii="Times New Roman" w:hAnsi="Times New Roman" w:cs="Times New Roman"/>
          <w:sz w:val="24"/>
          <w:szCs w:val="24"/>
        </w:rPr>
        <w:t xml:space="preserve">Our law on determining the date of a compensable injury is well-established. We have consistently held that when a </w:t>
      </w:r>
      <w:r w:rsidRPr="003C5B06">
        <w:rPr>
          <w:rFonts w:ascii="Times New Roman" w:hAnsi="Times New Roman" w:cs="Times New Roman"/>
          <w:b/>
          <w:sz w:val="24"/>
          <w:szCs w:val="24"/>
          <w:u w:val="single"/>
        </w:rPr>
        <w:t>correct diagnosis</w:t>
      </w:r>
      <w:r w:rsidRPr="003C5B06">
        <w:rPr>
          <w:rFonts w:ascii="Times New Roman" w:hAnsi="Times New Roman" w:cs="Times New Roman"/>
          <w:b/>
          <w:sz w:val="24"/>
          <w:szCs w:val="24"/>
        </w:rPr>
        <w:t xml:space="preserve"> </w:t>
      </w:r>
      <w:r w:rsidRPr="003C5B06">
        <w:rPr>
          <w:rFonts w:ascii="Times New Roman" w:hAnsi="Times New Roman" w:cs="Times New Roman"/>
          <w:sz w:val="24"/>
          <w:szCs w:val="24"/>
        </w:rPr>
        <w:t xml:space="preserve">or prognosis of present or likely future disability is communicated to the claimant, the injury is discovered, </w:t>
      </w:r>
      <w:r w:rsidRPr="003C5B06">
        <w:rPr>
          <w:rFonts w:ascii="Times New Roman" w:hAnsi="Times New Roman" w:cs="Times New Roman"/>
          <w:b/>
          <w:sz w:val="24"/>
          <w:szCs w:val="24"/>
        </w:rPr>
        <w:t>it is compensable</w:t>
      </w:r>
      <w:r w:rsidRPr="003C5B06">
        <w:rPr>
          <w:rFonts w:ascii="Times New Roman" w:hAnsi="Times New Roman" w:cs="Times New Roman"/>
          <w:sz w:val="24"/>
          <w:szCs w:val="24"/>
        </w:rPr>
        <w:t>, and the statute of limitations begins to run. “When determining the time a particular injury became compensable, it should be asked: When would a reasonable person, under the circumstances, have understood the full extent and nature of the injury and that the injury was related to his or her employment?” This question necessarily requires a careful evaluation of all facts to determine when an employee reasonably understood the nature and seriousness of his condition and that it was work-related.</w:t>
      </w:r>
      <w:r w:rsidRPr="00336412">
        <w:rPr>
          <w:rFonts w:ascii="Times New Roman" w:hAnsi="Times New Roman" w:cs="Times New Roman"/>
          <w:sz w:val="24"/>
          <w:szCs w:val="24"/>
          <w:vertAlign w:val="superscript"/>
        </w:rPr>
        <w:footnoteReference w:id="477"/>
      </w:r>
    </w:p>
    <w:p w14:paraId="52B454E7" w14:textId="6B29FC5B" w:rsidR="00FF7482" w:rsidRDefault="00FF7482" w:rsidP="003C5B06">
      <w:pPr>
        <w:pStyle w:val="ListParagraph"/>
        <w:ind w:right="720"/>
        <w:jc w:val="both"/>
        <w:rPr>
          <w:rFonts w:ascii="Times New Roman" w:hAnsi="Times New Roman" w:cs="Times New Roman"/>
          <w:sz w:val="24"/>
          <w:szCs w:val="24"/>
        </w:rPr>
      </w:pPr>
    </w:p>
    <w:p w14:paraId="703823A5" w14:textId="27F3E043" w:rsidR="00FF7482" w:rsidRDefault="00FF7482" w:rsidP="00E3008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While this rule may have much to commend it, it does not seem consistent with </w:t>
      </w:r>
      <w:r w:rsidRPr="003C5B06">
        <w:rPr>
          <w:rFonts w:ascii="Times New Roman" w:hAnsi="Times New Roman" w:cs="Times New Roman"/>
          <w:i/>
          <w:sz w:val="24"/>
          <w:szCs w:val="24"/>
        </w:rPr>
        <w:t>Zielinske</w:t>
      </w:r>
      <w:r>
        <w:rPr>
          <w:rFonts w:ascii="Times New Roman" w:hAnsi="Times New Roman" w:cs="Times New Roman"/>
          <w:sz w:val="24"/>
          <w:szCs w:val="24"/>
        </w:rPr>
        <w:t xml:space="preserve"> and, frankly, the hearing officer’s conclusion that the notice period began running when it was reasonably apparent to Blommel that her shoulder symptoms were work</w:t>
      </w:r>
      <w:r w:rsidR="00925BE4">
        <w:rPr>
          <w:rFonts w:ascii="Times New Roman" w:hAnsi="Times New Roman" w:cs="Times New Roman"/>
          <w:sz w:val="24"/>
          <w:szCs w:val="24"/>
        </w:rPr>
        <w:t>-</w:t>
      </w:r>
      <w:r>
        <w:rPr>
          <w:rFonts w:ascii="Times New Roman" w:hAnsi="Times New Roman" w:cs="Times New Roman"/>
          <w:sz w:val="24"/>
          <w:szCs w:val="24"/>
        </w:rPr>
        <w:t xml:space="preserve">related was more consistent with </w:t>
      </w:r>
      <w:r w:rsidRPr="003C5B06">
        <w:rPr>
          <w:rFonts w:ascii="Times New Roman" w:hAnsi="Times New Roman" w:cs="Times New Roman"/>
          <w:i/>
          <w:sz w:val="24"/>
          <w:szCs w:val="24"/>
        </w:rPr>
        <w:t>Zielinski</w:t>
      </w:r>
      <w:r w:rsidR="003A2C1A">
        <w:rPr>
          <w:rFonts w:ascii="Times New Roman" w:hAnsi="Times New Roman" w:cs="Times New Roman"/>
          <w:sz w:val="24"/>
          <w:szCs w:val="24"/>
        </w:rPr>
        <w:t xml:space="preserve">. </w:t>
      </w:r>
      <w:r>
        <w:rPr>
          <w:rFonts w:ascii="Times New Roman" w:hAnsi="Times New Roman" w:cs="Times New Roman"/>
          <w:sz w:val="24"/>
          <w:szCs w:val="24"/>
        </w:rPr>
        <w:t>Justices Burke and Voigt argued in dissent that excusing the employee from reporting and claim filing until receipt of a definitive diagnosis “</w:t>
      </w:r>
      <w:r w:rsidRPr="003C5B06">
        <w:rPr>
          <w:rFonts w:ascii="Times New Roman" w:hAnsi="Times New Roman" w:cs="Times New Roman"/>
          <w:sz w:val="24"/>
          <w:szCs w:val="24"/>
        </w:rPr>
        <w:t xml:space="preserve">undermines our previous recognition that </w:t>
      </w:r>
      <w:r>
        <w:rPr>
          <w:rFonts w:ascii="Times New Roman" w:hAnsi="Times New Roman" w:cs="Times New Roman"/>
          <w:sz w:val="24"/>
          <w:szCs w:val="24"/>
        </w:rPr>
        <w:t>‘</w:t>
      </w:r>
      <w:r w:rsidRPr="003C5B06">
        <w:rPr>
          <w:rFonts w:ascii="Times New Roman" w:hAnsi="Times New Roman" w:cs="Times New Roman"/>
          <w:sz w:val="24"/>
          <w:szCs w:val="24"/>
        </w:rPr>
        <w:t>[t]he employee ... may not ignore these requirements for compensable injuries because notice requirements and the statute of limitations exist to allow employers to investigate claims, monitor medical care, and avoid stale claims.</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78"/>
      </w:r>
      <w:r>
        <w:rPr>
          <w:rFonts w:ascii="Times New Roman" w:hAnsi="Times New Roman" w:cs="Times New Roman"/>
          <w:sz w:val="24"/>
          <w:szCs w:val="24"/>
        </w:rPr>
        <w:t xml:space="preserve"> The concern appears to be that an employee could be under medical care indefinitely, without a </w:t>
      </w:r>
      <w:r>
        <w:rPr>
          <w:rFonts w:ascii="Times New Roman" w:hAnsi="Times New Roman" w:cs="Times New Roman"/>
          <w:sz w:val="24"/>
          <w:szCs w:val="24"/>
        </w:rPr>
        <w:lastRenderedPageBreak/>
        <w:t>definitive diagnosis but in circumstances that would suggest to a reasonable person the probable existence of a work-related injury.</w:t>
      </w:r>
    </w:p>
    <w:p w14:paraId="51EF4274" w14:textId="77777777" w:rsidR="00E3008F" w:rsidRPr="00E3008F" w:rsidRDefault="00E3008F" w:rsidP="00E3008F">
      <w:pPr>
        <w:pStyle w:val="ListParagraph"/>
        <w:ind w:left="0"/>
        <w:jc w:val="both"/>
        <w:rPr>
          <w:rFonts w:ascii="Times New Roman" w:hAnsi="Times New Roman" w:cs="Times New Roman"/>
          <w:sz w:val="24"/>
          <w:szCs w:val="24"/>
        </w:rPr>
      </w:pPr>
    </w:p>
    <w:p w14:paraId="0E5D5262" w14:textId="1F326E1A" w:rsidR="00FF7482" w:rsidRDefault="00FF7482" w:rsidP="00E3008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rationale of </w:t>
      </w:r>
      <w:r w:rsidRPr="003C5B06">
        <w:rPr>
          <w:rFonts w:ascii="Times New Roman" w:hAnsi="Times New Roman" w:cs="Times New Roman"/>
          <w:i/>
          <w:sz w:val="24"/>
          <w:szCs w:val="24"/>
        </w:rPr>
        <w:t>Blommel</w:t>
      </w:r>
      <w:r>
        <w:rPr>
          <w:rFonts w:ascii="Times New Roman" w:hAnsi="Times New Roman" w:cs="Times New Roman"/>
          <w:sz w:val="24"/>
          <w:szCs w:val="24"/>
        </w:rPr>
        <w:t xml:space="preserve"> has not reappeared in Wyoming Supreme Court decisions for the point under discussion. In the medical diagnosis notice context, the </w:t>
      </w:r>
      <w:r w:rsidRPr="003C5B06">
        <w:rPr>
          <w:rFonts w:ascii="Times New Roman" w:hAnsi="Times New Roman" w:cs="Times New Roman"/>
          <w:i/>
          <w:sz w:val="24"/>
          <w:szCs w:val="24"/>
        </w:rPr>
        <w:t>Larson</w:t>
      </w:r>
      <w:r>
        <w:rPr>
          <w:rFonts w:ascii="Times New Roman" w:hAnsi="Times New Roman" w:cs="Times New Roman"/>
          <w:sz w:val="24"/>
          <w:szCs w:val="24"/>
        </w:rPr>
        <w:t>’s treatise states that “[a]</w:t>
      </w:r>
      <w:r w:rsidRPr="003C5B06">
        <w:rPr>
          <w:rFonts w:ascii="Times New Roman" w:hAnsi="Times New Roman" w:cs="Times New Roman"/>
          <w:sz w:val="24"/>
          <w:szCs w:val="24"/>
        </w:rPr>
        <w:t xml:space="preserve"> medical diagnosis may be held to start the statute running even if it is not as precise or accurate as it should be, provided the diagnosis shows the condition to be work-related</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79"/>
      </w:r>
    </w:p>
    <w:p w14:paraId="6CB68FBE" w14:textId="77777777" w:rsidR="00E3008F" w:rsidRPr="00E3008F" w:rsidRDefault="00E3008F" w:rsidP="00E3008F">
      <w:pPr>
        <w:pStyle w:val="ListParagraph"/>
        <w:spacing w:after="0"/>
        <w:ind w:left="0"/>
        <w:jc w:val="both"/>
        <w:rPr>
          <w:rFonts w:ascii="Times New Roman" w:hAnsi="Times New Roman" w:cs="Times New Roman"/>
          <w:sz w:val="24"/>
          <w:szCs w:val="24"/>
        </w:rPr>
      </w:pPr>
    </w:p>
    <w:p w14:paraId="04430BE6" w14:textId="677E0752" w:rsidR="00E3008F" w:rsidRDefault="00FF7482" w:rsidP="00E3008F">
      <w:pPr>
        <w:pStyle w:val="Heading2"/>
        <w:contextualSpacing/>
        <w:rPr>
          <w:rFonts w:ascii="Times New Roman" w:hAnsi="Times New Roman" w:cs="Times New Roman"/>
          <w:b/>
          <w:color w:val="auto"/>
        </w:rPr>
      </w:pPr>
      <w:bookmarkStart w:id="666" w:name="_Toc75269390"/>
      <w:r w:rsidRPr="00866700">
        <w:rPr>
          <w:rFonts w:ascii="Times New Roman" w:hAnsi="Times New Roman" w:cs="Times New Roman"/>
          <w:b/>
          <w:color w:val="auto"/>
        </w:rPr>
        <w:t xml:space="preserve">Notice in Wyoming </w:t>
      </w:r>
      <w:r>
        <w:rPr>
          <w:rFonts w:ascii="Times New Roman" w:hAnsi="Times New Roman" w:cs="Times New Roman"/>
          <w:b/>
          <w:color w:val="auto"/>
        </w:rPr>
        <w:t>– Presumption of Claim Denial and Proving Lack of Prejudice</w:t>
      </w:r>
      <w:bookmarkEnd w:id="666"/>
    </w:p>
    <w:p w14:paraId="68EBD4FD" w14:textId="77777777" w:rsidR="00E3008F" w:rsidRPr="00E3008F" w:rsidRDefault="00E3008F" w:rsidP="00E3008F">
      <w:pPr>
        <w:spacing w:after="0"/>
        <w:contextualSpacing/>
      </w:pPr>
    </w:p>
    <w:p w14:paraId="12A02724" w14:textId="797D76C0" w:rsidR="00FF7482" w:rsidRDefault="00FF7482" w:rsidP="00E3008F">
      <w:pPr>
        <w:pStyle w:val="ListParagraph"/>
        <w:spacing w:after="0"/>
        <w:ind w:left="0"/>
        <w:jc w:val="both"/>
        <w:rPr>
          <w:rFonts w:ascii="Times New Roman" w:hAnsi="Times New Roman" w:cs="Times New Roman"/>
          <w:sz w:val="24"/>
          <w:szCs w:val="24"/>
        </w:rPr>
      </w:pPr>
      <w:r w:rsidRPr="003C5B06">
        <w:rPr>
          <w:rFonts w:ascii="Times New Roman" w:hAnsi="Times New Roman" w:cs="Times New Roman"/>
          <w:sz w:val="24"/>
          <w:szCs w:val="24"/>
        </w:rPr>
        <w:t>Leaving behind the question of</w:t>
      </w:r>
      <w:r>
        <w:rPr>
          <w:rFonts w:ascii="Times New Roman" w:hAnsi="Times New Roman" w:cs="Times New Roman"/>
          <w:sz w:val="24"/>
          <w:szCs w:val="24"/>
        </w:rPr>
        <w:t xml:space="preserve"> when the notice (reporting and filing) period commences, this section presumes that the employee </w:t>
      </w:r>
      <w:r w:rsidRPr="003C5B06">
        <w:rPr>
          <w:rFonts w:ascii="Times New Roman" w:hAnsi="Times New Roman" w:cs="Times New Roman"/>
          <w:b/>
          <w:sz w:val="24"/>
          <w:szCs w:val="24"/>
          <w:u w:val="single"/>
        </w:rPr>
        <w:t>both</w:t>
      </w:r>
      <w:r>
        <w:rPr>
          <w:rFonts w:ascii="Times New Roman" w:hAnsi="Times New Roman" w:cs="Times New Roman"/>
          <w:sz w:val="24"/>
          <w:szCs w:val="24"/>
        </w:rPr>
        <w:t xml:space="preserve"> </w:t>
      </w:r>
      <w:r w:rsidRPr="003C5B06">
        <w:rPr>
          <w:rFonts w:ascii="Times New Roman" w:hAnsi="Times New Roman" w:cs="Times New Roman"/>
          <w:i/>
          <w:sz w:val="24"/>
          <w:szCs w:val="24"/>
        </w:rPr>
        <w:t>failed to report</w:t>
      </w:r>
      <w:r>
        <w:rPr>
          <w:rFonts w:ascii="Times New Roman" w:hAnsi="Times New Roman" w:cs="Times New Roman"/>
          <w:sz w:val="24"/>
          <w:szCs w:val="24"/>
        </w:rPr>
        <w:t xml:space="preserve"> an injury to the employer </w:t>
      </w:r>
      <w:r w:rsidRPr="003C5B06">
        <w:rPr>
          <w:rFonts w:ascii="Times New Roman" w:hAnsi="Times New Roman" w:cs="Times New Roman"/>
          <w:b/>
          <w:sz w:val="24"/>
          <w:szCs w:val="24"/>
          <w:u w:val="single"/>
        </w:rPr>
        <w:t>and</w:t>
      </w:r>
      <w:r>
        <w:rPr>
          <w:rFonts w:ascii="Times New Roman" w:hAnsi="Times New Roman" w:cs="Times New Roman"/>
          <w:sz w:val="24"/>
          <w:szCs w:val="24"/>
        </w:rPr>
        <w:t xml:space="preserve"> </w:t>
      </w:r>
      <w:r w:rsidRPr="003C5B06">
        <w:rPr>
          <w:rFonts w:ascii="Times New Roman" w:hAnsi="Times New Roman" w:cs="Times New Roman"/>
          <w:i/>
          <w:sz w:val="24"/>
          <w:szCs w:val="24"/>
        </w:rPr>
        <w:t>failed to file</w:t>
      </w:r>
      <w:r>
        <w:rPr>
          <w:rFonts w:ascii="Times New Roman" w:hAnsi="Times New Roman" w:cs="Times New Roman"/>
          <w:sz w:val="24"/>
          <w:szCs w:val="24"/>
        </w:rPr>
        <w:t xml:space="preserve"> an injury report with the Division. </w:t>
      </w:r>
      <w:r w:rsidRPr="00BE237A">
        <w:rPr>
          <w:rFonts w:ascii="Times New Roman" w:hAnsi="Times New Roman" w:cs="Times New Roman"/>
          <w:sz w:val="24"/>
          <w:szCs w:val="24"/>
        </w:rPr>
        <w:t xml:space="preserve">W.S. § </w:t>
      </w:r>
      <w:hyperlink r:id="rId81" w:history="1">
        <w:r w:rsidRPr="00BE237A">
          <w:rPr>
            <w:rStyle w:val="Hyperlink"/>
            <w:rFonts w:ascii="Times New Roman" w:hAnsi="Times New Roman" w:cs="Times New Roman"/>
            <w:sz w:val="24"/>
            <w:szCs w:val="24"/>
          </w:rPr>
          <w:t>27-14-502</w:t>
        </w:r>
      </w:hyperlink>
      <w:r>
        <w:rPr>
          <w:rFonts w:ascii="Times New Roman" w:hAnsi="Times New Roman" w:cs="Times New Roman"/>
          <w:sz w:val="24"/>
          <w:szCs w:val="24"/>
        </w:rPr>
        <w:t xml:space="preserve">(c) states that in such situations there is </w:t>
      </w:r>
      <w:r w:rsidRPr="00257EEF">
        <w:rPr>
          <w:rFonts w:ascii="Times New Roman" w:hAnsi="Times New Roman" w:cs="Times New Roman"/>
          <w:b/>
          <w:sz w:val="24"/>
          <w:szCs w:val="24"/>
          <w:u w:val="single"/>
        </w:rPr>
        <w:t>a presumption that the claim will be denied</w:t>
      </w:r>
      <w:r>
        <w:rPr>
          <w:rFonts w:ascii="Times New Roman" w:hAnsi="Times New Roman" w:cs="Times New Roman"/>
          <w:sz w:val="24"/>
          <w:szCs w:val="24"/>
        </w:rPr>
        <w:t xml:space="preserve"> which</w:t>
      </w:r>
      <w:r w:rsidRPr="004C34C9">
        <w:rPr>
          <w:rFonts w:ascii="Times New Roman" w:hAnsi="Times New Roman" w:cs="Times New Roman"/>
          <w:b/>
          <w:sz w:val="24"/>
          <w:szCs w:val="24"/>
        </w:rPr>
        <w:t xml:space="preserve"> may be rebutted if the employee establishes by clear and convincing evidence a lack of prejudice to the employer or </w:t>
      </w:r>
      <w:r w:rsidR="00301EA9">
        <w:rPr>
          <w:rFonts w:ascii="Times New Roman" w:hAnsi="Times New Roman" w:cs="Times New Roman"/>
          <w:b/>
          <w:sz w:val="24"/>
          <w:szCs w:val="24"/>
        </w:rPr>
        <w:t>D</w:t>
      </w:r>
      <w:r w:rsidRPr="004C34C9">
        <w:rPr>
          <w:rFonts w:ascii="Times New Roman" w:hAnsi="Times New Roman" w:cs="Times New Roman"/>
          <w:b/>
          <w:sz w:val="24"/>
          <w:szCs w:val="24"/>
        </w:rPr>
        <w:t>ivision in investigating the injury and in monitoring medical treatment</w:t>
      </w:r>
      <w:r w:rsidRPr="004C34C9">
        <w:rPr>
          <w:rFonts w:ascii="Times New Roman" w:hAnsi="Times New Roman" w:cs="Times New Roman"/>
          <w:sz w:val="24"/>
          <w:szCs w:val="24"/>
        </w:rPr>
        <w:t>.</w:t>
      </w:r>
    </w:p>
    <w:p w14:paraId="3CE7274F" w14:textId="0ADBE68F" w:rsidR="00FF7482" w:rsidRDefault="00FF7482" w:rsidP="00E3008F">
      <w:pPr>
        <w:pStyle w:val="ListParagraph"/>
        <w:spacing w:after="0"/>
        <w:ind w:left="0" w:firstLine="720"/>
        <w:jc w:val="both"/>
        <w:rPr>
          <w:rFonts w:ascii="Times New Roman" w:hAnsi="Times New Roman" w:cs="Times New Roman"/>
          <w:sz w:val="24"/>
          <w:szCs w:val="24"/>
        </w:rPr>
      </w:pPr>
    </w:p>
    <w:p w14:paraId="3128B2CC" w14:textId="18FCA152" w:rsidR="00FF7482" w:rsidRDefault="00FF7482" w:rsidP="00E3008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first issue is what is meant by “clear and convincing” evidence. Surprisingly little doctrine exists on this question, but it appears evident that </w:t>
      </w:r>
      <w:r w:rsidRPr="003C5B06">
        <w:rPr>
          <w:rFonts w:ascii="Times New Roman" w:hAnsi="Times New Roman" w:cs="Times New Roman"/>
          <w:b/>
          <w:sz w:val="24"/>
          <w:szCs w:val="24"/>
          <w:u w:val="single"/>
        </w:rPr>
        <w:t>conflicting evidence is not clear and convincing</w:t>
      </w:r>
      <w:r w:rsidRPr="00574CD7">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80"/>
      </w:r>
      <w:r w:rsidRPr="00301F7B">
        <w:rPr>
          <w:rFonts w:ascii="Times New Roman" w:hAnsi="Times New Roman" w:cs="Times New Roman"/>
          <w:sz w:val="24"/>
          <w:szCs w:val="24"/>
        </w:rPr>
        <w:t xml:space="preserve"> </w:t>
      </w:r>
    </w:p>
    <w:p w14:paraId="6DF20229" w14:textId="7849C3F8" w:rsidR="00FF7482" w:rsidRDefault="00FF7482" w:rsidP="00E3008F">
      <w:pPr>
        <w:pStyle w:val="ListParagraph"/>
        <w:spacing w:after="0"/>
        <w:ind w:left="0" w:firstLine="720"/>
        <w:jc w:val="both"/>
        <w:rPr>
          <w:rFonts w:ascii="Times New Roman" w:hAnsi="Times New Roman" w:cs="Times New Roman"/>
          <w:sz w:val="24"/>
          <w:szCs w:val="24"/>
        </w:rPr>
      </w:pPr>
    </w:p>
    <w:p w14:paraId="7DBD2C54" w14:textId="4950C9A0" w:rsidR="00FF7482" w:rsidRDefault="00FF7482" w:rsidP="00E3008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next question is what it means to prove “a lack of prejudice to the employer or division in investigating the injury and in monitoring medical treatment.” The first point to emphasize regarding “lack of prejudice” is that </w:t>
      </w:r>
      <w:r w:rsidRPr="003C5B06">
        <w:rPr>
          <w:rFonts w:ascii="Times New Roman" w:hAnsi="Times New Roman" w:cs="Times New Roman"/>
          <w:b/>
          <w:sz w:val="24"/>
          <w:szCs w:val="24"/>
        </w:rPr>
        <w:t xml:space="preserve">neither the employer nor the </w:t>
      </w:r>
      <w:r w:rsidR="00301EA9">
        <w:rPr>
          <w:rFonts w:ascii="Times New Roman" w:hAnsi="Times New Roman" w:cs="Times New Roman"/>
          <w:b/>
          <w:sz w:val="24"/>
          <w:szCs w:val="24"/>
        </w:rPr>
        <w:t>D</w:t>
      </w:r>
      <w:r w:rsidRPr="003C5B06">
        <w:rPr>
          <w:rFonts w:ascii="Times New Roman" w:hAnsi="Times New Roman" w:cs="Times New Roman"/>
          <w:b/>
          <w:sz w:val="24"/>
          <w:szCs w:val="24"/>
        </w:rPr>
        <w:t>ivision is obligated to prove lack of prejudice</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81"/>
      </w:r>
      <w:r>
        <w:rPr>
          <w:rFonts w:ascii="Times New Roman" w:hAnsi="Times New Roman" w:cs="Times New Roman"/>
          <w:sz w:val="24"/>
          <w:szCs w:val="24"/>
        </w:rPr>
        <w:t xml:space="preserve"> </w:t>
      </w:r>
      <w:r w:rsidRPr="003C5B06">
        <w:rPr>
          <w:rFonts w:ascii="Times New Roman" w:hAnsi="Times New Roman" w:cs="Times New Roman"/>
          <w:b/>
          <w:sz w:val="24"/>
          <w:szCs w:val="24"/>
        </w:rPr>
        <w:t>The burden is placed squarely on the employee</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82"/>
      </w:r>
      <w:r>
        <w:rPr>
          <w:rFonts w:ascii="Times New Roman" w:hAnsi="Times New Roman" w:cs="Times New Roman"/>
          <w:sz w:val="24"/>
          <w:szCs w:val="24"/>
        </w:rPr>
        <w:t xml:space="preserve"> </w:t>
      </w:r>
      <w:r w:rsidRPr="007E196B">
        <w:rPr>
          <w:rFonts w:ascii="Times New Roman" w:hAnsi="Times New Roman" w:cs="Times New Roman"/>
          <w:b/>
          <w:sz w:val="24"/>
          <w:szCs w:val="24"/>
          <w:u w:val="single"/>
        </w:rPr>
        <w:t>The problem faced by claimants in this area is how to prove a negative</w:t>
      </w:r>
      <w:r>
        <w:rPr>
          <w:rFonts w:ascii="Times New Roman" w:hAnsi="Times New Roman" w:cs="Times New Roman"/>
          <w:sz w:val="24"/>
          <w:szCs w:val="24"/>
        </w:rPr>
        <w:t>.</w:t>
      </w:r>
    </w:p>
    <w:p w14:paraId="772E696A" w14:textId="77777777" w:rsidR="00FF7482" w:rsidRDefault="00FF7482" w:rsidP="003C5B06">
      <w:pPr>
        <w:pStyle w:val="ListParagraph"/>
        <w:ind w:left="0" w:firstLine="720"/>
        <w:jc w:val="both"/>
        <w:rPr>
          <w:rFonts w:ascii="Times New Roman" w:hAnsi="Times New Roman" w:cs="Times New Roman"/>
          <w:sz w:val="24"/>
          <w:szCs w:val="24"/>
        </w:rPr>
      </w:pPr>
    </w:p>
    <w:p w14:paraId="40F002A5" w14:textId="745BCC9A" w:rsidR="00FF7482" w:rsidRDefault="00FF7482" w:rsidP="00BF7A28">
      <w:pPr>
        <w:pStyle w:val="ListParagraph"/>
        <w:ind w:left="0"/>
        <w:jc w:val="both"/>
        <w:rPr>
          <w:rFonts w:ascii="Times New Roman" w:hAnsi="Times New Roman" w:cs="Times New Roman"/>
          <w:sz w:val="24"/>
          <w:szCs w:val="24"/>
        </w:rPr>
      </w:pPr>
      <w:r>
        <w:rPr>
          <w:rFonts w:ascii="Times New Roman" w:hAnsi="Times New Roman" w:cs="Times New Roman"/>
          <w:sz w:val="24"/>
          <w:szCs w:val="24"/>
        </w:rPr>
        <w:t>The Wyoming Supreme Court has</w:t>
      </w:r>
      <w:r w:rsidRPr="003C5B06">
        <w:rPr>
          <w:rFonts w:ascii="Times New Roman" w:hAnsi="Times New Roman" w:cs="Times New Roman"/>
          <w:sz w:val="24"/>
          <w:szCs w:val="24"/>
        </w:rPr>
        <w:t xml:space="preserve"> </w:t>
      </w:r>
      <w:r w:rsidRPr="00C1611B">
        <w:rPr>
          <w:rFonts w:ascii="Times New Roman" w:hAnsi="Times New Roman" w:cs="Times New Roman"/>
          <w:b/>
          <w:bCs/>
          <w:sz w:val="24"/>
          <w:szCs w:val="24"/>
        </w:rPr>
        <w:t>“</w:t>
      </w:r>
      <w:r w:rsidRPr="003C5B06">
        <w:rPr>
          <w:rFonts w:ascii="Times New Roman" w:hAnsi="Times New Roman" w:cs="Times New Roman"/>
          <w:b/>
          <w:sz w:val="24"/>
          <w:szCs w:val="24"/>
          <w:u w:val="single"/>
        </w:rPr>
        <w:t>found prejudice where the Division or the employer is denied access to medical records because of a claimant's failure timely to report an injury and where early monitoring of a claimant's treatment could have affected the amount of a claim</w:t>
      </w:r>
      <w:r w:rsidRPr="00C1611B">
        <w:rPr>
          <w:rFonts w:ascii="Times New Roman" w:hAnsi="Times New Roman" w:cs="Times New Roman"/>
          <w:b/>
          <w:bCs/>
          <w:sz w:val="24"/>
          <w:szCs w:val="24"/>
        </w:rPr>
        <w:t>.”</w:t>
      </w:r>
      <w:r w:rsidRPr="00336412">
        <w:rPr>
          <w:rFonts w:ascii="Times New Roman" w:hAnsi="Times New Roman" w:cs="Times New Roman"/>
          <w:sz w:val="24"/>
          <w:szCs w:val="24"/>
          <w:vertAlign w:val="superscript"/>
        </w:rPr>
        <w:footnoteReference w:id="483"/>
      </w:r>
    </w:p>
    <w:p w14:paraId="4A0BAC9E" w14:textId="11002DED" w:rsidR="00FF7482" w:rsidRDefault="00FF7482" w:rsidP="003C5B06">
      <w:pPr>
        <w:pStyle w:val="ListParagraph"/>
        <w:ind w:left="0" w:firstLine="720"/>
        <w:jc w:val="both"/>
        <w:rPr>
          <w:rFonts w:ascii="Times New Roman" w:hAnsi="Times New Roman" w:cs="Times New Roman"/>
          <w:sz w:val="24"/>
          <w:szCs w:val="24"/>
        </w:rPr>
      </w:pPr>
    </w:p>
    <w:p w14:paraId="4EEEA660" w14:textId="67640F7F" w:rsidR="00FF7482" w:rsidRDefault="00FF7482" w:rsidP="00C1611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Wyoming Supreme Court has </w:t>
      </w:r>
      <w:r w:rsidRPr="00C1611B">
        <w:rPr>
          <w:rFonts w:ascii="Times New Roman" w:hAnsi="Times New Roman" w:cs="Times New Roman"/>
          <w:b/>
          <w:bCs/>
          <w:sz w:val="24"/>
          <w:szCs w:val="24"/>
        </w:rPr>
        <w:t>“</w:t>
      </w:r>
      <w:r w:rsidRPr="003375C7">
        <w:rPr>
          <w:rFonts w:ascii="Times New Roman" w:hAnsi="Times New Roman" w:cs="Times New Roman"/>
          <w:b/>
          <w:sz w:val="24"/>
          <w:szCs w:val="24"/>
          <w:u w:val="single"/>
        </w:rPr>
        <w:t>generally found no prejudice where there was no range of treatment available and where the ability to impose work restrictions and monitor treatment would not have benefited the employer or the Division</w:t>
      </w:r>
      <w:r w:rsidRPr="00C1611B">
        <w:rPr>
          <w:rFonts w:ascii="Times New Roman" w:hAnsi="Times New Roman" w:cs="Times New Roman"/>
          <w:b/>
          <w:bCs/>
          <w:sz w:val="24"/>
          <w:szCs w:val="24"/>
        </w:rPr>
        <w:t>.”</w:t>
      </w:r>
      <w:r w:rsidRPr="00336412">
        <w:rPr>
          <w:rFonts w:ascii="Times New Roman" w:hAnsi="Times New Roman" w:cs="Times New Roman"/>
          <w:sz w:val="24"/>
          <w:szCs w:val="24"/>
          <w:vertAlign w:val="superscript"/>
        </w:rPr>
        <w:footnoteReference w:id="484"/>
      </w:r>
    </w:p>
    <w:p w14:paraId="66152A0A" w14:textId="77777777" w:rsidR="00FF7482" w:rsidRDefault="00FF7482" w:rsidP="003C5B06">
      <w:pPr>
        <w:pStyle w:val="ListParagraph"/>
        <w:ind w:left="0" w:firstLine="720"/>
        <w:jc w:val="both"/>
        <w:rPr>
          <w:rFonts w:ascii="Times New Roman" w:hAnsi="Times New Roman" w:cs="Times New Roman"/>
          <w:sz w:val="24"/>
          <w:szCs w:val="24"/>
        </w:rPr>
      </w:pPr>
    </w:p>
    <w:p w14:paraId="263F1706" w14:textId="433AD21C" w:rsidR="00FF7482" w:rsidRDefault="00FF7482" w:rsidP="00E3008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Thus, it appears that in litigation a claimant might subpoena from the Division or the employer </w:t>
      </w:r>
      <w:r w:rsidRPr="00FF3BF3">
        <w:rPr>
          <w:rFonts w:ascii="Times New Roman" w:hAnsi="Times New Roman" w:cs="Times New Roman"/>
          <w:b/>
          <w:i/>
          <w:sz w:val="24"/>
          <w:szCs w:val="24"/>
        </w:rPr>
        <w:t>evidence that access to medical records has in fact been denied</w:t>
      </w:r>
      <w:r>
        <w:rPr>
          <w:rFonts w:ascii="Times New Roman" w:hAnsi="Times New Roman" w:cs="Times New Roman"/>
          <w:sz w:val="24"/>
          <w:szCs w:val="24"/>
        </w:rPr>
        <w:t xml:space="preserve"> and offer a failure to provide such evidence as affirmative evidence of lack of prejudice in the claimant’s case-in-chief. The issue is somewhat thorny because this evidence would be within the possession of the party benefitting from the presumption. Whether early monitoring of treatment would have affected the amount of a claim, or whether there were a range of treatments for a particular injury, would themselves be </w:t>
      </w:r>
      <w:r w:rsidRPr="00A36D99">
        <w:rPr>
          <w:rFonts w:ascii="Times New Roman" w:hAnsi="Times New Roman" w:cs="Times New Roman"/>
          <w:i/>
          <w:sz w:val="24"/>
          <w:szCs w:val="24"/>
        </w:rPr>
        <w:t>medical</w:t>
      </w:r>
      <w:r>
        <w:rPr>
          <w:rFonts w:ascii="Times New Roman" w:hAnsi="Times New Roman" w:cs="Times New Roman"/>
          <w:sz w:val="24"/>
          <w:szCs w:val="24"/>
        </w:rPr>
        <w:t xml:space="preserve"> inquiries. One potential issue is if the claimant’s satisfying its burden of production would shift the burden to the Division, or the employer, to rebut the claimant’s evidence on these questions. </w:t>
      </w:r>
    </w:p>
    <w:p w14:paraId="3B3EE0F3" w14:textId="77777777" w:rsidR="00FF7482" w:rsidRDefault="00FF7482" w:rsidP="00E3008F">
      <w:pPr>
        <w:pStyle w:val="ListParagraph"/>
        <w:spacing w:after="0"/>
        <w:ind w:left="0" w:firstLine="720"/>
        <w:jc w:val="both"/>
        <w:rPr>
          <w:rFonts w:ascii="Times New Roman" w:hAnsi="Times New Roman" w:cs="Times New Roman"/>
          <w:sz w:val="24"/>
          <w:szCs w:val="24"/>
        </w:rPr>
      </w:pPr>
    </w:p>
    <w:p w14:paraId="154A13D7" w14:textId="2558B03C" w:rsidR="00FF7482" w:rsidRDefault="00FF7482" w:rsidP="00E3008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It should be noted that </w:t>
      </w:r>
      <w:r w:rsidRPr="00115189">
        <w:rPr>
          <w:rFonts w:ascii="Times New Roman" w:hAnsi="Times New Roman" w:cs="Times New Roman"/>
          <w:b/>
          <w:sz w:val="24"/>
          <w:szCs w:val="24"/>
        </w:rPr>
        <w:t>this is a common problem in other jurisdictions in which absence of prejudice is an excuse for late notice</w:t>
      </w:r>
      <w:r>
        <w:rPr>
          <w:rFonts w:ascii="Times New Roman" w:hAnsi="Times New Roman" w:cs="Times New Roman"/>
          <w:sz w:val="24"/>
          <w:szCs w:val="24"/>
        </w:rPr>
        <w:t xml:space="preserve">. Consider how similar the relevant section of the </w:t>
      </w:r>
      <w:r w:rsidRPr="008D45BD">
        <w:rPr>
          <w:rFonts w:ascii="Times New Roman" w:hAnsi="Times New Roman" w:cs="Times New Roman"/>
          <w:i/>
          <w:sz w:val="24"/>
          <w:szCs w:val="24"/>
        </w:rPr>
        <w:t>Larson</w:t>
      </w:r>
      <w:r>
        <w:rPr>
          <w:rFonts w:ascii="Times New Roman" w:hAnsi="Times New Roman" w:cs="Times New Roman"/>
          <w:sz w:val="24"/>
          <w:szCs w:val="24"/>
        </w:rPr>
        <w:t>’s treatise is to Wyoming law:</w:t>
      </w:r>
    </w:p>
    <w:p w14:paraId="56C60AD9" w14:textId="069B0432" w:rsidR="00FF7482" w:rsidRDefault="00FF7482" w:rsidP="00E3008F">
      <w:pPr>
        <w:pStyle w:val="ListParagraph"/>
        <w:spacing w:after="0"/>
        <w:ind w:left="0" w:firstLine="720"/>
        <w:jc w:val="both"/>
        <w:rPr>
          <w:rFonts w:ascii="Times New Roman" w:hAnsi="Times New Roman" w:cs="Times New Roman"/>
          <w:sz w:val="24"/>
          <w:szCs w:val="24"/>
        </w:rPr>
      </w:pPr>
    </w:p>
    <w:p w14:paraId="4A2A92F0" w14:textId="1DA3094F" w:rsidR="00FF7482" w:rsidRDefault="00FF7482" w:rsidP="00E3008F">
      <w:pPr>
        <w:pStyle w:val="ListParagraph"/>
        <w:spacing w:after="0"/>
        <w:ind w:right="720"/>
        <w:jc w:val="both"/>
        <w:rPr>
          <w:rFonts w:ascii="Times New Roman" w:hAnsi="Times New Roman" w:cs="Times New Roman"/>
          <w:sz w:val="24"/>
          <w:szCs w:val="24"/>
        </w:rPr>
      </w:pPr>
      <w:r w:rsidRPr="008D45BD">
        <w:rPr>
          <w:rFonts w:ascii="Times New Roman" w:hAnsi="Times New Roman" w:cs="Times New Roman"/>
          <w:sz w:val="24"/>
          <w:szCs w:val="24"/>
        </w:rPr>
        <w:t xml:space="preserve">The showing of lack of prejudice usually follows the pattern set by the two objectives of the notice statute: first, a showing that the claimant’s injury was not aggravated by reason of the employer’s inability to provide early diagnosis and treatment; and second, a showing that the employer was not hampered in making its investigation and preparing its case. Under the first category, absence of prejudice may be demonstrated by evidence that the claimant did indeed receive adequate medical care, or if the care proved less than adequate, that the provision of medical care by the employer would not have made matters any better because the company physician made the same wrong diagnosis as the claimant’s personal physician anyway, or because the employer was just as slow about treatment as the claimant was about notice, or because the same complications might have developed under the employer’s doctor’s care, or because no amount of medical treatment could have saved the claimant’s eye, or because the employer probably would not have supplied different or better medical treatment. </w:t>
      </w:r>
    </w:p>
    <w:p w14:paraId="12A8D985" w14:textId="77777777" w:rsidR="003B0A24" w:rsidRPr="008D45BD" w:rsidRDefault="003B0A24" w:rsidP="008D45BD">
      <w:pPr>
        <w:pStyle w:val="ListParagraph"/>
        <w:ind w:right="720"/>
        <w:jc w:val="both"/>
        <w:rPr>
          <w:rFonts w:ascii="Times New Roman" w:hAnsi="Times New Roman" w:cs="Times New Roman"/>
          <w:sz w:val="24"/>
          <w:szCs w:val="24"/>
        </w:rPr>
      </w:pPr>
    </w:p>
    <w:p w14:paraId="03FCB215" w14:textId="001CD93A" w:rsidR="00FF7482" w:rsidRDefault="00FF7482" w:rsidP="00AD1851">
      <w:pPr>
        <w:pStyle w:val="ListParagraph"/>
        <w:spacing w:after="0"/>
        <w:ind w:right="720"/>
        <w:jc w:val="both"/>
        <w:rPr>
          <w:rFonts w:ascii="Times New Roman" w:hAnsi="Times New Roman" w:cs="Times New Roman"/>
          <w:sz w:val="24"/>
          <w:szCs w:val="24"/>
        </w:rPr>
      </w:pPr>
      <w:r w:rsidRPr="008D45BD">
        <w:rPr>
          <w:rFonts w:ascii="Times New Roman" w:hAnsi="Times New Roman" w:cs="Times New Roman"/>
          <w:sz w:val="24"/>
          <w:szCs w:val="24"/>
        </w:rPr>
        <w:lastRenderedPageBreak/>
        <w:t>Under the second category, prejudice may be ruled out by a showing that after the delay, the employer had access to the same facts as if earlier notice had been given</w:t>
      </w:r>
      <w:r>
        <w:rPr>
          <w:rFonts w:ascii="Times New Roman" w:hAnsi="Times New Roman" w:cs="Times New Roman"/>
          <w:sz w:val="24"/>
          <w:szCs w:val="24"/>
        </w:rPr>
        <w:t xml:space="preserve"> </w:t>
      </w:r>
      <w:r w:rsidRPr="008D45BD">
        <w:rPr>
          <w:rFonts w:ascii="Times New Roman" w:hAnsi="Times New Roman" w:cs="Times New Roman"/>
          <w:sz w:val="24"/>
          <w:szCs w:val="24"/>
        </w:rPr>
        <w:t>and would probably have used the same witnesses and evidence, or perhaps that at the time notice was due the employee and employer would have been equally ignorant of the true facts, as when neither knew until much later that the injury would result in disablement.</w:t>
      </w:r>
      <w:r w:rsidRPr="00336412">
        <w:rPr>
          <w:rFonts w:ascii="Times New Roman" w:hAnsi="Times New Roman" w:cs="Times New Roman"/>
          <w:sz w:val="24"/>
          <w:szCs w:val="24"/>
          <w:vertAlign w:val="superscript"/>
        </w:rPr>
        <w:footnoteReference w:id="485"/>
      </w:r>
      <w:r w:rsidRPr="008D45BD">
        <w:rPr>
          <w:rFonts w:ascii="Times New Roman" w:hAnsi="Times New Roman" w:cs="Times New Roman"/>
          <w:sz w:val="24"/>
          <w:szCs w:val="24"/>
        </w:rPr>
        <w:t xml:space="preserve"> </w:t>
      </w:r>
    </w:p>
    <w:p w14:paraId="680373AF" w14:textId="77777777" w:rsidR="00FF7482" w:rsidRDefault="00FF7482" w:rsidP="00AD1851">
      <w:pPr>
        <w:pStyle w:val="ListParagraph"/>
        <w:spacing w:after="0"/>
        <w:ind w:right="720"/>
        <w:jc w:val="both"/>
        <w:rPr>
          <w:rFonts w:ascii="Times New Roman" w:hAnsi="Times New Roman" w:cs="Times New Roman"/>
          <w:sz w:val="24"/>
          <w:szCs w:val="24"/>
        </w:rPr>
      </w:pPr>
    </w:p>
    <w:p w14:paraId="28A65B95" w14:textId="608D8EF0" w:rsidR="00FF7482" w:rsidRPr="00015BEC" w:rsidRDefault="00FF7482" w:rsidP="00015BEC">
      <w:pPr>
        <w:pStyle w:val="Heading2"/>
        <w:rPr>
          <w:rFonts w:ascii="Times New Roman" w:hAnsi="Times New Roman" w:cs="Times New Roman"/>
          <w:b/>
          <w:color w:val="auto"/>
        </w:rPr>
      </w:pPr>
      <w:bookmarkStart w:id="675" w:name="_Toc75269391"/>
      <w:r w:rsidRPr="00015BEC">
        <w:rPr>
          <w:rFonts w:ascii="Times New Roman" w:hAnsi="Times New Roman" w:cs="Times New Roman"/>
          <w:b/>
          <w:color w:val="auto"/>
        </w:rPr>
        <w:t>Statute of Limitations</w:t>
      </w:r>
      <w:r>
        <w:rPr>
          <w:rFonts w:ascii="Times New Roman" w:hAnsi="Times New Roman" w:cs="Times New Roman"/>
          <w:b/>
          <w:color w:val="auto"/>
        </w:rPr>
        <w:t xml:space="preserve"> in Wyoming</w:t>
      </w:r>
      <w:r w:rsidR="00320134">
        <w:rPr>
          <w:rFonts w:ascii="Times New Roman" w:hAnsi="Times New Roman" w:cs="Times New Roman"/>
          <w:b/>
          <w:color w:val="auto"/>
        </w:rPr>
        <w:t xml:space="preserve"> – </w:t>
      </w:r>
      <w:r w:rsidRPr="00015BEC">
        <w:rPr>
          <w:rFonts w:ascii="Times New Roman" w:hAnsi="Times New Roman" w:cs="Times New Roman"/>
          <w:b/>
          <w:color w:val="auto"/>
        </w:rPr>
        <w:t>Statutory Provision</w:t>
      </w:r>
      <w:bookmarkEnd w:id="675"/>
      <w:r w:rsidRPr="00015BEC">
        <w:rPr>
          <w:rFonts w:ascii="Times New Roman" w:hAnsi="Times New Roman" w:cs="Times New Roman"/>
          <w:b/>
          <w:color w:val="auto"/>
        </w:rPr>
        <w:t xml:space="preserve"> </w:t>
      </w:r>
    </w:p>
    <w:p w14:paraId="43E06B38" w14:textId="137E0A74" w:rsidR="00FF7482" w:rsidRDefault="00FF7482" w:rsidP="008A788C">
      <w:pPr>
        <w:pStyle w:val="ListParagraph"/>
        <w:spacing w:after="0"/>
        <w:ind w:left="0" w:firstLine="720"/>
        <w:jc w:val="both"/>
        <w:rPr>
          <w:rFonts w:ascii="Times New Roman" w:hAnsi="Times New Roman" w:cs="Times New Roman"/>
          <w:sz w:val="24"/>
          <w:szCs w:val="24"/>
        </w:rPr>
      </w:pPr>
    </w:p>
    <w:p w14:paraId="229E1E89" w14:textId="494BF5A7" w:rsidR="00FF7482" w:rsidRDefault="00FF7482" w:rsidP="003B0A24">
      <w:pPr>
        <w:pStyle w:val="ListParagraph"/>
        <w:ind w:left="0"/>
        <w:jc w:val="both"/>
        <w:rPr>
          <w:rFonts w:ascii="Times New Roman" w:hAnsi="Times New Roman" w:cs="Times New Roman"/>
          <w:sz w:val="24"/>
          <w:szCs w:val="24"/>
        </w:rPr>
      </w:pPr>
      <w:bookmarkStart w:id="676" w:name="_Hlk522109704"/>
      <w:bookmarkStart w:id="677" w:name="_Hlk522215023"/>
      <w:r w:rsidRPr="00BE237A">
        <w:rPr>
          <w:rFonts w:ascii="Times New Roman" w:hAnsi="Times New Roman" w:cs="Times New Roman"/>
          <w:sz w:val="24"/>
          <w:szCs w:val="24"/>
        </w:rPr>
        <w:t xml:space="preserve">W.S. § </w:t>
      </w:r>
      <w:hyperlink r:id="rId82" w:history="1">
        <w:r w:rsidRPr="00BE237A">
          <w:rPr>
            <w:rStyle w:val="Hyperlink"/>
            <w:rFonts w:ascii="Times New Roman" w:hAnsi="Times New Roman" w:cs="Times New Roman"/>
            <w:sz w:val="24"/>
            <w:szCs w:val="24"/>
          </w:rPr>
          <w:t>27-14-503</w:t>
        </w:r>
      </w:hyperlink>
      <w:r>
        <w:rPr>
          <w:rFonts w:ascii="Times New Roman" w:hAnsi="Times New Roman" w:cs="Times New Roman"/>
          <w:sz w:val="24"/>
          <w:szCs w:val="24"/>
        </w:rPr>
        <w:t>(a)</w:t>
      </w:r>
      <w:bookmarkEnd w:id="676"/>
      <w:r>
        <w:rPr>
          <w:rFonts w:ascii="Times New Roman" w:hAnsi="Times New Roman" w:cs="Times New Roman"/>
          <w:sz w:val="24"/>
          <w:szCs w:val="24"/>
        </w:rPr>
        <w:t xml:space="preserve"> and (b) </w:t>
      </w:r>
      <w:bookmarkEnd w:id="677"/>
      <w:r>
        <w:rPr>
          <w:rFonts w:ascii="Times New Roman" w:hAnsi="Times New Roman" w:cs="Times New Roman"/>
          <w:sz w:val="24"/>
          <w:szCs w:val="24"/>
        </w:rPr>
        <w:t>prescribe statute of limitations requirements (Emphases supplied):</w:t>
      </w:r>
    </w:p>
    <w:p w14:paraId="2706358D" w14:textId="77777777" w:rsidR="00FF7482" w:rsidRDefault="00FF7482" w:rsidP="00015BEC">
      <w:pPr>
        <w:pStyle w:val="ListParagraph"/>
        <w:ind w:left="0" w:firstLine="720"/>
        <w:jc w:val="both"/>
        <w:rPr>
          <w:rFonts w:ascii="Times New Roman" w:hAnsi="Times New Roman" w:cs="Times New Roman"/>
          <w:sz w:val="24"/>
          <w:szCs w:val="24"/>
        </w:rPr>
      </w:pPr>
    </w:p>
    <w:p w14:paraId="09AB1CB8" w14:textId="2FD042C0" w:rsidR="00FF7482" w:rsidRPr="00722E68" w:rsidRDefault="00FF7482" w:rsidP="00722E68">
      <w:pPr>
        <w:pStyle w:val="ListParagraph"/>
        <w:ind w:right="720"/>
        <w:contextualSpacing w:val="0"/>
        <w:jc w:val="both"/>
        <w:rPr>
          <w:rFonts w:ascii="Times New Roman" w:hAnsi="Times New Roman" w:cs="Times New Roman"/>
          <w:sz w:val="24"/>
          <w:szCs w:val="24"/>
        </w:rPr>
      </w:pPr>
      <w:r w:rsidRPr="00015BEC">
        <w:rPr>
          <w:rFonts w:ascii="Times New Roman" w:hAnsi="Times New Roman" w:cs="Times New Roman"/>
          <w:sz w:val="24"/>
          <w:szCs w:val="24"/>
        </w:rPr>
        <w:t xml:space="preserve">(a) A payment for benefits involving an injury which is the result of a </w:t>
      </w:r>
      <w:r w:rsidRPr="00015BEC">
        <w:rPr>
          <w:rFonts w:ascii="Times New Roman" w:hAnsi="Times New Roman" w:cs="Times New Roman"/>
          <w:b/>
          <w:sz w:val="24"/>
          <w:szCs w:val="24"/>
          <w:u w:val="single"/>
        </w:rPr>
        <w:t>single brief occurrence</w:t>
      </w:r>
      <w:r w:rsidRPr="00015BEC">
        <w:rPr>
          <w:rFonts w:ascii="Times New Roman" w:hAnsi="Times New Roman" w:cs="Times New Roman"/>
          <w:sz w:val="24"/>
          <w:szCs w:val="24"/>
        </w:rPr>
        <w:t xml:space="preserve"> rather than occurring over a substantial period of time shall not be made unless </w:t>
      </w:r>
      <w:r w:rsidRPr="00015BEC">
        <w:rPr>
          <w:rFonts w:ascii="Times New Roman" w:hAnsi="Times New Roman" w:cs="Times New Roman"/>
          <w:iCs/>
          <w:sz w:val="24"/>
          <w:szCs w:val="24"/>
        </w:rPr>
        <w:t>in addition to the proper and timely filing</w:t>
      </w:r>
      <w:r w:rsidRPr="00015BEC">
        <w:rPr>
          <w:rFonts w:ascii="Times New Roman" w:hAnsi="Times New Roman" w:cs="Times New Roman"/>
          <w:sz w:val="24"/>
          <w:szCs w:val="24"/>
        </w:rPr>
        <w:t xml:space="preserve"> of the injury reports, an application or claim for benefits is filed </w:t>
      </w:r>
      <w:r w:rsidRPr="00015BEC">
        <w:rPr>
          <w:rFonts w:ascii="Times New Roman" w:hAnsi="Times New Roman" w:cs="Times New Roman"/>
          <w:b/>
          <w:sz w:val="24"/>
          <w:szCs w:val="24"/>
        </w:rPr>
        <w:t xml:space="preserve">within </w:t>
      </w:r>
      <w:r w:rsidRPr="00015BEC">
        <w:rPr>
          <w:rFonts w:ascii="Times New Roman" w:hAnsi="Times New Roman" w:cs="Times New Roman"/>
          <w:b/>
          <w:iCs/>
          <w:sz w:val="24"/>
          <w:szCs w:val="24"/>
        </w:rPr>
        <w:t>one (1) year after the date the injury occurred or</w:t>
      </w:r>
      <w:r w:rsidRPr="00015BEC">
        <w:rPr>
          <w:rFonts w:ascii="Times New Roman" w:hAnsi="Times New Roman" w:cs="Times New Roman"/>
          <w:iCs/>
          <w:sz w:val="24"/>
          <w:szCs w:val="24"/>
        </w:rPr>
        <w:t xml:space="preserve"> for injuries not readily apparent, within </w:t>
      </w:r>
      <w:r w:rsidRPr="00015BEC">
        <w:rPr>
          <w:rFonts w:ascii="Times New Roman" w:hAnsi="Times New Roman" w:cs="Times New Roman"/>
          <w:b/>
          <w:iCs/>
          <w:sz w:val="24"/>
          <w:szCs w:val="24"/>
        </w:rPr>
        <w:t>one (1) year after discovery of the injury by the employee</w:t>
      </w:r>
      <w:r w:rsidRPr="00015BEC">
        <w:rPr>
          <w:rFonts w:ascii="Times New Roman" w:hAnsi="Times New Roman" w:cs="Times New Roman"/>
          <w:sz w:val="24"/>
          <w:szCs w:val="24"/>
        </w:rPr>
        <w:t>. The injury report is not a claim for benefits. </w:t>
      </w:r>
    </w:p>
    <w:p w14:paraId="673AC961" w14:textId="4FD2C874" w:rsidR="00FF7482" w:rsidRDefault="00FF7482" w:rsidP="00722E68">
      <w:pPr>
        <w:pStyle w:val="ListParagraph"/>
        <w:spacing w:after="0"/>
        <w:ind w:right="720"/>
        <w:contextualSpacing w:val="0"/>
        <w:jc w:val="both"/>
        <w:rPr>
          <w:rFonts w:ascii="Times New Roman" w:hAnsi="Times New Roman" w:cs="Times New Roman"/>
          <w:sz w:val="24"/>
          <w:szCs w:val="24"/>
        </w:rPr>
      </w:pPr>
      <w:r w:rsidRPr="00015BEC">
        <w:rPr>
          <w:rFonts w:ascii="Times New Roman" w:hAnsi="Times New Roman" w:cs="Times New Roman"/>
          <w:sz w:val="24"/>
          <w:szCs w:val="24"/>
        </w:rPr>
        <w:t xml:space="preserve">(b) The right of compensation for an </w:t>
      </w:r>
      <w:r w:rsidRPr="00015BEC">
        <w:rPr>
          <w:rFonts w:ascii="Times New Roman" w:hAnsi="Times New Roman" w:cs="Times New Roman"/>
          <w:iCs/>
          <w:sz w:val="24"/>
          <w:szCs w:val="24"/>
        </w:rPr>
        <w:t xml:space="preserve">injury which occurs over a </w:t>
      </w:r>
      <w:r w:rsidRPr="00015BEC">
        <w:rPr>
          <w:rFonts w:ascii="Times New Roman" w:hAnsi="Times New Roman" w:cs="Times New Roman"/>
          <w:b/>
          <w:iCs/>
          <w:sz w:val="24"/>
          <w:szCs w:val="24"/>
          <w:u w:val="single"/>
        </w:rPr>
        <w:t>substantial period of</w:t>
      </w:r>
      <w:r w:rsidRPr="00015BEC">
        <w:rPr>
          <w:rFonts w:ascii="Times New Roman" w:hAnsi="Times New Roman" w:cs="Times New Roman"/>
          <w:b/>
          <w:sz w:val="24"/>
          <w:szCs w:val="24"/>
          <w:u w:val="single"/>
        </w:rPr>
        <w:t xml:space="preserve"> </w:t>
      </w:r>
      <w:r w:rsidRPr="00015BEC">
        <w:rPr>
          <w:rFonts w:ascii="Times New Roman" w:hAnsi="Times New Roman" w:cs="Times New Roman"/>
          <w:b/>
          <w:iCs/>
          <w:sz w:val="24"/>
          <w:szCs w:val="24"/>
          <w:u w:val="single"/>
        </w:rPr>
        <w:t>time</w:t>
      </w:r>
      <w:r w:rsidRPr="00015BEC">
        <w:rPr>
          <w:rFonts w:ascii="Times New Roman" w:hAnsi="Times New Roman" w:cs="Times New Roman"/>
          <w:sz w:val="24"/>
          <w:szCs w:val="24"/>
        </w:rPr>
        <w:t xml:space="preserve"> is barred unless a claim for benefits is filed within </w:t>
      </w:r>
      <w:r w:rsidRPr="00015BEC">
        <w:rPr>
          <w:rFonts w:ascii="Times New Roman" w:hAnsi="Times New Roman" w:cs="Times New Roman"/>
          <w:b/>
          <w:iCs/>
          <w:sz w:val="24"/>
          <w:szCs w:val="24"/>
        </w:rPr>
        <w:t>one (1) year after a diagnosis of injury is first communicated to the employee</w:t>
      </w:r>
      <w:r w:rsidRPr="00015BEC">
        <w:rPr>
          <w:rFonts w:ascii="Times New Roman" w:hAnsi="Times New Roman" w:cs="Times New Roman"/>
          <w:iCs/>
          <w:sz w:val="24"/>
          <w:szCs w:val="24"/>
        </w:rPr>
        <w:t xml:space="preserve">, or </w:t>
      </w:r>
      <w:bookmarkStart w:id="678" w:name="_Hlk522216271"/>
      <w:r w:rsidRPr="00015BEC">
        <w:rPr>
          <w:rFonts w:ascii="Times New Roman" w:hAnsi="Times New Roman" w:cs="Times New Roman"/>
          <w:b/>
          <w:iCs/>
          <w:sz w:val="24"/>
          <w:szCs w:val="24"/>
        </w:rPr>
        <w:t>within three (3) years from the date of last injurious workplace exposure</w:t>
      </w:r>
      <w:bookmarkEnd w:id="678"/>
      <w:r w:rsidRPr="00015BEC">
        <w:rPr>
          <w:rFonts w:ascii="Times New Roman" w:hAnsi="Times New Roman" w:cs="Times New Roman"/>
          <w:b/>
          <w:iCs/>
          <w:sz w:val="24"/>
          <w:szCs w:val="24"/>
        </w:rPr>
        <w:t xml:space="preserve"> to the condition causing the injury</w:t>
      </w:r>
      <w:r w:rsidRPr="00015BEC">
        <w:rPr>
          <w:rFonts w:ascii="Times New Roman" w:hAnsi="Times New Roman" w:cs="Times New Roman"/>
          <w:iCs/>
          <w:sz w:val="24"/>
          <w:szCs w:val="24"/>
        </w:rPr>
        <w:t xml:space="preserve">, </w:t>
      </w:r>
      <w:r w:rsidRPr="00015BEC">
        <w:rPr>
          <w:rFonts w:ascii="Times New Roman" w:hAnsi="Times New Roman" w:cs="Times New Roman"/>
          <w:b/>
          <w:iCs/>
          <w:sz w:val="24"/>
          <w:szCs w:val="24"/>
        </w:rPr>
        <w:t>whichever occurs last</w:t>
      </w:r>
      <w:r w:rsidRPr="00015BEC">
        <w:rPr>
          <w:rFonts w:ascii="Times New Roman" w:hAnsi="Times New Roman" w:cs="Times New Roman"/>
          <w:sz w:val="24"/>
          <w:szCs w:val="24"/>
        </w:rPr>
        <w:t xml:space="preserve">, excluding injury caused by ionizing radiation to which the three (3) year limitation does not apply. </w:t>
      </w:r>
      <w:r w:rsidRPr="00015BEC">
        <w:rPr>
          <w:rFonts w:ascii="Times New Roman" w:hAnsi="Times New Roman" w:cs="Times New Roman"/>
          <w:iCs/>
          <w:sz w:val="24"/>
          <w:szCs w:val="24"/>
        </w:rPr>
        <w:t>If death results from ionizing radiation within one (1) year after a diagnosis of the medical condition is first communicated to the employee or if death occurs without the communication of a diagnosis to the employee, a claim shall be filed within one (1) year after the date of death</w:t>
      </w:r>
      <w:r w:rsidRPr="00015BEC">
        <w:rPr>
          <w:rFonts w:ascii="Times New Roman" w:hAnsi="Times New Roman" w:cs="Times New Roman"/>
          <w:sz w:val="24"/>
          <w:szCs w:val="24"/>
        </w:rPr>
        <w:t>. </w:t>
      </w:r>
    </w:p>
    <w:p w14:paraId="6460DB49" w14:textId="77777777" w:rsidR="00FF7482" w:rsidRPr="00B052DA" w:rsidRDefault="00FF7482" w:rsidP="00AD1851">
      <w:pPr>
        <w:pStyle w:val="ListParagraph"/>
        <w:spacing w:after="0"/>
        <w:ind w:right="720"/>
        <w:jc w:val="both"/>
        <w:rPr>
          <w:rFonts w:ascii="Times New Roman" w:hAnsi="Times New Roman" w:cs="Times New Roman"/>
          <w:sz w:val="24"/>
          <w:szCs w:val="24"/>
        </w:rPr>
      </w:pPr>
    </w:p>
    <w:p w14:paraId="228D3FBE" w14:textId="439D769A" w:rsidR="00FF7482" w:rsidRDefault="00FF7482" w:rsidP="007476BC">
      <w:pPr>
        <w:pStyle w:val="Heading2"/>
        <w:rPr>
          <w:rFonts w:ascii="Times New Roman" w:hAnsi="Times New Roman" w:cs="Times New Roman"/>
          <w:b/>
          <w:color w:val="auto"/>
        </w:rPr>
      </w:pPr>
      <w:bookmarkStart w:id="679" w:name="_Toc75269392"/>
      <w:r>
        <w:rPr>
          <w:rFonts w:ascii="Times New Roman" w:hAnsi="Times New Roman" w:cs="Times New Roman"/>
          <w:b/>
          <w:color w:val="auto"/>
        </w:rPr>
        <w:t>Statute of Limitations in Wyoming</w:t>
      </w:r>
      <w:r w:rsidR="00320134">
        <w:rPr>
          <w:rFonts w:ascii="Times New Roman" w:hAnsi="Times New Roman" w:cs="Times New Roman"/>
          <w:b/>
          <w:color w:val="auto"/>
        </w:rPr>
        <w:t xml:space="preserve"> – </w:t>
      </w:r>
      <w:r w:rsidRPr="004B77E0">
        <w:rPr>
          <w:rFonts w:ascii="Times New Roman" w:hAnsi="Times New Roman" w:cs="Times New Roman"/>
          <w:b/>
          <w:color w:val="auto"/>
        </w:rPr>
        <w:t>Commencement of Statute of Limitations Period</w:t>
      </w:r>
      <w:bookmarkEnd w:id="679"/>
    </w:p>
    <w:p w14:paraId="00804BD3" w14:textId="54E992C7" w:rsidR="00FF7482" w:rsidRDefault="00FF7482" w:rsidP="006779D4">
      <w:pPr>
        <w:spacing w:after="0"/>
      </w:pPr>
    </w:p>
    <w:p w14:paraId="0FB90896" w14:textId="6E26C36F" w:rsidR="00FF7482" w:rsidRDefault="00FF7482" w:rsidP="00767421">
      <w:pPr>
        <w:pStyle w:val="ListParagraph"/>
        <w:spacing w:after="0"/>
        <w:ind w:left="0"/>
        <w:jc w:val="both"/>
        <w:rPr>
          <w:rFonts w:ascii="Times New Roman" w:hAnsi="Times New Roman" w:cs="Times New Roman"/>
          <w:sz w:val="24"/>
          <w:szCs w:val="24"/>
        </w:rPr>
      </w:pPr>
      <w:r w:rsidRPr="004B77E0">
        <w:rPr>
          <w:rFonts w:ascii="Times New Roman" w:hAnsi="Times New Roman" w:cs="Times New Roman"/>
          <w:b/>
          <w:sz w:val="24"/>
          <w:szCs w:val="24"/>
          <w:u w:val="single"/>
        </w:rPr>
        <w:t>The notice and claim requirements of the workers</w:t>
      </w:r>
      <w:r w:rsidR="008F2AA8">
        <w:rPr>
          <w:rFonts w:ascii="Times New Roman" w:hAnsi="Times New Roman" w:cs="Times New Roman"/>
          <w:b/>
          <w:sz w:val="24"/>
          <w:szCs w:val="24"/>
          <w:u w:val="single"/>
        </w:rPr>
        <w:t>’</w:t>
      </w:r>
      <w:r w:rsidRPr="004B77E0">
        <w:rPr>
          <w:rFonts w:ascii="Times New Roman" w:hAnsi="Times New Roman" w:cs="Times New Roman"/>
          <w:b/>
          <w:sz w:val="24"/>
          <w:szCs w:val="24"/>
          <w:u w:val="single"/>
        </w:rPr>
        <w:t xml:space="preserve"> compensation statutes do not begin to run until the employee becomes aware that an accident has caused </w:t>
      </w:r>
      <w:r w:rsidRPr="004B77E0">
        <w:rPr>
          <w:rFonts w:ascii="Times New Roman" w:hAnsi="Times New Roman" w:cs="Times New Roman"/>
          <w:b/>
          <w:sz w:val="24"/>
          <w:szCs w:val="24"/>
          <w:u w:val="single"/>
        </w:rPr>
        <w:lastRenderedPageBreak/>
        <w:t>an injury</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86"/>
      </w:r>
      <w:r>
        <w:rPr>
          <w:rFonts w:ascii="Times New Roman" w:hAnsi="Times New Roman" w:cs="Times New Roman"/>
          <w:sz w:val="24"/>
          <w:szCs w:val="24"/>
        </w:rPr>
        <w:t xml:space="preserve"> The law of commencement is identical in Wyoming under both notice and claim (statute of limitations) and the principles enunciated above in </w:t>
      </w:r>
      <w:r w:rsidR="003C4184">
        <w:rPr>
          <w:rFonts w:ascii="Times New Roman" w:hAnsi="Times New Roman" w:cs="Times New Roman"/>
          <w:sz w:val="24"/>
          <w:szCs w:val="24"/>
        </w:rPr>
        <w:t xml:space="preserve">Section </w:t>
      </w:r>
      <w:r>
        <w:rPr>
          <w:rFonts w:ascii="Times New Roman" w:hAnsi="Times New Roman" w:cs="Times New Roman"/>
          <w:sz w:val="24"/>
          <w:szCs w:val="24"/>
        </w:rPr>
        <w:t xml:space="preserve">4.3 with respect to </w:t>
      </w:r>
      <w:r w:rsidR="00502D6C">
        <w:rPr>
          <w:rFonts w:ascii="Times New Roman" w:hAnsi="Times New Roman" w:cs="Times New Roman"/>
          <w:sz w:val="24"/>
          <w:szCs w:val="24"/>
        </w:rPr>
        <w:t>n</w:t>
      </w:r>
      <w:r>
        <w:rPr>
          <w:rFonts w:ascii="Times New Roman" w:hAnsi="Times New Roman" w:cs="Times New Roman"/>
          <w:sz w:val="24"/>
          <w:szCs w:val="24"/>
        </w:rPr>
        <w:t xml:space="preserve">otice apply equally to commencements of </w:t>
      </w:r>
      <w:r w:rsidR="00502D6C">
        <w:rPr>
          <w:rFonts w:ascii="Times New Roman" w:hAnsi="Times New Roman" w:cs="Times New Roman"/>
          <w:sz w:val="24"/>
          <w:szCs w:val="24"/>
        </w:rPr>
        <w:t>s</w:t>
      </w:r>
      <w:r>
        <w:rPr>
          <w:rFonts w:ascii="Times New Roman" w:hAnsi="Times New Roman" w:cs="Times New Roman"/>
          <w:sz w:val="24"/>
          <w:szCs w:val="24"/>
        </w:rPr>
        <w:t xml:space="preserve">tatute of </w:t>
      </w:r>
      <w:r w:rsidR="00502D6C">
        <w:rPr>
          <w:rFonts w:ascii="Times New Roman" w:hAnsi="Times New Roman" w:cs="Times New Roman"/>
          <w:sz w:val="24"/>
          <w:szCs w:val="24"/>
        </w:rPr>
        <w:t>l</w:t>
      </w:r>
      <w:r>
        <w:rPr>
          <w:rFonts w:ascii="Times New Roman" w:hAnsi="Times New Roman" w:cs="Times New Roman"/>
          <w:sz w:val="24"/>
          <w:szCs w:val="24"/>
        </w:rPr>
        <w:t xml:space="preserve">imitations periods. Nevertheless, the timing requirements of each must be satisfied independently, and </w:t>
      </w:r>
      <w:r w:rsidRPr="002E5E8C">
        <w:rPr>
          <w:rFonts w:ascii="Times New Roman" w:hAnsi="Times New Roman" w:cs="Times New Roman"/>
          <w:b/>
          <w:sz w:val="24"/>
          <w:szCs w:val="24"/>
        </w:rPr>
        <w:t>the filing of notification o</w:t>
      </w:r>
      <w:r>
        <w:rPr>
          <w:rFonts w:ascii="Times New Roman" w:hAnsi="Times New Roman" w:cs="Times New Roman"/>
          <w:b/>
          <w:sz w:val="24"/>
          <w:szCs w:val="24"/>
        </w:rPr>
        <w:t>f</w:t>
      </w:r>
      <w:r w:rsidRPr="002E5E8C">
        <w:rPr>
          <w:rFonts w:ascii="Times New Roman" w:hAnsi="Times New Roman" w:cs="Times New Roman"/>
          <w:b/>
          <w:sz w:val="24"/>
          <w:szCs w:val="24"/>
        </w:rPr>
        <w:t xml:space="preserve"> injury (which may or may not be timely) is insufficient to satisfy the requirement of filing a claim</w:t>
      </w:r>
      <w:r>
        <w:rPr>
          <w:rFonts w:ascii="Times New Roman" w:hAnsi="Times New Roman" w:cs="Times New Roman"/>
          <w:b/>
          <w:sz w:val="24"/>
          <w:szCs w:val="24"/>
        </w:rPr>
        <w:t xml:space="preserve"> for benefits (and it should be obvious that informal methods of attempting to provide notice of injury, either to the Division of the employer—say, through a phone call—also is insufficient to qualify as a claim for benefits)</w:t>
      </w:r>
      <w:r>
        <w:rPr>
          <w:rFonts w:ascii="Times New Roman" w:hAnsi="Times New Roman" w:cs="Times New Roman"/>
          <w:sz w:val="24"/>
          <w:szCs w:val="24"/>
        </w:rPr>
        <w:t xml:space="preserve">. This is evident from the plain language of </w:t>
      </w:r>
      <w:r w:rsidRPr="00BE237A">
        <w:rPr>
          <w:rFonts w:ascii="Times New Roman" w:hAnsi="Times New Roman" w:cs="Times New Roman"/>
          <w:sz w:val="24"/>
          <w:szCs w:val="24"/>
        </w:rPr>
        <w:t xml:space="preserve">W.S. § </w:t>
      </w:r>
      <w:hyperlink r:id="rId83" w:history="1">
        <w:r w:rsidRPr="00BE237A">
          <w:rPr>
            <w:rStyle w:val="Hyperlink"/>
            <w:rFonts w:ascii="Times New Roman" w:hAnsi="Times New Roman" w:cs="Times New Roman"/>
            <w:sz w:val="24"/>
            <w:szCs w:val="24"/>
          </w:rPr>
          <w:t>27-14-503</w:t>
        </w:r>
      </w:hyperlink>
      <w:r>
        <w:rPr>
          <w:rFonts w:ascii="Times New Roman" w:hAnsi="Times New Roman" w:cs="Times New Roman"/>
          <w:sz w:val="24"/>
          <w:szCs w:val="24"/>
        </w:rPr>
        <w:t>(a) (see above in this Treatise at Section 4.5) and has also been well-established in the case law.</w:t>
      </w:r>
      <w:r w:rsidRPr="00336412">
        <w:rPr>
          <w:rFonts w:ascii="Times New Roman" w:hAnsi="Times New Roman" w:cs="Times New Roman"/>
          <w:sz w:val="24"/>
          <w:szCs w:val="24"/>
          <w:vertAlign w:val="superscript"/>
        </w:rPr>
        <w:footnoteReference w:id="487"/>
      </w:r>
      <w:r>
        <w:rPr>
          <w:rFonts w:ascii="Times New Roman" w:hAnsi="Times New Roman" w:cs="Times New Roman"/>
          <w:sz w:val="24"/>
          <w:szCs w:val="24"/>
        </w:rPr>
        <w:t xml:space="preserve"> </w:t>
      </w:r>
      <w:r w:rsidRPr="00FF3BF3">
        <w:rPr>
          <w:rFonts w:ascii="Times New Roman" w:hAnsi="Times New Roman" w:cs="Times New Roman"/>
          <w:b/>
          <w:sz w:val="24"/>
          <w:szCs w:val="24"/>
          <w:u w:val="single"/>
        </w:rPr>
        <w:t>Failure to timely file a claim for benefits is jurisdictional</w:t>
      </w:r>
      <w:r>
        <w:rPr>
          <w:rFonts w:ascii="Times New Roman" w:hAnsi="Times New Roman" w:cs="Times New Roman"/>
          <w:sz w:val="24"/>
          <w:szCs w:val="24"/>
        </w:rPr>
        <w:t xml:space="preserve"> and a court is </w:t>
      </w:r>
      <w:r w:rsidRPr="00FF3BF3">
        <w:rPr>
          <w:rFonts w:ascii="Times New Roman" w:hAnsi="Times New Roman" w:cs="Times New Roman"/>
          <w:b/>
          <w:sz w:val="24"/>
          <w:szCs w:val="24"/>
          <w:u w:val="single"/>
        </w:rPr>
        <w:t>without subject matter jurisdiction</w:t>
      </w:r>
      <w:r>
        <w:rPr>
          <w:rFonts w:ascii="Times New Roman" w:hAnsi="Times New Roman" w:cs="Times New Roman"/>
          <w:sz w:val="24"/>
          <w:szCs w:val="24"/>
        </w:rPr>
        <w:t xml:space="preserve"> to hear any appeal of an underlying administrative proceeding in those circumstances.</w:t>
      </w:r>
      <w:r w:rsidRPr="00336412">
        <w:rPr>
          <w:rFonts w:ascii="Times New Roman" w:hAnsi="Times New Roman" w:cs="Times New Roman"/>
          <w:sz w:val="24"/>
          <w:szCs w:val="24"/>
          <w:vertAlign w:val="superscript"/>
        </w:rPr>
        <w:footnoteReference w:id="488"/>
      </w:r>
    </w:p>
    <w:p w14:paraId="38653874" w14:textId="77777777" w:rsidR="00FF7482" w:rsidRDefault="00FF7482" w:rsidP="00C402E8">
      <w:pPr>
        <w:pStyle w:val="ListParagraph"/>
        <w:spacing w:after="0"/>
        <w:ind w:left="0" w:firstLine="720"/>
        <w:jc w:val="both"/>
        <w:rPr>
          <w:rFonts w:ascii="Times New Roman" w:hAnsi="Times New Roman" w:cs="Times New Roman"/>
          <w:sz w:val="24"/>
          <w:szCs w:val="24"/>
        </w:rPr>
      </w:pPr>
    </w:p>
    <w:p w14:paraId="0E3326BA" w14:textId="48A1A8CD" w:rsidR="00FF7482" w:rsidRDefault="00FF7482" w:rsidP="00800930">
      <w:pPr>
        <w:pStyle w:val="Heading2"/>
        <w:rPr>
          <w:rFonts w:ascii="Times New Roman" w:hAnsi="Times New Roman" w:cs="Times New Roman"/>
          <w:b/>
          <w:color w:val="auto"/>
        </w:rPr>
      </w:pPr>
      <w:bookmarkStart w:id="683" w:name="_Toc75269393"/>
      <w:bookmarkStart w:id="684" w:name="_Hlk522265431"/>
      <w:r w:rsidRPr="00115189">
        <w:rPr>
          <w:rFonts w:ascii="Times New Roman" w:hAnsi="Times New Roman" w:cs="Times New Roman"/>
          <w:b/>
          <w:color w:val="auto"/>
        </w:rPr>
        <w:t>Statute of Limitations in Wyoming</w:t>
      </w:r>
      <w:r w:rsidR="00320134">
        <w:rPr>
          <w:rFonts w:ascii="Times New Roman" w:hAnsi="Times New Roman" w:cs="Times New Roman"/>
          <w:b/>
          <w:color w:val="auto"/>
        </w:rPr>
        <w:t xml:space="preserve"> – </w:t>
      </w:r>
      <w:r w:rsidRPr="00115189">
        <w:rPr>
          <w:rFonts w:ascii="Times New Roman" w:hAnsi="Times New Roman" w:cs="Times New Roman"/>
          <w:b/>
          <w:color w:val="auto"/>
        </w:rPr>
        <w:t>Injuries Occurring over a Substantial Period of Time</w:t>
      </w:r>
      <w:bookmarkEnd w:id="683"/>
    </w:p>
    <w:bookmarkEnd w:id="684"/>
    <w:p w14:paraId="5C79302C" w14:textId="32CB9DF5" w:rsidR="00FF7482" w:rsidRDefault="00FF7482" w:rsidP="008A788C">
      <w:pPr>
        <w:pStyle w:val="ListParagraph"/>
        <w:spacing w:after="0"/>
        <w:ind w:left="0" w:firstLine="720"/>
        <w:jc w:val="both"/>
      </w:pPr>
    </w:p>
    <w:p w14:paraId="3FC4C02F" w14:textId="7EAEF627" w:rsidR="00FF7482" w:rsidRDefault="00FF7482" w:rsidP="003C418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By definition, gradual, or cumulative, injuries do not occur at a precise time in a manner making it (more or less) clear when to “start the clock” on the statute of limitations for the claim period. As a practical matter, these injuries are “latent” in the sense that, although an employee may be aware that adverse changes to the body are occurring, there is not awareness that the symptomology has risen to the level of an injury. In injury (not requiring an “accident”) states like Wyoming, “there is </w:t>
      </w:r>
      <w:r w:rsidRPr="00A80B4D">
        <w:rPr>
          <w:rFonts w:ascii="Times New Roman" w:hAnsi="Times New Roman" w:cs="Times New Roman"/>
          <w:sz w:val="24"/>
          <w:szCs w:val="24"/>
        </w:rPr>
        <w:t>now almost complete judicial agreement that the claim period runs from the time compensable injury becomes apparent.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89"/>
      </w:r>
      <w:r>
        <w:rPr>
          <w:rFonts w:ascii="Times New Roman" w:hAnsi="Times New Roman" w:cs="Times New Roman"/>
          <w:sz w:val="24"/>
          <w:szCs w:val="24"/>
        </w:rPr>
        <w:t xml:space="preserve"> This, of course, is very close to the rule that is set forth above in Section 4.6, but under Wyoming law there is a twist for </w:t>
      </w:r>
      <w:r w:rsidRPr="000003D1">
        <w:rPr>
          <w:rFonts w:ascii="Times New Roman" w:hAnsi="Times New Roman" w:cs="Times New Roman"/>
          <w:b/>
          <w:bCs/>
          <w:sz w:val="24"/>
          <w:szCs w:val="24"/>
        </w:rPr>
        <w:t>“injuries occurring over a substantial period of time”</w:t>
      </w:r>
      <w:r>
        <w:rPr>
          <w:rFonts w:ascii="Times New Roman" w:hAnsi="Times New Roman" w:cs="Times New Roman"/>
          <w:sz w:val="24"/>
          <w:szCs w:val="24"/>
        </w:rPr>
        <w:t xml:space="preserve"> under </w:t>
      </w:r>
      <w:bookmarkStart w:id="687" w:name="_Hlk522217941"/>
      <w:r w:rsidRPr="00BE237A">
        <w:rPr>
          <w:rFonts w:ascii="Times New Roman" w:hAnsi="Times New Roman" w:cs="Times New Roman"/>
          <w:sz w:val="24"/>
          <w:szCs w:val="24"/>
        </w:rPr>
        <w:t xml:space="preserve">W.S. § </w:t>
      </w:r>
      <w:hyperlink r:id="rId84" w:history="1">
        <w:r w:rsidRPr="00BE237A">
          <w:rPr>
            <w:rStyle w:val="Hyperlink"/>
            <w:rFonts w:ascii="Times New Roman" w:hAnsi="Times New Roman" w:cs="Times New Roman"/>
            <w:sz w:val="24"/>
            <w:szCs w:val="24"/>
          </w:rPr>
          <w:t>27-14-503</w:t>
        </w:r>
      </w:hyperlink>
      <w:r>
        <w:rPr>
          <w:rFonts w:ascii="Times New Roman" w:hAnsi="Times New Roman" w:cs="Times New Roman"/>
          <w:sz w:val="24"/>
          <w:szCs w:val="24"/>
        </w:rPr>
        <w:t xml:space="preserve">(b). </w:t>
      </w:r>
      <w:bookmarkEnd w:id="687"/>
    </w:p>
    <w:p w14:paraId="3C4EFB04" w14:textId="77777777" w:rsidR="00FF7482" w:rsidRDefault="00FF7482" w:rsidP="00115189">
      <w:pPr>
        <w:pStyle w:val="ListParagraph"/>
        <w:ind w:left="0" w:firstLine="720"/>
        <w:jc w:val="both"/>
        <w:rPr>
          <w:rFonts w:ascii="Times New Roman" w:hAnsi="Times New Roman" w:cs="Times New Roman"/>
          <w:sz w:val="24"/>
          <w:szCs w:val="24"/>
        </w:rPr>
      </w:pPr>
    </w:p>
    <w:p w14:paraId="0851B57C" w14:textId="74E5E297" w:rsidR="00FF7482" w:rsidRPr="005C13A9" w:rsidRDefault="00FF7482" w:rsidP="008D669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Suppose a diagnosis of injury is made but the employee continues to be exposed to the condition. Under the language of the statute the potential for claims with very “long tails” would seem to exist (in other words, the claim is not quite extinguished on timing grounds). Suppose again the employee is diagnosed with an injury occurring over a long period of time in the first year of what turns out to be a lengthy condition, and thereafter fully complies with the reporting duty by notifying the employer and filing a written report with the Division. The employee then continues to work at the same job in the same working conditions for twenty years. The </w:t>
      </w:r>
      <w:r>
        <w:rPr>
          <w:rFonts w:ascii="Times New Roman" w:hAnsi="Times New Roman" w:cs="Times New Roman"/>
          <w:sz w:val="24"/>
          <w:szCs w:val="24"/>
        </w:rPr>
        <w:lastRenderedPageBreak/>
        <w:t xml:space="preserve">employee then leaves the job, but files a workers’ compensation claim two years after departure (that is, within three years of </w:t>
      </w:r>
      <w:r w:rsidRPr="000D578F">
        <w:rPr>
          <w:rFonts w:ascii="Times New Roman" w:hAnsi="Times New Roman" w:cs="Times New Roman"/>
          <w:i/>
          <w:iCs/>
          <w:sz w:val="24"/>
          <w:szCs w:val="24"/>
        </w:rPr>
        <w:t>the last injurious exposure</w:t>
      </w:r>
      <w:r>
        <w:rPr>
          <w:rFonts w:ascii="Times New Roman" w:hAnsi="Times New Roman" w:cs="Times New Roman"/>
          <w:sz w:val="24"/>
          <w:szCs w:val="24"/>
        </w:rPr>
        <w:t xml:space="preserve"> to the condition). Under the literal language of the statute, it is difficult to see why the claim would not be compensable. This is not a fanciful set of facts. It tracks quite closely with </w:t>
      </w:r>
      <w:r w:rsidRPr="005C13A9">
        <w:rPr>
          <w:rFonts w:ascii="Times New Roman" w:hAnsi="Times New Roman" w:cs="Times New Roman"/>
          <w:i/>
          <w:sz w:val="24"/>
          <w:szCs w:val="24"/>
        </w:rPr>
        <w:t>Matter of Barnes</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90"/>
      </w:r>
      <w:r>
        <w:rPr>
          <w:rFonts w:ascii="Times New Roman" w:hAnsi="Times New Roman" w:cs="Times New Roman"/>
          <w:sz w:val="24"/>
          <w:szCs w:val="24"/>
        </w:rPr>
        <w:t xml:space="preserve"> decided under an earlier version of the Wyoming Workers’ Compensation </w:t>
      </w:r>
      <w:r w:rsidR="006D1773">
        <w:rPr>
          <w:rFonts w:ascii="Times New Roman" w:hAnsi="Times New Roman" w:cs="Times New Roman"/>
          <w:sz w:val="24"/>
          <w:szCs w:val="24"/>
        </w:rPr>
        <w:t>A</w:t>
      </w:r>
      <w:r>
        <w:rPr>
          <w:rFonts w:ascii="Times New Roman" w:hAnsi="Times New Roman" w:cs="Times New Roman"/>
          <w:sz w:val="24"/>
          <w:szCs w:val="24"/>
        </w:rPr>
        <w:t>ct. In that case, Barnes suffered a compensable back injury on March 29, 1967,</w:t>
      </w:r>
      <w:r w:rsidRPr="00336412">
        <w:rPr>
          <w:rFonts w:ascii="Times New Roman" w:hAnsi="Times New Roman" w:cs="Times New Roman"/>
          <w:sz w:val="24"/>
          <w:szCs w:val="24"/>
          <w:vertAlign w:val="superscript"/>
        </w:rPr>
        <w:footnoteReference w:id="491"/>
      </w:r>
      <w:r>
        <w:rPr>
          <w:rFonts w:ascii="Times New Roman" w:hAnsi="Times New Roman" w:cs="Times New Roman"/>
          <w:sz w:val="24"/>
          <w:szCs w:val="24"/>
        </w:rPr>
        <w:t xml:space="preserve"> and never filed a claim until February 25, 1976.</w:t>
      </w:r>
      <w:r w:rsidRPr="00336412">
        <w:rPr>
          <w:rFonts w:ascii="Times New Roman" w:hAnsi="Times New Roman" w:cs="Times New Roman"/>
          <w:sz w:val="24"/>
          <w:szCs w:val="24"/>
          <w:vertAlign w:val="superscript"/>
        </w:rPr>
        <w:footnoteReference w:id="492"/>
      </w:r>
      <w:r>
        <w:rPr>
          <w:rFonts w:ascii="Times New Roman" w:hAnsi="Times New Roman" w:cs="Times New Roman"/>
          <w:sz w:val="24"/>
          <w:szCs w:val="24"/>
        </w:rPr>
        <w:t xml:space="preserve"> The facts showed that following a work-related back injury Barnes received brief treatment but never missed time from work.</w:t>
      </w:r>
      <w:r w:rsidRPr="00336412">
        <w:rPr>
          <w:rFonts w:ascii="Times New Roman" w:hAnsi="Times New Roman" w:cs="Times New Roman"/>
          <w:sz w:val="24"/>
          <w:szCs w:val="24"/>
          <w:vertAlign w:val="superscript"/>
        </w:rPr>
        <w:footnoteReference w:id="493"/>
      </w:r>
      <w:r>
        <w:rPr>
          <w:rFonts w:ascii="Times New Roman" w:hAnsi="Times New Roman" w:cs="Times New Roman"/>
          <w:sz w:val="24"/>
          <w:szCs w:val="24"/>
        </w:rPr>
        <w:t xml:space="preserve"> The Wyoming Supreme Court upheld the district court’s determination that Barnes was eligible for temporary total disability benefits despite the significant lapse of time.</w:t>
      </w:r>
      <w:r w:rsidRPr="00336412">
        <w:rPr>
          <w:rFonts w:ascii="Times New Roman" w:hAnsi="Times New Roman" w:cs="Times New Roman"/>
          <w:sz w:val="24"/>
          <w:szCs w:val="24"/>
          <w:vertAlign w:val="superscript"/>
        </w:rPr>
        <w:footnoteReference w:id="494"/>
      </w:r>
      <w:r>
        <w:rPr>
          <w:rFonts w:ascii="Times New Roman" w:hAnsi="Times New Roman" w:cs="Times New Roman"/>
          <w:sz w:val="24"/>
          <w:szCs w:val="24"/>
        </w:rPr>
        <w:t xml:space="preserve"> </w:t>
      </w:r>
    </w:p>
    <w:p w14:paraId="2E03B2A9" w14:textId="77777777" w:rsidR="00FF7482" w:rsidRDefault="00FF7482" w:rsidP="00115189">
      <w:pPr>
        <w:pStyle w:val="ListParagraph"/>
        <w:ind w:left="0" w:firstLine="720"/>
        <w:jc w:val="both"/>
        <w:rPr>
          <w:rFonts w:ascii="Times New Roman" w:hAnsi="Times New Roman" w:cs="Times New Roman"/>
          <w:sz w:val="24"/>
          <w:szCs w:val="24"/>
        </w:rPr>
      </w:pPr>
    </w:p>
    <w:p w14:paraId="24574AC2" w14:textId="67C041CA" w:rsidR="00FF7482" w:rsidRPr="008C01AB" w:rsidRDefault="00FF7482" w:rsidP="008C01A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Or, perhaps, under the current version of the Wyoming Workers’ Compensation Act, upon the diagnosis of injury the statute of limitations operates just as in the case of a single brief occurrence. Regardless, it seems clear under the statute that, whether or not a diagnosis of injury has been made, a </w:t>
      </w:r>
      <w:r w:rsidRPr="000D578F">
        <w:rPr>
          <w:rFonts w:ascii="Times New Roman" w:hAnsi="Times New Roman" w:cs="Times New Roman"/>
          <w:i/>
          <w:iCs/>
          <w:sz w:val="24"/>
          <w:szCs w:val="24"/>
        </w:rPr>
        <w:t>claim</w:t>
      </w:r>
      <w:r>
        <w:rPr>
          <w:rFonts w:ascii="Times New Roman" w:hAnsi="Times New Roman" w:cs="Times New Roman"/>
          <w:sz w:val="24"/>
          <w:szCs w:val="24"/>
        </w:rPr>
        <w:t xml:space="preserve"> must be commenced </w:t>
      </w:r>
      <w:r w:rsidRPr="00B8743C">
        <w:rPr>
          <w:rFonts w:ascii="Times New Roman" w:hAnsi="Times New Roman" w:cs="Times New Roman"/>
          <w:b/>
          <w:iCs/>
          <w:sz w:val="24"/>
          <w:szCs w:val="24"/>
          <w:u w:val="single"/>
        </w:rPr>
        <w:t>within three years from the date of last injurious workplace exposure</w:t>
      </w:r>
      <w:r>
        <w:rPr>
          <w:rFonts w:ascii="Times New Roman" w:hAnsi="Times New Roman" w:cs="Times New Roman"/>
          <w:sz w:val="24"/>
          <w:szCs w:val="24"/>
        </w:rPr>
        <w:t xml:space="preserve"> to the relevant condition</w:t>
      </w:r>
      <w:r w:rsidR="008C01A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79B8CD9" w14:textId="77777777" w:rsidR="00FF7482" w:rsidRPr="00115189" w:rsidRDefault="00FF7482" w:rsidP="00AD1851">
      <w:pPr>
        <w:pStyle w:val="ListParagraph"/>
        <w:spacing w:after="0"/>
        <w:ind w:left="0" w:firstLine="720"/>
        <w:jc w:val="both"/>
        <w:rPr>
          <w:rFonts w:ascii="Times New Roman" w:hAnsi="Times New Roman" w:cs="Times New Roman"/>
          <w:sz w:val="24"/>
          <w:szCs w:val="24"/>
        </w:rPr>
      </w:pPr>
    </w:p>
    <w:p w14:paraId="44356EC9" w14:textId="4DE6C29D" w:rsidR="00FF7482" w:rsidRPr="006779D4" w:rsidRDefault="00FF7482" w:rsidP="006455F0">
      <w:pPr>
        <w:pStyle w:val="Heading2"/>
        <w:spacing w:before="0"/>
        <w:rPr>
          <w:rFonts w:ascii="Times New Roman" w:hAnsi="Times New Roman" w:cs="Times New Roman"/>
          <w:b/>
          <w:color w:val="auto"/>
        </w:rPr>
      </w:pPr>
      <w:bookmarkStart w:id="693" w:name="_Toc75269394"/>
      <w:bookmarkStart w:id="694" w:name="_Hlk523154697"/>
      <w:r w:rsidRPr="006779D4">
        <w:rPr>
          <w:rFonts w:ascii="Times New Roman" w:hAnsi="Times New Roman" w:cs="Times New Roman"/>
          <w:b/>
          <w:color w:val="auto"/>
        </w:rPr>
        <w:t>Statute of Limitations in Wyoming</w:t>
      </w:r>
      <w:r w:rsidR="00320134">
        <w:rPr>
          <w:rFonts w:ascii="Times New Roman" w:hAnsi="Times New Roman" w:cs="Times New Roman"/>
          <w:b/>
          <w:color w:val="auto"/>
        </w:rPr>
        <w:t xml:space="preserve"> – </w:t>
      </w:r>
      <w:r w:rsidRPr="006779D4">
        <w:rPr>
          <w:rFonts w:ascii="Times New Roman" w:hAnsi="Times New Roman" w:cs="Times New Roman"/>
          <w:b/>
          <w:color w:val="auto"/>
        </w:rPr>
        <w:t>Tolling</w:t>
      </w:r>
      <w:r>
        <w:rPr>
          <w:rFonts w:ascii="Times New Roman" w:hAnsi="Times New Roman" w:cs="Times New Roman"/>
          <w:b/>
          <w:color w:val="auto"/>
        </w:rPr>
        <w:t xml:space="preserve"> and Equitable Estoppel</w:t>
      </w:r>
      <w:bookmarkEnd w:id="693"/>
    </w:p>
    <w:p w14:paraId="36CD1682" w14:textId="5E2147F7" w:rsidR="00FF7482" w:rsidRDefault="006455F0" w:rsidP="006455F0">
      <w:pPr>
        <w:pStyle w:val="Heading2"/>
        <w:numPr>
          <w:ilvl w:val="0"/>
          <w:numId w:val="0"/>
        </w:numPr>
        <w:spacing w:before="0"/>
      </w:pPr>
      <w:r>
        <w:t xml:space="preserve">            </w:t>
      </w:r>
    </w:p>
    <w:bookmarkEnd w:id="694"/>
    <w:p w14:paraId="175A4F2D" w14:textId="69B33AB0" w:rsidR="00FF7482" w:rsidRDefault="00FF7482" w:rsidP="006455F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w:t>
      </w:r>
      <w:r w:rsidRPr="00A871DB">
        <w:rPr>
          <w:rFonts w:ascii="Times New Roman" w:hAnsi="Times New Roman" w:cs="Times New Roman"/>
          <w:sz w:val="24"/>
          <w:szCs w:val="24"/>
        </w:rPr>
        <w:t xml:space="preserve">he </w:t>
      </w:r>
      <w:r>
        <w:rPr>
          <w:rFonts w:ascii="Times New Roman" w:hAnsi="Times New Roman" w:cs="Times New Roman"/>
          <w:sz w:val="24"/>
          <w:szCs w:val="24"/>
        </w:rPr>
        <w:t xml:space="preserve">Wyoming </w:t>
      </w:r>
      <w:r w:rsidRPr="00A871DB">
        <w:rPr>
          <w:rFonts w:ascii="Times New Roman" w:hAnsi="Times New Roman" w:cs="Times New Roman"/>
          <w:sz w:val="24"/>
          <w:szCs w:val="24"/>
        </w:rPr>
        <w:t>rule for when the commencement period begins to run is</w:t>
      </w:r>
      <w:r>
        <w:rPr>
          <w:rFonts w:ascii="Times New Roman" w:hAnsi="Times New Roman" w:cs="Times New Roman"/>
          <w:sz w:val="24"/>
          <w:szCs w:val="24"/>
        </w:rPr>
        <w:t xml:space="preserve"> itself</w:t>
      </w:r>
      <w:r w:rsidRPr="00A871DB">
        <w:rPr>
          <w:rFonts w:ascii="Times New Roman" w:hAnsi="Times New Roman" w:cs="Times New Roman"/>
          <w:sz w:val="24"/>
          <w:szCs w:val="24"/>
        </w:rPr>
        <w:t xml:space="preserve"> a </w:t>
      </w:r>
      <w:r>
        <w:rPr>
          <w:rFonts w:ascii="Times New Roman" w:hAnsi="Times New Roman" w:cs="Times New Roman"/>
          <w:sz w:val="24"/>
          <w:szCs w:val="24"/>
        </w:rPr>
        <w:t xml:space="preserve">general </w:t>
      </w:r>
      <w:r w:rsidRPr="00A871DB">
        <w:rPr>
          <w:rFonts w:ascii="Times New Roman" w:hAnsi="Times New Roman" w:cs="Times New Roman"/>
          <w:sz w:val="24"/>
          <w:szCs w:val="24"/>
        </w:rPr>
        <w:t xml:space="preserve">form of </w:t>
      </w:r>
      <w:r w:rsidRPr="000D578F">
        <w:rPr>
          <w:rFonts w:ascii="Times New Roman" w:hAnsi="Times New Roman" w:cs="Times New Roman"/>
          <w:b/>
          <w:bCs/>
          <w:sz w:val="24"/>
          <w:szCs w:val="24"/>
        </w:rPr>
        <w:t>statutory</w:t>
      </w:r>
      <w:r>
        <w:rPr>
          <w:rFonts w:ascii="Times New Roman" w:hAnsi="Times New Roman" w:cs="Times New Roman"/>
          <w:b/>
          <w:bCs/>
          <w:sz w:val="24"/>
          <w:szCs w:val="24"/>
        </w:rPr>
        <w:t xml:space="preserve"> tolling</w:t>
      </w:r>
      <w:r w:rsidRPr="000D578F">
        <w:rPr>
          <w:rFonts w:ascii="Times New Roman" w:hAnsi="Times New Roman" w:cs="Times New Roman"/>
          <w:b/>
          <w:bCs/>
          <w:sz w:val="24"/>
          <w:szCs w:val="24"/>
        </w:rPr>
        <w:t>, as opposed to equitable</w:t>
      </w:r>
      <w:r>
        <w:rPr>
          <w:rFonts w:ascii="Times New Roman" w:hAnsi="Times New Roman" w:cs="Times New Roman"/>
          <w:b/>
          <w:bCs/>
          <w:sz w:val="24"/>
          <w:szCs w:val="24"/>
        </w:rPr>
        <w:t xml:space="preserve"> estoppel</w:t>
      </w:r>
      <w:r>
        <w:rPr>
          <w:rFonts w:ascii="Times New Roman" w:hAnsi="Times New Roman" w:cs="Times New Roman"/>
          <w:sz w:val="24"/>
          <w:szCs w:val="24"/>
        </w:rPr>
        <w:t>.</w:t>
      </w:r>
      <w:r w:rsidRPr="00A871DB">
        <w:rPr>
          <w:rFonts w:ascii="Times New Roman" w:hAnsi="Times New Roman" w:cs="Times New Roman"/>
          <w:sz w:val="24"/>
          <w:szCs w:val="24"/>
        </w:rPr>
        <w:t xml:space="preserve"> </w:t>
      </w:r>
      <w:r>
        <w:rPr>
          <w:rFonts w:ascii="Times New Roman" w:hAnsi="Times New Roman" w:cs="Times New Roman"/>
          <w:sz w:val="24"/>
          <w:szCs w:val="24"/>
        </w:rPr>
        <w:t>A</w:t>
      </w:r>
      <w:r w:rsidRPr="00A871DB">
        <w:rPr>
          <w:rFonts w:ascii="Times New Roman" w:hAnsi="Times New Roman" w:cs="Times New Roman"/>
          <w:sz w:val="24"/>
          <w:szCs w:val="24"/>
        </w:rPr>
        <w:t xml:space="preserve">s explained </w:t>
      </w:r>
      <w:r>
        <w:rPr>
          <w:rFonts w:ascii="Times New Roman" w:hAnsi="Times New Roman" w:cs="Times New Roman"/>
          <w:sz w:val="24"/>
          <w:szCs w:val="24"/>
        </w:rPr>
        <w:t xml:space="preserve">in this Treatise </w:t>
      </w:r>
      <w:r w:rsidRPr="00A871DB">
        <w:rPr>
          <w:rFonts w:ascii="Times New Roman" w:hAnsi="Times New Roman" w:cs="Times New Roman"/>
          <w:sz w:val="24"/>
          <w:szCs w:val="24"/>
        </w:rPr>
        <w:t>above in Section 4.</w:t>
      </w:r>
      <w:r>
        <w:rPr>
          <w:rFonts w:ascii="Times New Roman" w:hAnsi="Times New Roman" w:cs="Times New Roman"/>
          <w:sz w:val="24"/>
          <w:szCs w:val="24"/>
        </w:rPr>
        <w:t>5</w:t>
      </w:r>
      <w:r w:rsidRPr="00A871DB">
        <w:rPr>
          <w:rFonts w:ascii="Times New Roman" w:hAnsi="Times New Roman" w:cs="Times New Roman"/>
          <w:sz w:val="24"/>
          <w:szCs w:val="24"/>
        </w:rPr>
        <w:t xml:space="preserve">, the limitations period may not begin to run until </w:t>
      </w:r>
      <w:r>
        <w:rPr>
          <w:rFonts w:ascii="Times New Roman" w:hAnsi="Times New Roman" w:cs="Times New Roman"/>
          <w:sz w:val="24"/>
          <w:szCs w:val="24"/>
        </w:rPr>
        <w:t xml:space="preserve">the employee becomes (or a reasonable employee would have become) aware of an injury. The word “aware” in this context is simply a species of synonym for the word “discovery.” Courts sometimes </w:t>
      </w:r>
      <w:r w:rsidRPr="000D578F">
        <w:rPr>
          <w:rFonts w:ascii="Times New Roman" w:hAnsi="Times New Roman" w:cs="Times New Roman"/>
          <w:i/>
          <w:iCs/>
          <w:sz w:val="24"/>
          <w:szCs w:val="24"/>
        </w:rPr>
        <w:t>imply</w:t>
      </w:r>
      <w:r>
        <w:rPr>
          <w:rFonts w:ascii="Times New Roman" w:hAnsi="Times New Roman" w:cs="Times New Roman"/>
          <w:sz w:val="24"/>
          <w:szCs w:val="24"/>
        </w:rPr>
        <w:t xml:space="preserve"> allowance of discovery of an injury when statutes are silent on the issue of “extensions of time” in order to prevent, on equitable grounds, commencement of a statutory period until the facts establishing accrual of an action have become known to a plaintiff (or claimant). The Wyoming Workers’ Compensation Act is not, however, silent on questions of limitations of time. In addition to the general discovery provision in the Wyoming statute, discussed in </w:t>
      </w:r>
      <w:r w:rsidR="006455F0">
        <w:rPr>
          <w:rFonts w:ascii="Times New Roman" w:hAnsi="Times New Roman" w:cs="Times New Roman"/>
          <w:sz w:val="24"/>
          <w:szCs w:val="24"/>
        </w:rPr>
        <w:t>S</w:t>
      </w:r>
      <w:r>
        <w:rPr>
          <w:rFonts w:ascii="Times New Roman" w:hAnsi="Times New Roman" w:cs="Times New Roman"/>
          <w:sz w:val="24"/>
          <w:szCs w:val="24"/>
        </w:rPr>
        <w:t xml:space="preserve">ection 4.6, there is also a </w:t>
      </w:r>
      <w:r w:rsidRPr="005A3437">
        <w:rPr>
          <w:rFonts w:ascii="Times New Roman" w:hAnsi="Times New Roman" w:cs="Times New Roman"/>
          <w:i/>
          <w:iCs/>
          <w:sz w:val="24"/>
          <w:szCs w:val="24"/>
        </w:rPr>
        <w:t>specialized</w:t>
      </w:r>
      <w:r>
        <w:rPr>
          <w:rFonts w:ascii="Times New Roman" w:hAnsi="Times New Roman" w:cs="Times New Roman"/>
          <w:sz w:val="24"/>
          <w:szCs w:val="24"/>
        </w:rPr>
        <w:t xml:space="preserve"> tolling provision.</w:t>
      </w:r>
    </w:p>
    <w:p w14:paraId="65D17A0B" w14:textId="77777777" w:rsidR="00FF7482" w:rsidRDefault="00FF7482" w:rsidP="008337F0">
      <w:pPr>
        <w:pStyle w:val="ListParagraph"/>
        <w:spacing w:after="0"/>
        <w:ind w:left="0" w:firstLine="720"/>
        <w:jc w:val="both"/>
        <w:rPr>
          <w:rFonts w:ascii="Times New Roman" w:hAnsi="Times New Roman" w:cs="Times New Roman"/>
          <w:sz w:val="24"/>
          <w:szCs w:val="24"/>
        </w:rPr>
      </w:pPr>
      <w:bookmarkStart w:id="695" w:name="_Hlk522539922"/>
    </w:p>
    <w:p w14:paraId="36ECF915" w14:textId="7E044144" w:rsidR="00FF7482" w:rsidRDefault="00FF7482" w:rsidP="006455F0">
      <w:pPr>
        <w:pStyle w:val="ListParagraph"/>
        <w:ind w:left="0"/>
        <w:jc w:val="both"/>
        <w:rPr>
          <w:rFonts w:ascii="Times New Roman" w:hAnsi="Times New Roman" w:cs="Times New Roman"/>
          <w:sz w:val="24"/>
          <w:szCs w:val="24"/>
        </w:rPr>
      </w:pPr>
      <w:r w:rsidRPr="00BE237A">
        <w:rPr>
          <w:rFonts w:ascii="Times New Roman" w:hAnsi="Times New Roman" w:cs="Times New Roman"/>
          <w:sz w:val="24"/>
          <w:szCs w:val="24"/>
        </w:rPr>
        <w:t>W.S. §</w:t>
      </w:r>
      <w:hyperlink r:id="rId85" w:history="1">
        <w:r w:rsidRPr="008B6103">
          <w:rPr>
            <w:rStyle w:val="Hyperlink"/>
            <w:rFonts w:ascii="Times New Roman" w:hAnsi="Times New Roman" w:cs="Times New Roman"/>
            <w:sz w:val="24"/>
            <w:szCs w:val="24"/>
            <w:u w:val="none"/>
          </w:rPr>
          <w:t xml:space="preserve"> </w:t>
        </w:r>
        <w:r w:rsidRPr="00BE237A">
          <w:rPr>
            <w:rStyle w:val="Hyperlink"/>
            <w:rFonts w:ascii="Times New Roman" w:hAnsi="Times New Roman" w:cs="Times New Roman"/>
            <w:sz w:val="24"/>
            <w:szCs w:val="24"/>
          </w:rPr>
          <w:t>27-14-505</w:t>
        </w:r>
        <w:bookmarkEnd w:id="695"/>
      </w:hyperlink>
      <w:r>
        <w:rPr>
          <w:rFonts w:ascii="Times New Roman" w:hAnsi="Times New Roman" w:cs="Times New Roman"/>
          <w:sz w:val="24"/>
          <w:szCs w:val="24"/>
        </w:rPr>
        <w:t xml:space="preserve"> states (Emphases supplied):</w:t>
      </w:r>
    </w:p>
    <w:p w14:paraId="5A20568F" w14:textId="25A5A017" w:rsidR="00FF7482" w:rsidRDefault="00FF7482" w:rsidP="00153E8D">
      <w:pPr>
        <w:pStyle w:val="ListParagraph"/>
        <w:ind w:left="0" w:firstLine="720"/>
        <w:jc w:val="both"/>
        <w:rPr>
          <w:rFonts w:ascii="Times New Roman" w:hAnsi="Times New Roman" w:cs="Times New Roman"/>
          <w:sz w:val="24"/>
          <w:szCs w:val="24"/>
        </w:rPr>
      </w:pPr>
    </w:p>
    <w:p w14:paraId="5DFB5AA9" w14:textId="12B3C4BA" w:rsidR="00FF7482" w:rsidRDefault="00FF7482" w:rsidP="00722E68">
      <w:pPr>
        <w:pStyle w:val="ListParagraph"/>
        <w:ind w:right="720"/>
        <w:jc w:val="both"/>
        <w:rPr>
          <w:rFonts w:ascii="Times New Roman" w:hAnsi="Times New Roman" w:cs="Times New Roman"/>
          <w:sz w:val="24"/>
          <w:szCs w:val="24"/>
        </w:rPr>
      </w:pPr>
      <w:r w:rsidRPr="00711E28">
        <w:rPr>
          <w:rFonts w:ascii="Times New Roman" w:hAnsi="Times New Roman" w:cs="Times New Roman"/>
          <w:sz w:val="24"/>
          <w:szCs w:val="24"/>
        </w:rPr>
        <w:lastRenderedPageBreak/>
        <w:t xml:space="preserve">If an injured employee is </w:t>
      </w:r>
      <w:r w:rsidRPr="00711E28">
        <w:rPr>
          <w:rFonts w:ascii="Times New Roman" w:hAnsi="Times New Roman" w:cs="Times New Roman"/>
          <w:b/>
          <w:sz w:val="24"/>
          <w:szCs w:val="24"/>
        </w:rPr>
        <w:t>mentally incompetent or a minor</w:t>
      </w:r>
      <w:r w:rsidRPr="00711E28">
        <w:rPr>
          <w:rFonts w:ascii="Times New Roman" w:hAnsi="Times New Roman" w:cs="Times New Roman"/>
          <w:sz w:val="24"/>
          <w:szCs w:val="24"/>
        </w:rPr>
        <w:t xml:space="preserve">, </w:t>
      </w:r>
      <w:r w:rsidRPr="00711E28">
        <w:rPr>
          <w:rFonts w:ascii="Times New Roman" w:hAnsi="Times New Roman" w:cs="Times New Roman"/>
          <w:b/>
          <w:sz w:val="24"/>
          <w:szCs w:val="24"/>
        </w:rPr>
        <w:t>or where death results from the injury and any of his dependents are mentally incompetent or minors</w:t>
      </w:r>
      <w:r w:rsidRPr="00711E28">
        <w:rPr>
          <w:rFonts w:ascii="Times New Roman" w:hAnsi="Times New Roman" w:cs="Times New Roman"/>
          <w:sz w:val="24"/>
          <w:szCs w:val="24"/>
        </w:rPr>
        <w:t xml:space="preserve">, at the time when any right or privilege accrues under this act, </w:t>
      </w:r>
      <w:r w:rsidRPr="00711E28">
        <w:rPr>
          <w:rFonts w:ascii="Times New Roman" w:hAnsi="Times New Roman" w:cs="Times New Roman"/>
          <w:b/>
          <w:sz w:val="24"/>
          <w:szCs w:val="24"/>
        </w:rPr>
        <w:t>no limitation of time provided for in this act shall run so long as the mentally incompetent or minor has no guardian</w:t>
      </w:r>
      <w:r w:rsidR="006455F0" w:rsidRPr="00711E28">
        <w:rPr>
          <w:rFonts w:ascii="Times New Roman" w:hAnsi="Times New Roman" w:cs="Times New Roman"/>
          <w:sz w:val="24"/>
          <w:szCs w:val="24"/>
        </w:rPr>
        <w:t xml:space="preserve">. </w:t>
      </w:r>
    </w:p>
    <w:p w14:paraId="58BB6EDE" w14:textId="2999189C" w:rsidR="00FF7482" w:rsidRDefault="00FF7482" w:rsidP="00711E28">
      <w:pPr>
        <w:pStyle w:val="ListParagraph"/>
        <w:ind w:right="720"/>
        <w:jc w:val="both"/>
        <w:rPr>
          <w:rFonts w:ascii="Times New Roman" w:hAnsi="Times New Roman" w:cs="Times New Roman"/>
          <w:sz w:val="24"/>
          <w:szCs w:val="24"/>
        </w:rPr>
      </w:pPr>
    </w:p>
    <w:p w14:paraId="16B8B934" w14:textId="403AA262" w:rsidR="00FF7482" w:rsidRDefault="00FF7482" w:rsidP="006455F0">
      <w:pPr>
        <w:pStyle w:val="ListParagraph"/>
        <w:ind w:left="0"/>
        <w:jc w:val="both"/>
        <w:rPr>
          <w:rFonts w:ascii="Times New Roman" w:hAnsi="Times New Roman" w:cs="Times New Roman"/>
          <w:sz w:val="24"/>
          <w:szCs w:val="24"/>
        </w:rPr>
      </w:pPr>
      <w:r>
        <w:rPr>
          <w:rFonts w:ascii="Times New Roman" w:hAnsi="Times New Roman" w:cs="Times New Roman"/>
          <w:sz w:val="24"/>
          <w:szCs w:val="24"/>
        </w:rPr>
        <w:t>Thus, in the circumstances identified under the provision, the statute of limitations period does not commence so long as the claimant or his or her dependent (in the case of death) is mentally incompetent or a minor. Once a guardian is appointed, or otherwise obtained, the language suggests that the limitations period would commence. The statute does not explain what would occur if a worker injured in a single brief occurrence (or her dependent, if she is killed) timely notified her employer of the injury; timely filed an Injury Report with the Division; and then became mentally disabled and failed to file a claim for benefits within the one-year statute of limitations period.</w:t>
      </w:r>
    </w:p>
    <w:p w14:paraId="3C93DB2A" w14:textId="77777777" w:rsidR="00FF7482" w:rsidRDefault="00FF7482" w:rsidP="00711E28">
      <w:pPr>
        <w:pStyle w:val="ListParagraph"/>
        <w:ind w:left="0" w:firstLine="720"/>
        <w:jc w:val="both"/>
        <w:rPr>
          <w:rFonts w:ascii="Times New Roman" w:hAnsi="Times New Roman" w:cs="Times New Roman"/>
          <w:sz w:val="24"/>
          <w:szCs w:val="24"/>
        </w:rPr>
      </w:pPr>
    </w:p>
    <w:p w14:paraId="7151E9F7" w14:textId="1171B1A7" w:rsidR="00FF7482" w:rsidRDefault="00FF7482" w:rsidP="00FB22FC">
      <w:pPr>
        <w:pStyle w:val="ListParagraph"/>
        <w:ind w:left="0"/>
        <w:jc w:val="both"/>
        <w:rPr>
          <w:rStyle w:val="Hyperlink"/>
          <w:rFonts w:ascii="Times New Roman" w:hAnsi="Times New Roman" w:cs="Times New Roman"/>
          <w:sz w:val="24"/>
          <w:szCs w:val="24"/>
          <w:vertAlign w:val="superscript"/>
        </w:rPr>
      </w:pPr>
      <w:r>
        <w:rPr>
          <w:rFonts w:ascii="Times New Roman" w:hAnsi="Times New Roman" w:cs="Times New Roman"/>
          <w:sz w:val="24"/>
          <w:szCs w:val="24"/>
        </w:rPr>
        <w:t xml:space="preserve">Few Wyoming cases exist on the question of the statutory “tolling” provisions. In </w:t>
      </w:r>
      <w:r w:rsidRPr="00D937BF">
        <w:rPr>
          <w:rFonts w:ascii="Times New Roman" w:hAnsi="Times New Roman" w:cs="Times New Roman"/>
          <w:i/>
          <w:sz w:val="24"/>
          <w:szCs w:val="24"/>
        </w:rPr>
        <w:t>In re Collicott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95"/>
      </w:r>
      <w:r>
        <w:rPr>
          <w:rFonts w:ascii="Times New Roman" w:hAnsi="Times New Roman" w:cs="Times New Roman"/>
          <w:sz w:val="24"/>
          <w:szCs w:val="24"/>
        </w:rPr>
        <w:t xml:space="preserve"> the claimant, </w:t>
      </w:r>
      <w:r w:rsidRPr="00D937BF">
        <w:rPr>
          <w:rFonts w:ascii="Times New Roman" w:hAnsi="Times New Roman" w:cs="Times New Roman"/>
          <w:sz w:val="24"/>
          <w:szCs w:val="24"/>
        </w:rPr>
        <w:t>Collicott</w:t>
      </w:r>
      <w:r>
        <w:rPr>
          <w:rFonts w:ascii="Times New Roman" w:hAnsi="Times New Roman" w:cs="Times New Roman"/>
          <w:sz w:val="24"/>
          <w:szCs w:val="24"/>
        </w:rPr>
        <w:t>,</w:t>
      </w:r>
      <w:r w:rsidRPr="00D937BF">
        <w:rPr>
          <w:rFonts w:ascii="Times New Roman" w:hAnsi="Times New Roman" w:cs="Times New Roman"/>
          <w:sz w:val="24"/>
          <w:szCs w:val="24"/>
        </w:rPr>
        <w:t xml:space="preserve"> filed a report of injury with the Division reporting a work-related shoulder injury that occurred almost </w:t>
      </w:r>
      <w:r>
        <w:rPr>
          <w:rFonts w:ascii="Times New Roman" w:hAnsi="Times New Roman" w:cs="Times New Roman"/>
          <w:sz w:val="24"/>
          <w:szCs w:val="24"/>
        </w:rPr>
        <w:t>a decade earlier</w:t>
      </w:r>
      <w:r w:rsidRPr="00D937BF">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96"/>
      </w:r>
      <w:r w:rsidRPr="00D937BF">
        <w:rPr>
          <w:rFonts w:ascii="Times New Roman" w:hAnsi="Times New Roman" w:cs="Times New Roman"/>
          <w:sz w:val="24"/>
          <w:szCs w:val="24"/>
        </w:rPr>
        <w:t xml:space="preserve"> The Division denied</w:t>
      </w:r>
      <w:r>
        <w:rPr>
          <w:rFonts w:ascii="Times New Roman" w:hAnsi="Times New Roman" w:cs="Times New Roman"/>
          <w:sz w:val="24"/>
          <w:szCs w:val="24"/>
        </w:rPr>
        <w:t xml:space="preserve"> the claim for</w:t>
      </w:r>
      <w:r w:rsidRPr="00D937BF">
        <w:rPr>
          <w:rFonts w:ascii="Times New Roman" w:hAnsi="Times New Roman" w:cs="Times New Roman"/>
          <w:sz w:val="24"/>
          <w:szCs w:val="24"/>
        </w:rPr>
        <w:t xml:space="preserve"> benefits as untimely.</w:t>
      </w:r>
      <w:r w:rsidRPr="00336412">
        <w:rPr>
          <w:rFonts w:ascii="Times New Roman" w:hAnsi="Times New Roman" w:cs="Times New Roman"/>
          <w:sz w:val="24"/>
          <w:szCs w:val="24"/>
          <w:vertAlign w:val="superscript"/>
        </w:rPr>
        <w:footnoteReference w:id="497"/>
      </w:r>
      <w:r w:rsidRPr="00D937BF">
        <w:rPr>
          <w:rFonts w:ascii="Times New Roman" w:hAnsi="Times New Roman" w:cs="Times New Roman"/>
          <w:sz w:val="24"/>
          <w:szCs w:val="24"/>
        </w:rPr>
        <w:t xml:space="preserve"> </w:t>
      </w:r>
      <w:r>
        <w:rPr>
          <w:rFonts w:ascii="Times New Roman" w:hAnsi="Times New Roman" w:cs="Times New Roman"/>
          <w:sz w:val="24"/>
          <w:szCs w:val="24"/>
        </w:rPr>
        <w:t xml:space="preserve">The claimant </w:t>
      </w:r>
      <w:r w:rsidRPr="00D937BF">
        <w:rPr>
          <w:rFonts w:ascii="Times New Roman" w:hAnsi="Times New Roman" w:cs="Times New Roman"/>
          <w:sz w:val="24"/>
          <w:szCs w:val="24"/>
        </w:rPr>
        <w:t>objected to the</w:t>
      </w:r>
      <w:r>
        <w:rPr>
          <w:rFonts w:ascii="Times New Roman" w:hAnsi="Times New Roman" w:cs="Times New Roman"/>
          <w:sz w:val="24"/>
          <w:szCs w:val="24"/>
        </w:rPr>
        <w:t xml:space="preserve"> denial, and the matter was referred for hearing</w:t>
      </w:r>
      <w:r w:rsidRPr="00D937BF">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98"/>
      </w:r>
      <w:r w:rsidRPr="00D937BF">
        <w:rPr>
          <w:rFonts w:ascii="Times New Roman" w:hAnsi="Times New Roman" w:cs="Times New Roman"/>
          <w:sz w:val="24"/>
          <w:szCs w:val="24"/>
        </w:rPr>
        <w:t xml:space="preserve"> Collicott stipulated that the report of injury was not timely filed</w:t>
      </w:r>
      <w:r>
        <w:rPr>
          <w:rFonts w:ascii="Times New Roman" w:hAnsi="Times New Roman" w:cs="Times New Roman"/>
          <w:sz w:val="24"/>
          <w:szCs w:val="24"/>
        </w:rPr>
        <w:t>,</w:t>
      </w:r>
      <w:r w:rsidRPr="00D937BF">
        <w:rPr>
          <w:rFonts w:ascii="Times New Roman" w:hAnsi="Times New Roman" w:cs="Times New Roman"/>
          <w:sz w:val="24"/>
          <w:szCs w:val="24"/>
        </w:rPr>
        <w:t xml:space="preserve"> but claimed the limitation period was tolled because he was mentally incompetent </w:t>
      </w:r>
      <w:r>
        <w:rPr>
          <w:rFonts w:ascii="Times New Roman" w:hAnsi="Times New Roman" w:cs="Times New Roman"/>
          <w:sz w:val="24"/>
          <w:szCs w:val="24"/>
        </w:rPr>
        <w:t>within the meaning of</w:t>
      </w:r>
      <w:r w:rsidRPr="00D937BF">
        <w:rPr>
          <w:rFonts w:ascii="Times New Roman" w:hAnsi="Times New Roman" w:cs="Times New Roman"/>
          <w:sz w:val="24"/>
          <w:szCs w:val="24"/>
        </w:rPr>
        <w:t xml:space="preserve"> </w:t>
      </w:r>
      <w:r>
        <w:rPr>
          <w:rFonts w:ascii="Times New Roman" w:hAnsi="Times New Roman" w:cs="Times New Roman"/>
          <w:sz w:val="24"/>
          <w:szCs w:val="24"/>
        </w:rPr>
        <w:t xml:space="preserve">W.S. </w:t>
      </w:r>
      <w:r w:rsidRPr="00D937BF">
        <w:rPr>
          <w:rFonts w:ascii="Times New Roman" w:hAnsi="Times New Roman" w:cs="Times New Roman"/>
          <w:sz w:val="24"/>
          <w:szCs w:val="24"/>
        </w:rPr>
        <w:t xml:space="preserve">§ </w:t>
      </w:r>
      <w:hyperlink r:id="rId86" w:history="1">
        <w:r w:rsidRPr="00BE237A">
          <w:rPr>
            <w:rStyle w:val="Hyperlink"/>
            <w:rFonts w:ascii="Times New Roman" w:hAnsi="Times New Roman" w:cs="Times New Roman"/>
            <w:sz w:val="24"/>
            <w:szCs w:val="24"/>
          </w:rPr>
          <w:t>27–14–505</w:t>
        </w:r>
      </w:hyperlink>
      <w:r w:rsidRPr="00D937BF">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499"/>
      </w:r>
      <w:r w:rsidRPr="00D937BF">
        <w:rPr>
          <w:rFonts w:ascii="Times New Roman" w:hAnsi="Times New Roman" w:cs="Times New Roman"/>
          <w:sz w:val="24"/>
          <w:szCs w:val="24"/>
        </w:rPr>
        <w:t xml:space="preserve"> </w:t>
      </w:r>
      <w:r>
        <w:rPr>
          <w:rFonts w:ascii="Times New Roman" w:hAnsi="Times New Roman" w:cs="Times New Roman"/>
          <w:sz w:val="24"/>
          <w:szCs w:val="24"/>
        </w:rPr>
        <w:t>The</w:t>
      </w:r>
      <w:r w:rsidRPr="00D937BF">
        <w:rPr>
          <w:rFonts w:ascii="Times New Roman" w:hAnsi="Times New Roman" w:cs="Times New Roman"/>
          <w:sz w:val="24"/>
          <w:szCs w:val="24"/>
        </w:rPr>
        <w:t xml:space="preserve"> hearing</w:t>
      </w:r>
      <w:r>
        <w:rPr>
          <w:rFonts w:ascii="Times New Roman" w:hAnsi="Times New Roman" w:cs="Times New Roman"/>
          <w:sz w:val="24"/>
          <w:szCs w:val="24"/>
        </w:rPr>
        <w:t xml:space="preserve"> </w:t>
      </w:r>
      <w:r w:rsidRPr="00D937BF">
        <w:rPr>
          <w:rFonts w:ascii="Times New Roman" w:hAnsi="Times New Roman" w:cs="Times New Roman"/>
          <w:sz w:val="24"/>
          <w:szCs w:val="24"/>
        </w:rPr>
        <w:t>establishe</w:t>
      </w:r>
      <w:r>
        <w:rPr>
          <w:rFonts w:ascii="Times New Roman" w:hAnsi="Times New Roman" w:cs="Times New Roman"/>
          <w:sz w:val="24"/>
          <w:szCs w:val="24"/>
        </w:rPr>
        <w:t>d</w:t>
      </w:r>
      <w:r w:rsidRPr="00D937BF">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D937BF">
        <w:rPr>
          <w:rFonts w:ascii="Times New Roman" w:hAnsi="Times New Roman" w:cs="Times New Roman"/>
          <w:sz w:val="24"/>
          <w:szCs w:val="24"/>
        </w:rPr>
        <w:t>Collicott ha</w:t>
      </w:r>
      <w:r>
        <w:rPr>
          <w:rFonts w:ascii="Times New Roman" w:hAnsi="Times New Roman" w:cs="Times New Roman"/>
          <w:sz w:val="24"/>
          <w:szCs w:val="24"/>
        </w:rPr>
        <w:t>d</w:t>
      </w:r>
      <w:r w:rsidRPr="00D937BF">
        <w:rPr>
          <w:rFonts w:ascii="Times New Roman" w:hAnsi="Times New Roman" w:cs="Times New Roman"/>
          <w:sz w:val="24"/>
          <w:szCs w:val="24"/>
        </w:rPr>
        <w:t xml:space="preserve"> long suffered from schizophrenia, </w:t>
      </w:r>
      <w:r>
        <w:rPr>
          <w:rFonts w:ascii="Times New Roman" w:hAnsi="Times New Roman" w:cs="Times New Roman"/>
          <w:sz w:val="24"/>
          <w:szCs w:val="24"/>
        </w:rPr>
        <w:t>which was originally</w:t>
      </w:r>
      <w:r w:rsidRPr="00D937BF">
        <w:rPr>
          <w:rFonts w:ascii="Times New Roman" w:hAnsi="Times New Roman" w:cs="Times New Roman"/>
          <w:sz w:val="24"/>
          <w:szCs w:val="24"/>
        </w:rPr>
        <w:t xml:space="preserve"> diagnosed </w:t>
      </w:r>
      <w:r>
        <w:rPr>
          <w:rFonts w:ascii="Times New Roman" w:hAnsi="Times New Roman" w:cs="Times New Roman"/>
          <w:sz w:val="24"/>
          <w:szCs w:val="24"/>
        </w:rPr>
        <w:t xml:space="preserve">when he was </w:t>
      </w:r>
      <w:r w:rsidRPr="00D937BF">
        <w:rPr>
          <w:rFonts w:ascii="Times New Roman" w:hAnsi="Times New Roman" w:cs="Times New Roman"/>
          <w:sz w:val="24"/>
          <w:szCs w:val="24"/>
        </w:rPr>
        <w:t>thirteen, and</w:t>
      </w:r>
      <w:r>
        <w:rPr>
          <w:rFonts w:ascii="Times New Roman" w:hAnsi="Times New Roman" w:cs="Times New Roman"/>
          <w:sz w:val="24"/>
          <w:szCs w:val="24"/>
        </w:rPr>
        <w:t xml:space="preserve"> that he had</w:t>
      </w:r>
      <w:r w:rsidRPr="00D937BF">
        <w:rPr>
          <w:rFonts w:ascii="Times New Roman" w:hAnsi="Times New Roman" w:cs="Times New Roman"/>
          <w:sz w:val="24"/>
          <w:szCs w:val="24"/>
        </w:rPr>
        <w:t xml:space="preserve"> been treated</w:t>
      </w:r>
      <w:r>
        <w:rPr>
          <w:rFonts w:ascii="Times New Roman" w:hAnsi="Times New Roman" w:cs="Times New Roman"/>
          <w:sz w:val="24"/>
          <w:szCs w:val="24"/>
        </w:rPr>
        <w:t xml:space="preserve"> continuously</w:t>
      </w:r>
      <w:r w:rsidRPr="00D937BF">
        <w:rPr>
          <w:rFonts w:ascii="Times New Roman" w:hAnsi="Times New Roman" w:cs="Times New Roman"/>
          <w:sz w:val="24"/>
          <w:szCs w:val="24"/>
        </w:rPr>
        <w:t xml:space="preserve"> for the mental disorder since th</w:t>
      </w:r>
      <w:r>
        <w:rPr>
          <w:rFonts w:ascii="Times New Roman" w:hAnsi="Times New Roman" w:cs="Times New Roman"/>
          <w:sz w:val="24"/>
          <w:szCs w:val="24"/>
        </w:rPr>
        <w:t>at time</w:t>
      </w:r>
      <w:r w:rsidRPr="00D937BF">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00"/>
      </w:r>
      <w:r>
        <w:rPr>
          <w:rFonts w:ascii="Times New Roman" w:hAnsi="Times New Roman" w:cs="Times New Roman"/>
          <w:sz w:val="24"/>
          <w:szCs w:val="24"/>
        </w:rPr>
        <w:t xml:space="preserve"> </w:t>
      </w:r>
      <w:r w:rsidRPr="00D937BF">
        <w:rPr>
          <w:rFonts w:ascii="Times New Roman" w:hAnsi="Times New Roman" w:cs="Times New Roman"/>
          <w:sz w:val="24"/>
          <w:szCs w:val="24"/>
        </w:rPr>
        <w:t xml:space="preserve">Collicott </w:t>
      </w:r>
      <w:r>
        <w:rPr>
          <w:rFonts w:ascii="Times New Roman" w:hAnsi="Times New Roman" w:cs="Times New Roman"/>
          <w:sz w:val="24"/>
          <w:szCs w:val="24"/>
        </w:rPr>
        <w:t>averred</w:t>
      </w:r>
      <w:r w:rsidRPr="00D937BF">
        <w:rPr>
          <w:rFonts w:ascii="Times New Roman" w:hAnsi="Times New Roman" w:cs="Times New Roman"/>
          <w:sz w:val="24"/>
          <w:szCs w:val="24"/>
        </w:rPr>
        <w:t xml:space="preserve"> that he had received a psychological discharge from the army</w:t>
      </w:r>
      <w:r>
        <w:rPr>
          <w:rFonts w:ascii="Times New Roman" w:hAnsi="Times New Roman" w:cs="Times New Roman"/>
          <w:sz w:val="24"/>
          <w:szCs w:val="24"/>
        </w:rPr>
        <w:t>, and had been receiving</w:t>
      </w:r>
      <w:r w:rsidRPr="00D937BF">
        <w:rPr>
          <w:rFonts w:ascii="Times New Roman" w:hAnsi="Times New Roman" w:cs="Times New Roman"/>
          <w:sz w:val="24"/>
          <w:szCs w:val="24"/>
        </w:rPr>
        <w:t xml:space="preserve"> social security disability</w:t>
      </w:r>
      <w:r>
        <w:rPr>
          <w:rFonts w:ascii="Times New Roman" w:hAnsi="Times New Roman" w:cs="Times New Roman"/>
          <w:sz w:val="24"/>
          <w:szCs w:val="24"/>
        </w:rPr>
        <w:t xml:space="preserve"> benefits</w:t>
      </w:r>
      <w:r w:rsidRPr="00D937BF">
        <w:rPr>
          <w:rFonts w:ascii="Times New Roman" w:hAnsi="Times New Roman" w:cs="Times New Roman"/>
          <w:sz w:val="24"/>
          <w:szCs w:val="24"/>
        </w:rPr>
        <w:t xml:space="preserve"> since the early 1980s </w:t>
      </w:r>
      <w:r>
        <w:rPr>
          <w:rFonts w:ascii="Times New Roman" w:hAnsi="Times New Roman" w:cs="Times New Roman"/>
          <w:sz w:val="24"/>
          <w:szCs w:val="24"/>
        </w:rPr>
        <w:t>as a result</w:t>
      </w:r>
      <w:r w:rsidRPr="00D937BF">
        <w:rPr>
          <w:rFonts w:ascii="Times New Roman" w:hAnsi="Times New Roman" w:cs="Times New Roman"/>
          <w:sz w:val="24"/>
          <w:szCs w:val="24"/>
        </w:rPr>
        <w:t xml:space="preserve"> of his mental </w:t>
      </w:r>
      <w:r>
        <w:rPr>
          <w:rFonts w:ascii="Times New Roman" w:hAnsi="Times New Roman" w:cs="Times New Roman"/>
          <w:sz w:val="24"/>
          <w:szCs w:val="24"/>
        </w:rPr>
        <w:t>condition</w:t>
      </w:r>
      <w:r w:rsidRPr="00D937BF">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01"/>
      </w:r>
      <w:r w:rsidRPr="00D937BF">
        <w:rPr>
          <w:rFonts w:ascii="Times New Roman" w:hAnsi="Times New Roman" w:cs="Times New Roman"/>
          <w:sz w:val="24"/>
          <w:szCs w:val="24"/>
        </w:rPr>
        <w:t xml:space="preserve"> Collicott </w:t>
      </w:r>
      <w:r>
        <w:rPr>
          <w:rFonts w:ascii="Times New Roman" w:hAnsi="Times New Roman" w:cs="Times New Roman"/>
          <w:sz w:val="24"/>
          <w:szCs w:val="24"/>
        </w:rPr>
        <w:t xml:space="preserve">also </w:t>
      </w:r>
      <w:r w:rsidRPr="00D937BF">
        <w:rPr>
          <w:rFonts w:ascii="Times New Roman" w:hAnsi="Times New Roman" w:cs="Times New Roman"/>
          <w:sz w:val="24"/>
          <w:szCs w:val="24"/>
        </w:rPr>
        <w:t>testified</w:t>
      </w:r>
      <w:r>
        <w:rPr>
          <w:rFonts w:ascii="Times New Roman" w:hAnsi="Times New Roman" w:cs="Times New Roman"/>
          <w:sz w:val="24"/>
          <w:szCs w:val="24"/>
        </w:rPr>
        <w:t xml:space="preserve"> that</w:t>
      </w:r>
      <w:r w:rsidRPr="00D937BF">
        <w:rPr>
          <w:rFonts w:ascii="Times New Roman" w:hAnsi="Times New Roman" w:cs="Times New Roman"/>
          <w:sz w:val="24"/>
          <w:szCs w:val="24"/>
        </w:rPr>
        <w:t xml:space="preserve"> he did not have a guardian or a conservator appointed for him</w:t>
      </w:r>
      <w:r>
        <w:rPr>
          <w:rFonts w:ascii="Times New Roman" w:hAnsi="Times New Roman" w:cs="Times New Roman"/>
          <w:sz w:val="24"/>
          <w:szCs w:val="24"/>
        </w:rPr>
        <w:t>,</w:t>
      </w:r>
      <w:r w:rsidRPr="00D937BF">
        <w:rPr>
          <w:rFonts w:ascii="Times New Roman" w:hAnsi="Times New Roman" w:cs="Times New Roman"/>
          <w:sz w:val="24"/>
          <w:szCs w:val="24"/>
        </w:rPr>
        <w:t xml:space="preserve"> and most of the time he was in control of his own finances.</w:t>
      </w:r>
      <w:r w:rsidRPr="00336412">
        <w:rPr>
          <w:rFonts w:ascii="Times New Roman" w:hAnsi="Times New Roman" w:cs="Times New Roman"/>
          <w:sz w:val="24"/>
          <w:szCs w:val="24"/>
          <w:vertAlign w:val="superscript"/>
        </w:rPr>
        <w:footnoteReference w:id="502"/>
      </w:r>
      <w:r w:rsidRPr="00D937BF">
        <w:rPr>
          <w:rFonts w:ascii="Times New Roman" w:hAnsi="Times New Roman" w:cs="Times New Roman"/>
          <w:sz w:val="24"/>
          <w:szCs w:val="24"/>
        </w:rPr>
        <w:t xml:space="preserve"> </w:t>
      </w:r>
      <w:r>
        <w:rPr>
          <w:rFonts w:ascii="Times New Roman" w:hAnsi="Times New Roman" w:cs="Times New Roman"/>
          <w:sz w:val="24"/>
          <w:szCs w:val="24"/>
        </w:rPr>
        <w:t>T</w:t>
      </w:r>
      <w:r w:rsidRPr="00D937BF">
        <w:rPr>
          <w:rFonts w:ascii="Times New Roman" w:hAnsi="Times New Roman" w:cs="Times New Roman"/>
          <w:sz w:val="24"/>
          <w:szCs w:val="24"/>
        </w:rPr>
        <w:t xml:space="preserve">he hearing examiner issued </w:t>
      </w:r>
      <w:r>
        <w:rPr>
          <w:rFonts w:ascii="Times New Roman" w:hAnsi="Times New Roman" w:cs="Times New Roman"/>
          <w:sz w:val="24"/>
          <w:szCs w:val="24"/>
        </w:rPr>
        <w:t>an</w:t>
      </w:r>
      <w:r w:rsidRPr="00D937BF">
        <w:rPr>
          <w:rFonts w:ascii="Times New Roman" w:hAnsi="Times New Roman" w:cs="Times New Roman"/>
          <w:sz w:val="24"/>
          <w:szCs w:val="24"/>
        </w:rPr>
        <w:t xml:space="preserve"> </w:t>
      </w:r>
      <w:r>
        <w:rPr>
          <w:rFonts w:ascii="Times New Roman" w:hAnsi="Times New Roman" w:cs="Times New Roman"/>
          <w:sz w:val="24"/>
          <w:szCs w:val="24"/>
        </w:rPr>
        <w:t>o</w:t>
      </w:r>
      <w:r w:rsidRPr="00D937BF">
        <w:rPr>
          <w:rFonts w:ascii="Times New Roman" w:hAnsi="Times New Roman" w:cs="Times New Roman"/>
          <w:sz w:val="24"/>
          <w:szCs w:val="24"/>
        </w:rPr>
        <w:t xml:space="preserve">rder </w:t>
      </w:r>
      <w:r>
        <w:rPr>
          <w:rFonts w:ascii="Times New Roman" w:hAnsi="Times New Roman" w:cs="Times New Roman"/>
          <w:sz w:val="24"/>
          <w:szCs w:val="24"/>
        </w:rPr>
        <w:t>d</w:t>
      </w:r>
      <w:r w:rsidRPr="00D937BF">
        <w:rPr>
          <w:rFonts w:ascii="Times New Roman" w:hAnsi="Times New Roman" w:cs="Times New Roman"/>
          <w:sz w:val="24"/>
          <w:szCs w:val="24"/>
        </w:rPr>
        <w:t xml:space="preserve">enying </w:t>
      </w:r>
      <w:r>
        <w:rPr>
          <w:rFonts w:ascii="Times New Roman" w:hAnsi="Times New Roman" w:cs="Times New Roman"/>
          <w:sz w:val="24"/>
          <w:szCs w:val="24"/>
        </w:rPr>
        <w:t>b</w:t>
      </w:r>
      <w:r w:rsidRPr="00D937BF">
        <w:rPr>
          <w:rFonts w:ascii="Times New Roman" w:hAnsi="Times New Roman" w:cs="Times New Roman"/>
          <w:sz w:val="24"/>
          <w:szCs w:val="24"/>
        </w:rPr>
        <w:t>enefits and concluded</w:t>
      </w:r>
      <w:r>
        <w:rPr>
          <w:rFonts w:ascii="Times New Roman" w:hAnsi="Times New Roman" w:cs="Times New Roman"/>
          <w:sz w:val="24"/>
          <w:szCs w:val="24"/>
        </w:rPr>
        <w:t xml:space="preserve"> </w:t>
      </w:r>
      <w:r w:rsidRPr="00D937BF">
        <w:rPr>
          <w:rFonts w:ascii="Times New Roman" w:hAnsi="Times New Roman" w:cs="Times New Roman"/>
          <w:sz w:val="24"/>
          <w:szCs w:val="24"/>
        </w:rPr>
        <w:t>Collicott had not met his burden of proving mental incompetence.</w:t>
      </w:r>
      <w:r w:rsidRPr="00336412">
        <w:rPr>
          <w:rFonts w:ascii="Times New Roman" w:hAnsi="Times New Roman" w:cs="Times New Roman"/>
          <w:sz w:val="24"/>
          <w:szCs w:val="24"/>
          <w:vertAlign w:val="superscript"/>
        </w:rPr>
        <w:footnoteReference w:id="503"/>
      </w:r>
      <w:r>
        <w:rPr>
          <w:rFonts w:ascii="Times New Roman" w:hAnsi="Times New Roman" w:cs="Times New Roman"/>
          <w:sz w:val="24"/>
          <w:szCs w:val="24"/>
        </w:rPr>
        <w:t xml:space="preserve"> The rationale for the decision was that neither W.S. § </w:t>
      </w:r>
      <w:hyperlink r:id="rId87" w:history="1">
        <w:r w:rsidRPr="00BE237A">
          <w:rPr>
            <w:rStyle w:val="Hyperlink"/>
            <w:rFonts w:ascii="Times New Roman" w:hAnsi="Times New Roman" w:cs="Times New Roman"/>
            <w:sz w:val="24"/>
            <w:szCs w:val="24"/>
          </w:rPr>
          <w:t>27-14-505</w:t>
        </w:r>
      </w:hyperlink>
      <w:r>
        <w:rPr>
          <w:rFonts w:ascii="Times New Roman" w:hAnsi="Times New Roman" w:cs="Times New Roman"/>
          <w:sz w:val="24"/>
          <w:szCs w:val="24"/>
        </w:rPr>
        <w:t xml:space="preserve">, nor any other section of the Wyoming </w:t>
      </w:r>
      <w:r>
        <w:rPr>
          <w:rFonts w:ascii="Times New Roman" w:hAnsi="Times New Roman" w:cs="Times New Roman"/>
          <w:sz w:val="24"/>
          <w:szCs w:val="24"/>
        </w:rPr>
        <w:lastRenderedPageBreak/>
        <w:t>Workers’ Compensation Act, defined the term “mentally incompetent.”</w:t>
      </w:r>
      <w:r w:rsidRPr="00336412">
        <w:rPr>
          <w:rFonts w:ascii="Times New Roman" w:hAnsi="Times New Roman" w:cs="Times New Roman"/>
          <w:sz w:val="24"/>
          <w:szCs w:val="24"/>
          <w:vertAlign w:val="superscript"/>
        </w:rPr>
        <w:footnoteReference w:id="504"/>
      </w:r>
      <w:r>
        <w:rPr>
          <w:rFonts w:ascii="Times New Roman" w:hAnsi="Times New Roman" w:cs="Times New Roman"/>
          <w:sz w:val="24"/>
          <w:szCs w:val="24"/>
        </w:rPr>
        <w:t xml:space="preserve"> Borrowing from a Wyoming guardian statute, the hearing examiner applied the following definition: </w:t>
      </w:r>
      <w:r w:rsidRPr="00DA745A">
        <w:rPr>
          <w:rFonts w:ascii="Times New Roman" w:hAnsi="Times New Roman" w:cs="Times New Roman"/>
          <w:sz w:val="24"/>
          <w:szCs w:val="24"/>
        </w:rPr>
        <w:t>“</w:t>
      </w:r>
      <w:r>
        <w:rPr>
          <w:rFonts w:ascii="Times New Roman" w:hAnsi="Times New Roman" w:cs="Times New Roman"/>
          <w:sz w:val="24"/>
          <w:szCs w:val="24"/>
        </w:rPr>
        <w:t>‘</w:t>
      </w:r>
      <w:r w:rsidRPr="00DA745A">
        <w:rPr>
          <w:rFonts w:ascii="Times New Roman" w:hAnsi="Times New Roman" w:cs="Times New Roman"/>
          <w:sz w:val="24"/>
          <w:szCs w:val="24"/>
        </w:rPr>
        <w:t>Mentally incompetent person’ means an individual who is unable unassisted to properly manage and take care of himself or his property as the result of mental illness, mental deficiency or mental retardation.”</w:t>
      </w:r>
      <w:r w:rsidRPr="00336412">
        <w:rPr>
          <w:rFonts w:ascii="Times New Roman" w:hAnsi="Times New Roman" w:cs="Times New Roman"/>
          <w:sz w:val="24"/>
          <w:szCs w:val="24"/>
          <w:vertAlign w:val="superscript"/>
        </w:rPr>
        <w:footnoteReference w:id="505"/>
      </w:r>
      <w:r>
        <w:rPr>
          <w:rFonts w:ascii="Times New Roman" w:hAnsi="Times New Roman" w:cs="Times New Roman"/>
          <w:sz w:val="24"/>
          <w:szCs w:val="24"/>
        </w:rPr>
        <w:t xml:space="preserve"> Finding that Collicott failed to meet this standard, the hearing examiner denied the claim.</w:t>
      </w:r>
      <w:r w:rsidRPr="00336412">
        <w:rPr>
          <w:rFonts w:ascii="Times New Roman" w:hAnsi="Times New Roman" w:cs="Times New Roman"/>
          <w:sz w:val="24"/>
          <w:szCs w:val="24"/>
          <w:vertAlign w:val="superscript"/>
        </w:rPr>
        <w:footnoteReference w:id="506"/>
      </w:r>
    </w:p>
    <w:p w14:paraId="69BF94A3" w14:textId="77777777" w:rsidR="00F86535" w:rsidRDefault="00F86535" w:rsidP="00F86535">
      <w:pPr>
        <w:pStyle w:val="ListParagraph"/>
        <w:ind w:left="0"/>
        <w:jc w:val="both"/>
        <w:rPr>
          <w:rFonts w:ascii="Times New Roman" w:hAnsi="Times New Roman" w:cs="Times New Roman"/>
          <w:sz w:val="24"/>
          <w:szCs w:val="24"/>
        </w:rPr>
      </w:pPr>
    </w:p>
    <w:p w14:paraId="3B240733" w14:textId="5C55FC5E" w:rsidR="00FF7482" w:rsidRDefault="00FF7482" w:rsidP="00F8653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Wyoming Supreme Court rejected the argument that bare ability to manage and take care of oneself established mental </w:t>
      </w:r>
      <w:r w:rsidRPr="005A3437">
        <w:rPr>
          <w:rFonts w:ascii="Times New Roman" w:hAnsi="Times New Roman" w:cs="Times New Roman"/>
          <w:i/>
          <w:iCs/>
          <w:sz w:val="24"/>
          <w:szCs w:val="24"/>
        </w:rPr>
        <w:t>competency</w:t>
      </w:r>
      <w:r>
        <w:rPr>
          <w:rFonts w:ascii="Times New Roman" w:hAnsi="Times New Roman" w:cs="Times New Roman"/>
          <w:sz w:val="24"/>
          <w:szCs w:val="24"/>
        </w:rPr>
        <w:t xml:space="preserve"> within the meaning of the Wyoming Workers’ Compensation Act:</w:t>
      </w:r>
    </w:p>
    <w:p w14:paraId="023D86C2" w14:textId="0D676665" w:rsidR="00FF7482" w:rsidRDefault="00FF7482" w:rsidP="00711E28">
      <w:pPr>
        <w:pStyle w:val="ListParagraph"/>
        <w:ind w:left="0" w:firstLine="720"/>
        <w:jc w:val="both"/>
        <w:rPr>
          <w:rFonts w:ascii="Times New Roman" w:hAnsi="Times New Roman" w:cs="Times New Roman"/>
          <w:sz w:val="24"/>
          <w:szCs w:val="24"/>
        </w:rPr>
      </w:pPr>
    </w:p>
    <w:p w14:paraId="52CFE0B9" w14:textId="4502D853" w:rsidR="00FF7482" w:rsidRDefault="00FF7482" w:rsidP="00722E68">
      <w:pPr>
        <w:pStyle w:val="ListParagraph"/>
        <w:ind w:right="720"/>
        <w:jc w:val="both"/>
        <w:rPr>
          <w:rFonts w:ascii="Times New Roman" w:hAnsi="Times New Roman" w:cs="Times New Roman"/>
          <w:sz w:val="24"/>
          <w:szCs w:val="24"/>
        </w:rPr>
      </w:pPr>
      <w:r w:rsidRPr="00E12C4D">
        <w:rPr>
          <w:rFonts w:ascii="Times New Roman" w:hAnsi="Times New Roman" w:cs="Times New Roman"/>
          <w:sz w:val="24"/>
          <w:szCs w:val="24"/>
        </w:rPr>
        <w:t xml:space="preserve">We hold the mental incompetence provision was intended </w:t>
      </w:r>
      <w:r w:rsidRPr="00E12C4D">
        <w:rPr>
          <w:rFonts w:ascii="Times New Roman" w:hAnsi="Times New Roman" w:cs="Times New Roman"/>
          <w:b/>
          <w:sz w:val="24"/>
          <w:szCs w:val="24"/>
          <w:u w:val="single"/>
        </w:rPr>
        <w:t>to toll the statute of limitations for those individuals whose medically diagnosed mental condition is so severe as to render them unable to protect their legal right to compensation by following the statutory procedures provided in the Wyoming Worker's Compensation Act</w:t>
      </w:r>
      <w:r w:rsidRPr="00E12C4D">
        <w:rPr>
          <w:rFonts w:ascii="Times New Roman" w:hAnsi="Times New Roman" w:cs="Times New Roman"/>
          <w:sz w:val="24"/>
          <w:szCs w:val="24"/>
        </w:rPr>
        <w:t>.</w:t>
      </w:r>
      <w:r>
        <w:rPr>
          <w:rFonts w:ascii="Times New Roman" w:hAnsi="Times New Roman" w:cs="Times New Roman"/>
          <w:sz w:val="24"/>
          <w:szCs w:val="24"/>
        </w:rPr>
        <w:t xml:space="preserve"> </w:t>
      </w:r>
      <w:r w:rsidRPr="00E12C4D">
        <w:rPr>
          <w:rFonts w:ascii="Times New Roman" w:hAnsi="Times New Roman" w:cs="Times New Roman"/>
          <w:sz w:val="24"/>
          <w:szCs w:val="24"/>
        </w:rPr>
        <w:t>We believe our interpretation is consistent with both the legislature's intent and the plain meaning of “mental incompetence” within the context of worker's compensation. The definition used by the Division and the Office of Administrative Hearings equates an individual's ability, in a routine manner, to properly manage and take care of himself or his property to an ability to comprehend the import and the requirements of worker's compensation statutory procedures.</w:t>
      </w:r>
      <w:r w:rsidRPr="00336412">
        <w:rPr>
          <w:rFonts w:ascii="Times New Roman" w:hAnsi="Times New Roman" w:cs="Times New Roman"/>
          <w:sz w:val="24"/>
          <w:szCs w:val="24"/>
          <w:vertAlign w:val="superscript"/>
        </w:rPr>
        <w:footnoteReference w:id="507"/>
      </w:r>
    </w:p>
    <w:p w14:paraId="6635871E" w14:textId="2E8D8695" w:rsidR="00FF7482" w:rsidRDefault="00FF7482" w:rsidP="00E12C4D">
      <w:pPr>
        <w:pStyle w:val="ListParagraph"/>
        <w:ind w:right="720"/>
        <w:jc w:val="both"/>
        <w:rPr>
          <w:rFonts w:ascii="Times New Roman" w:hAnsi="Times New Roman" w:cs="Times New Roman"/>
          <w:sz w:val="24"/>
          <w:szCs w:val="24"/>
        </w:rPr>
      </w:pPr>
    </w:p>
    <w:p w14:paraId="0670BF33" w14:textId="397207C5" w:rsidR="00FF7482" w:rsidRDefault="00FF7482" w:rsidP="000C05A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applying this interpretation of the statute, the Court identified questions that must be answered: </w:t>
      </w:r>
      <w:r w:rsidRPr="00521D0A">
        <w:rPr>
          <w:rFonts w:ascii="Times New Roman" w:hAnsi="Times New Roman" w:cs="Times New Roman"/>
          <w:b/>
          <w:bCs/>
          <w:sz w:val="24"/>
          <w:szCs w:val="24"/>
        </w:rPr>
        <w:t>“</w:t>
      </w:r>
      <w:r w:rsidRPr="002C4352">
        <w:rPr>
          <w:rFonts w:ascii="Times New Roman" w:hAnsi="Times New Roman" w:cs="Times New Roman"/>
          <w:b/>
          <w:sz w:val="24"/>
          <w:szCs w:val="24"/>
        </w:rPr>
        <w:t>Does an individual with a medically diagnosed mental condition have the ability to comprehend that an injury is compensable? Furthermore, can that individual comprehend that certain statutory guidelines must be complied with in order to receive benefits</w:t>
      </w:r>
      <w:r w:rsidRPr="00521D0A">
        <w:rPr>
          <w:rFonts w:ascii="Times New Roman" w:hAnsi="Times New Roman" w:cs="Times New Roman"/>
          <w:b/>
          <w:bCs/>
          <w:sz w:val="24"/>
          <w:szCs w:val="24"/>
        </w:rPr>
        <w:t>?”</w:t>
      </w:r>
      <w:r w:rsidRPr="00336412">
        <w:rPr>
          <w:rFonts w:ascii="Times New Roman" w:hAnsi="Times New Roman" w:cs="Times New Roman"/>
          <w:sz w:val="24"/>
          <w:szCs w:val="24"/>
          <w:vertAlign w:val="superscript"/>
        </w:rPr>
        <w:footnoteReference w:id="508"/>
      </w:r>
      <w:r>
        <w:rPr>
          <w:rFonts w:ascii="Times New Roman" w:hAnsi="Times New Roman" w:cs="Times New Roman"/>
          <w:sz w:val="24"/>
          <w:szCs w:val="24"/>
        </w:rPr>
        <w:t xml:space="preserve"> The Court subsequently remanded the case for further fact finding consistent with its newly-established standard.</w:t>
      </w:r>
      <w:r w:rsidRPr="00336412">
        <w:rPr>
          <w:rFonts w:ascii="Times New Roman" w:hAnsi="Times New Roman" w:cs="Times New Roman"/>
          <w:sz w:val="24"/>
          <w:szCs w:val="24"/>
          <w:vertAlign w:val="superscript"/>
        </w:rPr>
        <w:footnoteReference w:id="509"/>
      </w:r>
      <w:r>
        <w:rPr>
          <w:rFonts w:ascii="Times New Roman" w:hAnsi="Times New Roman" w:cs="Times New Roman"/>
          <w:sz w:val="24"/>
          <w:szCs w:val="24"/>
        </w:rPr>
        <w:t xml:space="preserve"> </w:t>
      </w:r>
    </w:p>
    <w:p w14:paraId="111EB1F1" w14:textId="619D2837" w:rsidR="00FF7482" w:rsidRDefault="00FF7482" w:rsidP="002C4352">
      <w:pPr>
        <w:pStyle w:val="ListParagraph"/>
        <w:ind w:left="0" w:firstLine="720"/>
        <w:jc w:val="both"/>
        <w:rPr>
          <w:rFonts w:ascii="Times New Roman" w:hAnsi="Times New Roman" w:cs="Times New Roman"/>
          <w:sz w:val="24"/>
          <w:szCs w:val="24"/>
        </w:rPr>
      </w:pPr>
    </w:p>
    <w:p w14:paraId="110C8342" w14:textId="7376BBF4" w:rsidR="00FF7482" w:rsidRDefault="00FF7482" w:rsidP="00521D0A">
      <w:pPr>
        <w:pStyle w:val="ListParagraph"/>
        <w:ind w:left="0"/>
        <w:jc w:val="both"/>
        <w:rPr>
          <w:rFonts w:ascii="Times New Roman" w:hAnsi="Times New Roman" w:cs="Times New Roman"/>
          <w:sz w:val="24"/>
          <w:szCs w:val="24"/>
        </w:rPr>
      </w:pPr>
      <w:r w:rsidRPr="00BE237A">
        <w:rPr>
          <w:rFonts w:ascii="Times New Roman" w:hAnsi="Times New Roman" w:cs="Times New Roman"/>
          <w:sz w:val="24"/>
          <w:szCs w:val="24"/>
        </w:rPr>
        <w:t xml:space="preserve">W.S. § </w:t>
      </w:r>
      <w:hyperlink r:id="rId88" w:history="1">
        <w:r w:rsidRPr="00BE237A">
          <w:rPr>
            <w:rStyle w:val="Hyperlink"/>
            <w:rFonts w:ascii="Times New Roman" w:hAnsi="Times New Roman" w:cs="Times New Roman"/>
            <w:sz w:val="24"/>
            <w:szCs w:val="24"/>
          </w:rPr>
          <w:t>27-14-505</w:t>
        </w:r>
      </w:hyperlink>
      <w:r>
        <w:rPr>
          <w:rFonts w:ascii="Times New Roman" w:hAnsi="Times New Roman" w:cs="Times New Roman"/>
          <w:sz w:val="24"/>
          <w:szCs w:val="24"/>
        </w:rPr>
        <w:t xml:space="preserve"> does not, of course, address situations </w:t>
      </w:r>
      <w:r w:rsidRPr="00972812">
        <w:rPr>
          <w:rFonts w:ascii="Times New Roman" w:hAnsi="Times New Roman" w:cs="Times New Roman"/>
          <w:i/>
          <w:sz w:val="24"/>
          <w:szCs w:val="24"/>
        </w:rPr>
        <w:t>not</w:t>
      </w:r>
      <w:r>
        <w:rPr>
          <w:rFonts w:ascii="Times New Roman" w:hAnsi="Times New Roman" w:cs="Times New Roman"/>
          <w:sz w:val="24"/>
          <w:szCs w:val="24"/>
        </w:rPr>
        <w:t xml:space="preserve"> involving mental incompetency and minority. In narrow circumstances, the Wyoming Supreme Court has allowed late-filed claims on </w:t>
      </w:r>
      <w:r w:rsidRPr="00A14A54">
        <w:rPr>
          <w:rFonts w:ascii="Times New Roman" w:hAnsi="Times New Roman" w:cs="Times New Roman"/>
          <w:i/>
          <w:iCs/>
          <w:sz w:val="24"/>
          <w:szCs w:val="24"/>
        </w:rPr>
        <w:t>equitable</w:t>
      </w:r>
      <w:r>
        <w:rPr>
          <w:rFonts w:ascii="Times New Roman" w:hAnsi="Times New Roman" w:cs="Times New Roman"/>
          <w:sz w:val="24"/>
          <w:szCs w:val="24"/>
        </w:rPr>
        <w:t xml:space="preserve"> estoppel theories.</w:t>
      </w:r>
      <w:r w:rsidRPr="00336412">
        <w:rPr>
          <w:rFonts w:ascii="Times New Roman" w:hAnsi="Times New Roman" w:cs="Times New Roman"/>
          <w:sz w:val="24"/>
          <w:szCs w:val="24"/>
          <w:vertAlign w:val="superscript"/>
        </w:rPr>
        <w:footnoteReference w:id="510"/>
      </w:r>
      <w:r>
        <w:rPr>
          <w:rFonts w:ascii="Times New Roman" w:hAnsi="Times New Roman" w:cs="Times New Roman"/>
          <w:sz w:val="24"/>
          <w:szCs w:val="24"/>
        </w:rPr>
        <w:t xml:space="preserve"> One example </w:t>
      </w:r>
      <w:r>
        <w:rPr>
          <w:rFonts w:ascii="Times New Roman" w:hAnsi="Times New Roman" w:cs="Times New Roman"/>
          <w:sz w:val="24"/>
          <w:szCs w:val="24"/>
        </w:rPr>
        <w:lastRenderedPageBreak/>
        <w:t xml:space="preserve">of such a case is </w:t>
      </w:r>
      <w:r w:rsidRPr="00F05D5D">
        <w:rPr>
          <w:rFonts w:ascii="Times New Roman" w:hAnsi="Times New Roman" w:cs="Times New Roman"/>
          <w:i/>
          <w:iCs/>
          <w:sz w:val="24"/>
          <w:szCs w:val="24"/>
        </w:rPr>
        <w:t>Workers’ Compensation Div. v. Halstead</w:t>
      </w:r>
      <w:r>
        <w:rPr>
          <w:rFonts w:ascii="Times New Roman" w:hAnsi="Times New Roman" w:cs="Times New Roman"/>
          <w:iCs/>
          <w:sz w:val="24"/>
          <w:szCs w:val="24"/>
        </w:rPr>
        <w:t>.</w:t>
      </w:r>
      <w:r w:rsidRPr="00336412">
        <w:rPr>
          <w:rFonts w:ascii="Times New Roman" w:hAnsi="Times New Roman" w:cs="Times New Roman"/>
          <w:iCs/>
          <w:sz w:val="24"/>
          <w:szCs w:val="24"/>
          <w:vertAlign w:val="superscript"/>
        </w:rPr>
        <w:footnoteReference w:id="511"/>
      </w:r>
      <w:r>
        <w:rPr>
          <w:rFonts w:ascii="Times New Roman" w:hAnsi="Times New Roman" w:cs="Times New Roman"/>
          <w:sz w:val="24"/>
          <w:szCs w:val="24"/>
        </w:rPr>
        <w:t xml:space="preserve"> In that case, a 16-year-old young man died from a work-related injury. His girlfriend at the time of death was pregnant, but it was not clear that the deceased worker was the father of the child. After birth, the paternity of the deceased worker was established, but not until the ordinary statute of limitations period had lapsed. The question presented was whether the operation of the limitations period could defeat the necessity to establish parentage as a condition precedent of eligibility for workers’ compensation benefits. Grounding its decision in 14</w:t>
      </w:r>
      <w:r w:rsidRPr="00714497">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constitutional considerations,</w:t>
      </w:r>
      <w:r w:rsidRPr="00336412">
        <w:rPr>
          <w:rFonts w:ascii="Times New Roman" w:hAnsi="Times New Roman" w:cs="Times New Roman"/>
          <w:sz w:val="24"/>
          <w:szCs w:val="24"/>
          <w:vertAlign w:val="superscript"/>
        </w:rPr>
        <w:footnoteReference w:id="512"/>
      </w:r>
      <w:r>
        <w:rPr>
          <w:rFonts w:ascii="Times New Roman" w:hAnsi="Times New Roman" w:cs="Times New Roman"/>
          <w:sz w:val="24"/>
          <w:szCs w:val="24"/>
        </w:rPr>
        <w:t xml:space="preserve"> the Wyoming Supreme Court concluded:</w:t>
      </w:r>
    </w:p>
    <w:p w14:paraId="139E214E" w14:textId="77777777" w:rsidR="00771C73" w:rsidRDefault="00771C73" w:rsidP="00521D0A">
      <w:pPr>
        <w:pStyle w:val="ListParagraph"/>
        <w:ind w:left="0"/>
        <w:jc w:val="both"/>
        <w:rPr>
          <w:rFonts w:ascii="Times New Roman" w:hAnsi="Times New Roman" w:cs="Times New Roman"/>
          <w:sz w:val="24"/>
          <w:szCs w:val="24"/>
        </w:rPr>
      </w:pPr>
    </w:p>
    <w:p w14:paraId="651CB2A0" w14:textId="4A7393F1" w:rsidR="00FF7482" w:rsidRDefault="00FF7482" w:rsidP="00722E68">
      <w:pPr>
        <w:pStyle w:val="ListParagraph"/>
        <w:ind w:right="720"/>
        <w:jc w:val="both"/>
        <w:rPr>
          <w:rFonts w:ascii="Times New Roman" w:hAnsi="Times New Roman" w:cs="Times New Roman"/>
          <w:sz w:val="24"/>
          <w:szCs w:val="24"/>
        </w:rPr>
      </w:pPr>
      <w:r w:rsidRPr="00714497">
        <w:rPr>
          <w:rFonts w:ascii="Times New Roman" w:hAnsi="Times New Roman" w:cs="Times New Roman"/>
          <w:sz w:val="24"/>
          <w:szCs w:val="24"/>
        </w:rPr>
        <w:t xml:space="preserve">Consequently, we find that </w:t>
      </w:r>
      <w:r w:rsidRPr="00714497">
        <w:rPr>
          <w:rFonts w:ascii="Times New Roman" w:hAnsi="Times New Roman" w:cs="Times New Roman"/>
          <w:b/>
          <w:sz w:val="24"/>
          <w:szCs w:val="24"/>
        </w:rPr>
        <w:t>the date of determination of parentage was the date the right to claim benefits</w:t>
      </w:r>
      <w:r w:rsidR="00771C73">
        <w:rPr>
          <w:rFonts w:ascii="Times New Roman" w:hAnsi="Times New Roman" w:cs="Times New Roman"/>
          <w:b/>
          <w:sz w:val="24"/>
          <w:szCs w:val="24"/>
        </w:rPr>
        <w:t xml:space="preserve"> </w:t>
      </w:r>
      <w:r w:rsidRPr="00714497">
        <w:rPr>
          <w:rFonts w:ascii="Times New Roman" w:hAnsi="Times New Roman" w:cs="Times New Roman"/>
          <w:b/>
          <w:sz w:val="24"/>
          <w:szCs w:val="24"/>
        </w:rPr>
        <w:t>accrued</w:t>
      </w:r>
      <w:r w:rsidRPr="00714497">
        <w:rPr>
          <w:rFonts w:ascii="Times New Roman" w:hAnsi="Times New Roman" w:cs="Times New Roman"/>
          <w:sz w:val="24"/>
          <w:szCs w:val="24"/>
        </w:rPr>
        <w:t>. Under the statute, the right to claim benefits would not have expired at the one-year period after the guardian had been appointed because the child's familial rights to be a claimant came to exist with his determination by a decree of parentage that the decedent worker was his father</w:t>
      </w:r>
      <w:r>
        <w:rPr>
          <w:rFonts w:ascii="Times New Roman" w:hAnsi="Times New Roman" w:cs="Times New Roman"/>
          <w:sz w:val="24"/>
          <w:szCs w:val="24"/>
        </w:rPr>
        <w:t xml:space="preserve"> . . . </w:t>
      </w:r>
      <w:r w:rsidRPr="00714497">
        <w:rPr>
          <w:rFonts w:ascii="Times New Roman" w:hAnsi="Times New Roman" w:cs="Times New Roman"/>
          <w:sz w:val="24"/>
          <w:szCs w:val="24"/>
        </w:rPr>
        <w:t>We consequently hold that the statute of limitation began to run on June 2, 1988 with the entry of the parentage decree.</w:t>
      </w:r>
      <w:r w:rsidRPr="00336412">
        <w:rPr>
          <w:rFonts w:ascii="Times New Roman" w:hAnsi="Times New Roman" w:cs="Times New Roman"/>
          <w:sz w:val="24"/>
          <w:szCs w:val="24"/>
          <w:vertAlign w:val="superscript"/>
        </w:rPr>
        <w:footnoteReference w:id="513"/>
      </w:r>
    </w:p>
    <w:p w14:paraId="3EF56388" w14:textId="66F84127" w:rsidR="00FF7482" w:rsidRDefault="00FF7482" w:rsidP="00714497">
      <w:pPr>
        <w:pStyle w:val="ListParagraph"/>
        <w:ind w:right="720"/>
        <w:jc w:val="both"/>
        <w:rPr>
          <w:rFonts w:ascii="Times New Roman" w:hAnsi="Times New Roman" w:cs="Times New Roman"/>
          <w:sz w:val="24"/>
          <w:szCs w:val="24"/>
        </w:rPr>
      </w:pPr>
    </w:p>
    <w:p w14:paraId="5CE872D2" w14:textId="484F52DB" w:rsidR="00FF7482" w:rsidRDefault="00FF7482" w:rsidP="00771C73">
      <w:pPr>
        <w:pStyle w:val="ListParagraph"/>
        <w:ind w:left="0"/>
        <w:jc w:val="both"/>
        <w:rPr>
          <w:rFonts w:ascii="Times New Roman" w:hAnsi="Times New Roman" w:cs="Times New Roman"/>
          <w:sz w:val="24"/>
          <w:szCs w:val="24"/>
        </w:rPr>
      </w:pPr>
      <w:r>
        <w:rPr>
          <w:rFonts w:ascii="Times New Roman" w:hAnsi="Times New Roman" w:cs="Times New Roman"/>
          <w:sz w:val="24"/>
          <w:szCs w:val="24"/>
        </w:rPr>
        <w:t>In essence, the Court concluded that the state was equitably estopped from arguing that the statute of limitations had expired because the claim could not, on constitutional grounds, be found to have accrued.</w:t>
      </w:r>
    </w:p>
    <w:p w14:paraId="7FAE29AC" w14:textId="5781B739" w:rsidR="00FF7482" w:rsidRDefault="00FF7482" w:rsidP="00B571F7">
      <w:pPr>
        <w:pStyle w:val="ListParagraph"/>
        <w:ind w:left="0" w:firstLine="720"/>
        <w:jc w:val="both"/>
        <w:rPr>
          <w:rFonts w:ascii="Times New Roman" w:hAnsi="Times New Roman" w:cs="Times New Roman"/>
          <w:sz w:val="24"/>
          <w:szCs w:val="24"/>
        </w:rPr>
      </w:pPr>
    </w:p>
    <w:p w14:paraId="265EFCC5" w14:textId="0B2073C7" w:rsidR="00FF7482" w:rsidRDefault="00FF7482" w:rsidP="00175E74">
      <w:pPr>
        <w:pStyle w:val="ListParagraph"/>
        <w:ind w:left="0"/>
        <w:jc w:val="both"/>
        <w:rPr>
          <w:rFonts w:ascii="Times New Roman" w:hAnsi="Times New Roman" w:cs="Times New Roman"/>
          <w:iCs/>
          <w:sz w:val="24"/>
          <w:szCs w:val="24"/>
        </w:rPr>
      </w:pPr>
      <w:r>
        <w:rPr>
          <w:rFonts w:ascii="Times New Roman" w:hAnsi="Times New Roman" w:cs="Times New Roman"/>
          <w:sz w:val="24"/>
          <w:szCs w:val="24"/>
        </w:rPr>
        <w:t xml:space="preserve">Another example of an estoppel case, in this instance not including constitutional but more traditionally equitable principles, was </w:t>
      </w:r>
      <w:r w:rsidRPr="00B571F7">
        <w:rPr>
          <w:rFonts w:ascii="Times New Roman" w:hAnsi="Times New Roman" w:cs="Times New Roman"/>
          <w:i/>
          <w:iCs/>
          <w:sz w:val="24"/>
          <w:szCs w:val="24"/>
        </w:rPr>
        <w:t>Bauer v. Workers’ Compensation Div</w:t>
      </w:r>
      <w:r>
        <w:rPr>
          <w:rFonts w:ascii="Times New Roman" w:hAnsi="Times New Roman" w:cs="Times New Roman"/>
          <w:iCs/>
          <w:sz w:val="24"/>
          <w:szCs w:val="24"/>
        </w:rPr>
        <w:t>.</w:t>
      </w:r>
      <w:r w:rsidRPr="00336412">
        <w:rPr>
          <w:rFonts w:ascii="Times New Roman" w:hAnsi="Times New Roman" w:cs="Times New Roman"/>
          <w:iCs/>
          <w:sz w:val="24"/>
          <w:szCs w:val="24"/>
          <w:vertAlign w:val="superscript"/>
        </w:rPr>
        <w:footnoteReference w:id="514"/>
      </w:r>
      <w:r>
        <w:rPr>
          <w:rFonts w:ascii="Times New Roman" w:hAnsi="Times New Roman" w:cs="Times New Roman"/>
          <w:iCs/>
          <w:sz w:val="24"/>
          <w:szCs w:val="24"/>
        </w:rPr>
        <w:t xml:space="preserve">  In </w:t>
      </w:r>
      <w:r w:rsidRPr="00B571F7">
        <w:rPr>
          <w:rFonts w:ascii="Times New Roman" w:hAnsi="Times New Roman" w:cs="Times New Roman"/>
          <w:i/>
          <w:iCs/>
          <w:sz w:val="24"/>
          <w:szCs w:val="24"/>
        </w:rPr>
        <w:t>Bauer</w:t>
      </w:r>
      <w:r>
        <w:rPr>
          <w:rFonts w:ascii="Times New Roman" w:hAnsi="Times New Roman" w:cs="Times New Roman"/>
          <w:iCs/>
          <w:sz w:val="24"/>
          <w:szCs w:val="24"/>
        </w:rPr>
        <w:t>, a member of an ambulance service suffered a ruptured eardrum arising out of and in the course of her employment, but was erroneously advised by her supervisor that she was a part-time employee ineligible for workers’ compensation benefits.</w:t>
      </w:r>
      <w:r w:rsidRPr="00336412">
        <w:rPr>
          <w:rFonts w:ascii="Times New Roman" w:hAnsi="Times New Roman" w:cs="Times New Roman"/>
          <w:iCs/>
          <w:sz w:val="24"/>
          <w:szCs w:val="24"/>
          <w:vertAlign w:val="superscript"/>
        </w:rPr>
        <w:footnoteReference w:id="515"/>
      </w:r>
      <w:r>
        <w:rPr>
          <w:rFonts w:ascii="Times New Roman" w:hAnsi="Times New Roman" w:cs="Times New Roman"/>
          <w:iCs/>
          <w:sz w:val="24"/>
          <w:szCs w:val="24"/>
        </w:rPr>
        <w:t xml:space="preserve"> She suffered the injury in December 1981, reporting it to her employer the day after, and underwent surgery in March 1982.</w:t>
      </w:r>
      <w:r w:rsidRPr="00336412">
        <w:rPr>
          <w:rFonts w:ascii="Times New Roman" w:hAnsi="Times New Roman" w:cs="Times New Roman"/>
          <w:iCs/>
          <w:sz w:val="24"/>
          <w:szCs w:val="24"/>
          <w:vertAlign w:val="superscript"/>
        </w:rPr>
        <w:footnoteReference w:id="516"/>
      </w:r>
      <w:r>
        <w:rPr>
          <w:rFonts w:ascii="Times New Roman" w:hAnsi="Times New Roman" w:cs="Times New Roman"/>
          <w:iCs/>
          <w:sz w:val="24"/>
          <w:szCs w:val="24"/>
        </w:rPr>
        <w:t xml:space="preserve"> When more surgery became necessary in March 1983, “</w:t>
      </w:r>
      <w:r w:rsidRPr="00106ECE">
        <w:rPr>
          <w:rFonts w:ascii="Times New Roman" w:hAnsi="Times New Roman" w:cs="Times New Roman"/>
          <w:iCs/>
          <w:sz w:val="24"/>
          <w:szCs w:val="24"/>
        </w:rPr>
        <w:t>appellant requested that the hospital apply for payment under worker's compensation.</w:t>
      </w:r>
      <w:r>
        <w:rPr>
          <w:rFonts w:ascii="Times New Roman" w:hAnsi="Times New Roman" w:cs="Times New Roman"/>
          <w:iCs/>
          <w:sz w:val="24"/>
          <w:szCs w:val="24"/>
        </w:rPr>
        <w:t>”</w:t>
      </w:r>
      <w:r w:rsidRPr="00336412">
        <w:rPr>
          <w:rFonts w:ascii="Times New Roman" w:hAnsi="Times New Roman" w:cs="Times New Roman"/>
          <w:iCs/>
          <w:sz w:val="24"/>
          <w:szCs w:val="24"/>
          <w:vertAlign w:val="superscript"/>
        </w:rPr>
        <w:footnoteReference w:id="517"/>
      </w:r>
      <w:r>
        <w:rPr>
          <w:rFonts w:ascii="Times New Roman" w:hAnsi="Times New Roman" w:cs="Times New Roman"/>
          <w:iCs/>
          <w:sz w:val="24"/>
          <w:szCs w:val="24"/>
        </w:rPr>
        <w:t xml:space="preserve"> The district court concluded that the claim was barred by the statute of limitations, but the Wyoming Supreme </w:t>
      </w:r>
      <w:r>
        <w:rPr>
          <w:rFonts w:ascii="Times New Roman" w:hAnsi="Times New Roman" w:cs="Times New Roman"/>
          <w:iCs/>
          <w:sz w:val="24"/>
          <w:szCs w:val="24"/>
        </w:rPr>
        <w:lastRenderedPageBreak/>
        <w:t>Court reversed.</w:t>
      </w:r>
      <w:r w:rsidRPr="00336412">
        <w:rPr>
          <w:rFonts w:ascii="Times New Roman" w:hAnsi="Times New Roman" w:cs="Times New Roman"/>
          <w:iCs/>
          <w:sz w:val="24"/>
          <w:szCs w:val="24"/>
          <w:vertAlign w:val="superscript"/>
        </w:rPr>
        <w:footnoteReference w:id="518"/>
      </w:r>
      <w:r>
        <w:rPr>
          <w:rFonts w:ascii="Times New Roman" w:hAnsi="Times New Roman" w:cs="Times New Roman"/>
          <w:iCs/>
          <w:sz w:val="24"/>
          <w:szCs w:val="24"/>
        </w:rPr>
        <w:t xml:space="preserve"> The Court, after canvassing the estoppel doctrines of a number of jurisdictions, concluded:</w:t>
      </w:r>
    </w:p>
    <w:p w14:paraId="3ED15399" w14:textId="7F80F6CF" w:rsidR="00FF7482" w:rsidRDefault="00FF7482" w:rsidP="00B571F7">
      <w:pPr>
        <w:pStyle w:val="ListParagraph"/>
        <w:ind w:left="0" w:firstLine="720"/>
        <w:jc w:val="both"/>
        <w:rPr>
          <w:rFonts w:ascii="Times New Roman" w:hAnsi="Times New Roman" w:cs="Times New Roman"/>
          <w:sz w:val="24"/>
          <w:szCs w:val="24"/>
        </w:rPr>
      </w:pPr>
    </w:p>
    <w:p w14:paraId="1189686D" w14:textId="71907933" w:rsidR="00FF7482" w:rsidRPr="00B571F7" w:rsidRDefault="00FF7482" w:rsidP="00722E68">
      <w:pPr>
        <w:pStyle w:val="ListParagraph"/>
        <w:ind w:right="720"/>
        <w:jc w:val="both"/>
        <w:rPr>
          <w:rFonts w:ascii="Times New Roman" w:hAnsi="Times New Roman" w:cs="Times New Roman"/>
          <w:sz w:val="24"/>
          <w:szCs w:val="24"/>
        </w:rPr>
      </w:pPr>
      <w:r w:rsidRPr="00106ECE">
        <w:rPr>
          <w:rFonts w:ascii="Times New Roman" w:hAnsi="Times New Roman" w:cs="Times New Roman"/>
          <w:sz w:val="24"/>
          <w:szCs w:val="24"/>
        </w:rPr>
        <w:t xml:space="preserve">Appellant had a valid, meritorious claim that was not filed because of </w:t>
      </w:r>
      <w:r w:rsidRPr="00A95D27">
        <w:rPr>
          <w:rFonts w:ascii="Times New Roman" w:hAnsi="Times New Roman" w:cs="Times New Roman"/>
          <w:b/>
          <w:sz w:val="24"/>
          <w:szCs w:val="24"/>
          <w:u w:val="single"/>
        </w:rPr>
        <w:t>reliance upon her</w:t>
      </w:r>
      <w:r w:rsidRPr="00A95D27">
        <w:rPr>
          <w:rFonts w:ascii="Times New Roman" w:hAnsi="Times New Roman" w:cs="Times New Roman"/>
          <w:b/>
          <w:sz w:val="24"/>
          <w:szCs w:val="24"/>
        </w:rPr>
        <w:t xml:space="preserve"> </w:t>
      </w:r>
      <w:r w:rsidRPr="00A95D27">
        <w:rPr>
          <w:rFonts w:ascii="Times New Roman" w:hAnsi="Times New Roman" w:cs="Times New Roman"/>
          <w:b/>
          <w:sz w:val="24"/>
          <w:szCs w:val="24"/>
          <w:u w:val="single"/>
        </w:rPr>
        <w:t>employer's representation that she was not covered by worker's compensation</w:t>
      </w:r>
      <w:r w:rsidRPr="00A95D27">
        <w:rPr>
          <w:rFonts w:ascii="Times New Roman" w:hAnsi="Times New Roman" w:cs="Times New Roman"/>
          <w:b/>
          <w:sz w:val="24"/>
          <w:szCs w:val="24"/>
        </w:rPr>
        <w:t>. We hold that the employer's misleading statements, although unintentional, were sufficient to constitute estoppel and prevent the employer and the state of Wyoming from invoking the statute of limitations as a defense</w:t>
      </w:r>
      <w:r w:rsidRPr="00106ECE">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19"/>
      </w:r>
    </w:p>
    <w:p w14:paraId="4242CAA1" w14:textId="77777777" w:rsidR="00FF7482" w:rsidRDefault="00FF7482" w:rsidP="00AD1851">
      <w:pPr>
        <w:pStyle w:val="ListParagraph"/>
        <w:spacing w:after="0"/>
        <w:ind w:left="0" w:firstLine="720"/>
        <w:jc w:val="both"/>
        <w:rPr>
          <w:rFonts w:ascii="Times New Roman" w:hAnsi="Times New Roman" w:cs="Times New Roman"/>
          <w:sz w:val="24"/>
          <w:szCs w:val="24"/>
        </w:rPr>
      </w:pPr>
    </w:p>
    <w:p w14:paraId="62BEFD0D" w14:textId="7CAC00FE" w:rsidR="00FF7482" w:rsidRDefault="00FF7482" w:rsidP="000B3A7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Thus, </w:t>
      </w:r>
      <w:r w:rsidRPr="00B23F41">
        <w:rPr>
          <w:rFonts w:ascii="Times New Roman" w:hAnsi="Times New Roman" w:cs="Times New Roman"/>
          <w:b/>
          <w:bCs/>
          <w:sz w:val="24"/>
          <w:szCs w:val="24"/>
          <w:u w:val="single"/>
        </w:rPr>
        <w:t>even good faith misrepresentations of non-coverage</w:t>
      </w:r>
      <w:r>
        <w:rPr>
          <w:rFonts w:ascii="Times New Roman" w:hAnsi="Times New Roman" w:cs="Times New Roman"/>
          <w:b/>
          <w:bCs/>
          <w:sz w:val="24"/>
          <w:szCs w:val="24"/>
          <w:u w:val="single"/>
        </w:rPr>
        <w:t xml:space="preserve"> by employers</w:t>
      </w:r>
      <w:r w:rsidRPr="00B23F41">
        <w:rPr>
          <w:rFonts w:ascii="Times New Roman" w:hAnsi="Times New Roman" w:cs="Times New Roman"/>
          <w:b/>
          <w:bCs/>
          <w:sz w:val="24"/>
          <w:szCs w:val="24"/>
          <w:u w:val="single"/>
        </w:rPr>
        <w:t>, if reasonably relied upon by employee</w:t>
      </w:r>
      <w:r>
        <w:rPr>
          <w:rFonts w:ascii="Times New Roman" w:hAnsi="Times New Roman" w:cs="Times New Roman"/>
          <w:b/>
          <w:bCs/>
          <w:sz w:val="24"/>
          <w:szCs w:val="24"/>
          <w:u w:val="single"/>
        </w:rPr>
        <w:t>s</w:t>
      </w:r>
      <w:r w:rsidRPr="00B23F41">
        <w:rPr>
          <w:rFonts w:ascii="Times New Roman" w:hAnsi="Times New Roman" w:cs="Times New Roman"/>
          <w:b/>
          <w:bCs/>
          <w:sz w:val="24"/>
          <w:szCs w:val="24"/>
          <w:u w:val="single"/>
        </w:rPr>
        <w:t>, may justify late-filed claims</w:t>
      </w:r>
      <w:r w:rsidRPr="007D2704">
        <w:rPr>
          <w:rFonts w:ascii="Times New Roman" w:hAnsi="Times New Roman" w:cs="Times New Roman"/>
          <w:b/>
          <w:bCs/>
          <w:sz w:val="24"/>
          <w:szCs w:val="24"/>
          <w:u w:val="single"/>
        </w:rPr>
        <w:t>.</w:t>
      </w:r>
      <w:r w:rsidRPr="007D2704">
        <w:rPr>
          <w:rFonts w:ascii="Times New Roman" w:hAnsi="Times New Roman" w:cs="Times New Roman"/>
          <w:b/>
          <w:bCs/>
          <w:sz w:val="24"/>
          <w:szCs w:val="24"/>
        </w:rPr>
        <w:t xml:space="preserve"> </w:t>
      </w:r>
      <w:r w:rsidRPr="002E2AE7">
        <w:rPr>
          <w:rFonts w:ascii="Times New Roman" w:hAnsi="Times New Roman" w:cs="Times New Roman"/>
          <w:b/>
          <w:bCs/>
          <w:sz w:val="24"/>
          <w:szCs w:val="24"/>
          <w:u w:val="single"/>
        </w:rPr>
        <w:t xml:space="preserve">But </w:t>
      </w:r>
      <w:r w:rsidRPr="002E2AE7">
        <w:rPr>
          <w:rFonts w:ascii="Times New Roman" w:hAnsi="Times New Roman" w:cs="Times New Roman"/>
          <w:b/>
          <w:bCs/>
          <w:i/>
          <w:iCs/>
          <w:sz w:val="24"/>
          <w:szCs w:val="24"/>
          <w:u w:val="single"/>
        </w:rPr>
        <w:t xml:space="preserve">originally </w:t>
      </w:r>
      <w:r w:rsidRPr="002E2AE7">
        <w:rPr>
          <w:rFonts w:ascii="Times New Roman" w:hAnsi="Times New Roman" w:cs="Times New Roman"/>
          <w:b/>
          <w:bCs/>
          <w:sz w:val="24"/>
          <w:szCs w:val="24"/>
          <w:u w:val="single"/>
        </w:rPr>
        <w:t>erroneous representations of non-coverage cannot</w:t>
      </w:r>
      <w:r>
        <w:rPr>
          <w:rFonts w:ascii="Times New Roman" w:hAnsi="Times New Roman" w:cs="Times New Roman"/>
          <w:b/>
          <w:bCs/>
          <w:sz w:val="24"/>
          <w:szCs w:val="24"/>
          <w:u w:val="single"/>
        </w:rPr>
        <w:t xml:space="preserve"> indefinitely</w:t>
      </w:r>
      <w:r w:rsidRPr="002E2AE7">
        <w:rPr>
          <w:rFonts w:ascii="Times New Roman" w:hAnsi="Times New Roman" w:cs="Times New Roman"/>
          <w:b/>
          <w:bCs/>
          <w:sz w:val="24"/>
          <w:szCs w:val="24"/>
          <w:u w:val="single"/>
        </w:rPr>
        <w:t xml:space="preserve"> </w:t>
      </w:r>
      <w:r w:rsidRPr="002E2AE7">
        <w:rPr>
          <w:rFonts w:ascii="Times New Roman" w:hAnsi="Times New Roman" w:cs="Times New Roman"/>
          <w:b/>
          <w:bCs/>
          <w:i/>
          <w:iCs/>
          <w:sz w:val="24"/>
          <w:szCs w:val="24"/>
          <w:u w:val="single"/>
        </w:rPr>
        <w:t>continue</w:t>
      </w:r>
      <w:r w:rsidRPr="002E2AE7">
        <w:rPr>
          <w:rFonts w:ascii="Times New Roman" w:hAnsi="Times New Roman" w:cs="Times New Roman"/>
          <w:b/>
          <w:bCs/>
          <w:sz w:val="24"/>
          <w:szCs w:val="24"/>
          <w:u w:val="single"/>
        </w:rPr>
        <w:t xml:space="preserve"> to excuse a late-filed claim</w:t>
      </w:r>
      <w:r>
        <w:rPr>
          <w:rFonts w:ascii="Times New Roman" w:hAnsi="Times New Roman" w:cs="Times New Roman"/>
          <w:sz w:val="24"/>
          <w:szCs w:val="24"/>
        </w:rPr>
        <w:t xml:space="preserve">, and that issue (among others) surfaced in the most recent equitable estoppel cases as of this writing, </w:t>
      </w:r>
      <w:bookmarkStart w:id="721" w:name="_Hlk24633301"/>
      <w:r w:rsidRPr="00FA079D">
        <w:rPr>
          <w:rFonts w:ascii="Times New Roman" w:hAnsi="Times New Roman" w:cs="Times New Roman"/>
          <w:i/>
          <w:iCs/>
          <w:sz w:val="24"/>
          <w:szCs w:val="24"/>
        </w:rPr>
        <w:t>Sweetalla v. Workers’ Comp. Div</w:t>
      </w:r>
      <w:r>
        <w:rPr>
          <w:rFonts w:ascii="Times New Roman" w:hAnsi="Times New Roman" w:cs="Times New Roman"/>
          <w:sz w:val="24"/>
          <w:szCs w:val="24"/>
        </w:rPr>
        <w:t>.</w:t>
      </w:r>
      <w:r w:rsidR="00A31F71" w:rsidRPr="00336412">
        <w:rPr>
          <w:rFonts w:ascii="Times New Roman" w:hAnsi="Times New Roman" w:cs="Times New Roman"/>
          <w:sz w:val="24"/>
          <w:szCs w:val="24"/>
          <w:vertAlign w:val="superscript"/>
        </w:rPr>
        <w:footnoteReference w:id="520"/>
      </w:r>
      <w:bookmarkEnd w:id="721"/>
      <w:r>
        <w:rPr>
          <w:rFonts w:ascii="Times New Roman" w:hAnsi="Times New Roman" w:cs="Times New Roman"/>
          <w:sz w:val="24"/>
          <w:szCs w:val="24"/>
        </w:rPr>
        <w:t xml:space="preserve"> In </w:t>
      </w:r>
      <w:r w:rsidRPr="002E2AE7">
        <w:rPr>
          <w:rFonts w:ascii="Times New Roman" w:hAnsi="Times New Roman" w:cs="Times New Roman"/>
          <w:i/>
          <w:iCs/>
          <w:sz w:val="24"/>
          <w:szCs w:val="24"/>
        </w:rPr>
        <w:t>Sweetalla</w:t>
      </w:r>
      <w:r>
        <w:rPr>
          <w:rFonts w:ascii="Times New Roman" w:hAnsi="Times New Roman" w:cs="Times New Roman"/>
          <w:sz w:val="24"/>
          <w:szCs w:val="24"/>
        </w:rPr>
        <w:t xml:space="preserve">, an employee suffered an apparent work-related injury on January 16, 2014. The employee’s employer “requested” the employee not file an injury report, kept him on full salary, and paid for two shoulder surgeries apparently related to the injury. The employee did not, however, return to work, and his employer thereafter terminated him on December 28, 2015, simultaneously informing him that he would not be paid additional sums for his work-related medical expense (nor, one presumes—though it is not mentioned explicitly in the reported case—for any other form of workers’ compensation benefit). About six weeks after being fired, on February 14, 2016, the employee filed an </w:t>
      </w:r>
      <w:r w:rsidRPr="002E2AE7">
        <w:rPr>
          <w:rFonts w:ascii="Times New Roman" w:hAnsi="Times New Roman" w:cs="Times New Roman"/>
          <w:i/>
          <w:iCs/>
          <w:sz w:val="24"/>
          <w:szCs w:val="24"/>
        </w:rPr>
        <w:t>injury report</w:t>
      </w:r>
      <w:r>
        <w:rPr>
          <w:rFonts w:ascii="Times New Roman" w:hAnsi="Times New Roman" w:cs="Times New Roman"/>
          <w:sz w:val="24"/>
          <w:szCs w:val="24"/>
        </w:rPr>
        <w:t xml:space="preserve">, which ordinarily must by statute be filed within ten days of sustaining a work-related injury (See above at Section 4.2). Subsequent to filing the injury report, “approximately one week later,” the employee contacted a Workers’ Compensation Division claims analyst, who told the employee “that because of our statutes of limitations an injury report must be filed within one year of the date of injury,” which was a misstatement of law. The analyst went on to say that once the employee filed an injury report the </w:t>
      </w:r>
      <w:r w:rsidRPr="002E2AE7">
        <w:rPr>
          <w:rFonts w:ascii="Times New Roman" w:hAnsi="Times New Roman" w:cs="Times New Roman"/>
          <w:i/>
          <w:iCs/>
          <w:sz w:val="24"/>
          <w:szCs w:val="24"/>
        </w:rPr>
        <w:t>claim</w:t>
      </w:r>
      <w:r>
        <w:rPr>
          <w:rFonts w:ascii="Times New Roman" w:hAnsi="Times New Roman" w:cs="Times New Roman"/>
          <w:sz w:val="24"/>
          <w:szCs w:val="24"/>
        </w:rPr>
        <w:t xml:space="preserve"> would be denied, and the employee would then “need to request a hearing.” At that point, in context, it was evident that the basis for denying the claim would be the failure of the employee </w:t>
      </w:r>
      <w:r w:rsidR="008452DD">
        <w:rPr>
          <w:rFonts w:ascii="Times New Roman" w:hAnsi="Times New Roman" w:cs="Times New Roman"/>
          <w:sz w:val="24"/>
          <w:szCs w:val="24"/>
        </w:rPr>
        <w:t xml:space="preserve">to </w:t>
      </w:r>
      <w:r>
        <w:rPr>
          <w:rFonts w:ascii="Times New Roman" w:hAnsi="Times New Roman" w:cs="Times New Roman"/>
          <w:sz w:val="24"/>
          <w:szCs w:val="24"/>
        </w:rPr>
        <w:t xml:space="preserve">file an </w:t>
      </w:r>
      <w:r w:rsidRPr="002E2AE7">
        <w:rPr>
          <w:rFonts w:ascii="Times New Roman" w:hAnsi="Times New Roman" w:cs="Times New Roman"/>
          <w:i/>
          <w:iCs/>
          <w:sz w:val="24"/>
          <w:szCs w:val="24"/>
        </w:rPr>
        <w:t>injury report</w:t>
      </w:r>
      <w:r>
        <w:rPr>
          <w:rFonts w:ascii="Times New Roman" w:hAnsi="Times New Roman" w:cs="Times New Roman"/>
          <w:sz w:val="24"/>
          <w:szCs w:val="24"/>
        </w:rPr>
        <w:t xml:space="preserve">. The analyst made no explicit mention of the failure to file a </w:t>
      </w:r>
      <w:r w:rsidRPr="007D2704">
        <w:rPr>
          <w:rFonts w:ascii="Times New Roman" w:hAnsi="Times New Roman" w:cs="Times New Roman"/>
          <w:i/>
          <w:iCs/>
          <w:sz w:val="24"/>
          <w:szCs w:val="24"/>
        </w:rPr>
        <w:t>claim</w:t>
      </w:r>
      <w:r>
        <w:rPr>
          <w:rFonts w:ascii="Times New Roman" w:hAnsi="Times New Roman" w:cs="Times New Roman"/>
          <w:sz w:val="24"/>
          <w:szCs w:val="24"/>
        </w:rPr>
        <w:t xml:space="preserve"> within the statute of limitations period. The Division denied the claim in writing in April 2016. In that denial, the Division made no reference to “a claim for benefits or the lack thereof.” Eventually, in June 2016, the Division raised the lateness of claim filing as a “possible issue” and then as a full-blown issue. Subsequent to the ensuing contested case hearing, the Office of Administrative Hearings concluded;</w:t>
      </w:r>
    </w:p>
    <w:p w14:paraId="72311150" w14:textId="77777777" w:rsidR="00FF7482" w:rsidRDefault="00FF7482" w:rsidP="00AD1851">
      <w:pPr>
        <w:pStyle w:val="ListParagraph"/>
        <w:spacing w:after="0"/>
        <w:ind w:left="0" w:firstLine="720"/>
        <w:jc w:val="both"/>
        <w:rPr>
          <w:rFonts w:ascii="Times New Roman" w:hAnsi="Times New Roman" w:cs="Times New Roman"/>
          <w:sz w:val="24"/>
          <w:szCs w:val="24"/>
        </w:rPr>
      </w:pPr>
    </w:p>
    <w:p w14:paraId="457A01A9" w14:textId="06256419" w:rsidR="00FF7482" w:rsidRDefault="00FF7482" w:rsidP="00722E68">
      <w:pPr>
        <w:pStyle w:val="ListParagraph"/>
        <w:spacing w:after="0"/>
        <w:ind w:right="720"/>
        <w:jc w:val="both"/>
        <w:rPr>
          <w:rFonts w:ascii="Times New Roman" w:hAnsi="Times New Roman" w:cs="Times New Roman"/>
          <w:sz w:val="24"/>
          <w:szCs w:val="24"/>
        </w:rPr>
      </w:pPr>
      <w:r>
        <w:rPr>
          <w:rFonts w:ascii="Times New Roman" w:hAnsi="Times New Roman" w:cs="Times New Roman"/>
          <w:sz w:val="24"/>
          <w:szCs w:val="24"/>
        </w:rPr>
        <w:t>There is no dispute that Sweetalla failed to file a claim for benefits within one year that Sweetalla’s injury occurred as is required by Wyoming Statute § 27-14-503. Sweetalla admitted he had suffered a work-related injury on January 16, 2014, and that it was more than just a minor injury. Sweetalla had surgery on his left shoulder on April 1, 2014. As of the date of the hearing, January 26, 2017, Sweetalla had not filed a claim for benefits or an application for benefits with the Division</w:t>
      </w:r>
      <w:r w:rsidR="00722E6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ED12C7F" w14:textId="77777777" w:rsidR="00FF7482" w:rsidRDefault="00FF7482" w:rsidP="00FC3D65">
      <w:pPr>
        <w:pStyle w:val="ListParagraph"/>
        <w:spacing w:after="0"/>
        <w:ind w:right="720"/>
        <w:jc w:val="both"/>
        <w:rPr>
          <w:rFonts w:ascii="Times New Roman" w:hAnsi="Times New Roman" w:cs="Times New Roman"/>
          <w:sz w:val="24"/>
          <w:szCs w:val="24"/>
        </w:rPr>
      </w:pPr>
    </w:p>
    <w:p w14:paraId="6B8F0A06" w14:textId="280BACDA" w:rsidR="00FF7482" w:rsidRDefault="00FF7482" w:rsidP="008452DD">
      <w:pPr>
        <w:pStyle w:val="ListParagraph"/>
        <w:spacing w:after="0"/>
        <w:ind w:left="0"/>
        <w:jc w:val="both"/>
        <w:rPr>
          <w:rFonts w:ascii="Times New Roman" w:hAnsi="Times New Roman" w:cs="Times New Roman"/>
          <w:sz w:val="24"/>
          <w:szCs w:val="24"/>
        </w:rPr>
      </w:pPr>
      <w:r w:rsidRPr="00965F07">
        <w:rPr>
          <w:rFonts w:ascii="Times New Roman" w:hAnsi="Times New Roman" w:cs="Times New Roman"/>
          <w:i/>
          <w:iCs/>
          <w:sz w:val="24"/>
          <w:szCs w:val="24"/>
        </w:rPr>
        <w:t>Sweetalla</w:t>
      </w:r>
      <w:r>
        <w:rPr>
          <w:rFonts w:ascii="Times New Roman" w:hAnsi="Times New Roman" w:cs="Times New Roman"/>
          <w:sz w:val="24"/>
          <w:szCs w:val="24"/>
        </w:rPr>
        <w:t xml:space="preserve"> is somewhat unique because it contains </w:t>
      </w:r>
      <w:r w:rsidRPr="007D2704">
        <w:rPr>
          <w:rFonts w:ascii="Times New Roman" w:hAnsi="Times New Roman" w:cs="Times New Roman"/>
          <w:i/>
          <w:iCs/>
          <w:sz w:val="24"/>
          <w:szCs w:val="24"/>
        </w:rPr>
        <w:t>two</w:t>
      </w:r>
      <w:r>
        <w:rPr>
          <w:rFonts w:ascii="Times New Roman" w:hAnsi="Times New Roman" w:cs="Times New Roman"/>
          <w:sz w:val="24"/>
          <w:szCs w:val="24"/>
        </w:rPr>
        <w:t xml:space="preserve"> separate periods of time subject to equitable estoppel arguments.</w:t>
      </w:r>
      <w:r w:rsidRPr="00FC3D65">
        <w:rPr>
          <w:rFonts w:ascii="Times New Roman" w:hAnsi="Times New Roman" w:cs="Times New Roman"/>
          <w:i/>
          <w:iCs/>
          <w:sz w:val="24"/>
          <w:szCs w:val="24"/>
        </w:rPr>
        <w:t xml:space="preserve"> </w:t>
      </w:r>
      <w:r>
        <w:rPr>
          <w:rFonts w:ascii="Times New Roman" w:hAnsi="Times New Roman" w:cs="Times New Roman"/>
          <w:sz w:val="24"/>
          <w:szCs w:val="24"/>
        </w:rPr>
        <w:t>There was really no question that, from the January 6, 2014 date of injury until date of the employee’s termination on December 28, 2015, the employer would be estopped from arguing that the employee’s claim was barred by the limitations period.</w:t>
      </w:r>
      <w:r w:rsidRPr="00FC3D65">
        <w:rPr>
          <w:rFonts w:ascii="Times New Roman" w:hAnsi="Times New Roman" w:cs="Times New Roman"/>
          <w:i/>
          <w:iCs/>
          <w:sz w:val="24"/>
          <w:szCs w:val="24"/>
        </w:rPr>
        <w:t xml:space="preserve"> </w:t>
      </w:r>
      <w:r>
        <w:rPr>
          <w:rFonts w:ascii="Times New Roman" w:hAnsi="Times New Roman" w:cs="Times New Roman"/>
          <w:sz w:val="24"/>
          <w:szCs w:val="24"/>
        </w:rPr>
        <w:t xml:space="preserve">The real question, left open by cases like </w:t>
      </w:r>
      <w:r w:rsidRPr="00965F07">
        <w:rPr>
          <w:rFonts w:ascii="Times New Roman" w:hAnsi="Times New Roman" w:cs="Times New Roman"/>
          <w:i/>
          <w:iCs/>
          <w:sz w:val="24"/>
          <w:szCs w:val="24"/>
        </w:rPr>
        <w:t>Bauer</w:t>
      </w:r>
      <w:r>
        <w:rPr>
          <w:rFonts w:ascii="Times New Roman" w:hAnsi="Times New Roman" w:cs="Times New Roman"/>
          <w:sz w:val="24"/>
          <w:szCs w:val="24"/>
        </w:rPr>
        <w:t xml:space="preserve">, was the nature of the employee’s obligations </w:t>
      </w:r>
      <w:r w:rsidRPr="000C53E4">
        <w:rPr>
          <w:rFonts w:ascii="Times New Roman" w:hAnsi="Times New Roman" w:cs="Times New Roman"/>
          <w:i/>
          <w:iCs/>
          <w:sz w:val="24"/>
          <w:szCs w:val="24"/>
        </w:rPr>
        <w:t>after</w:t>
      </w:r>
      <w:r>
        <w:rPr>
          <w:rFonts w:ascii="Times New Roman" w:hAnsi="Times New Roman" w:cs="Times New Roman"/>
          <w:sz w:val="24"/>
          <w:szCs w:val="24"/>
        </w:rPr>
        <w:t xml:space="preserve"> the employment terminated. If one accepts the factual conclusion that the employee could not reasonably have continued to believe he had no need to resort to legal process once his employment ended, then the legal conclusion in many jurisdictions (and now Wyoming) is:</w:t>
      </w:r>
    </w:p>
    <w:p w14:paraId="02A3CD49" w14:textId="77777777" w:rsidR="00FF7482" w:rsidRDefault="00FF7482" w:rsidP="00FC3D65">
      <w:pPr>
        <w:pStyle w:val="ListParagraph"/>
        <w:spacing w:after="0"/>
        <w:ind w:left="0" w:firstLine="720"/>
        <w:jc w:val="both"/>
        <w:rPr>
          <w:rFonts w:ascii="Times New Roman" w:hAnsi="Times New Roman" w:cs="Times New Roman"/>
          <w:sz w:val="24"/>
          <w:szCs w:val="24"/>
        </w:rPr>
      </w:pPr>
    </w:p>
    <w:p w14:paraId="3F8256D6" w14:textId="1E4080BF" w:rsidR="00FF7482" w:rsidRPr="000F584A" w:rsidRDefault="00FF7482" w:rsidP="000F584A">
      <w:pPr>
        <w:pStyle w:val="ListParagraph"/>
        <w:spacing w:after="0"/>
        <w:ind w:right="720"/>
        <w:jc w:val="both"/>
        <w:rPr>
          <w:rFonts w:ascii="Times New Roman" w:hAnsi="Times New Roman" w:cs="Times New Roman"/>
          <w:sz w:val="24"/>
          <w:szCs w:val="24"/>
        </w:rPr>
      </w:pPr>
      <w:r w:rsidRPr="00965F07">
        <w:rPr>
          <w:rFonts w:ascii="Times New Roman" w:hAnsi="Times New Roman" w:cs="Times New Roman"/>
          <w:sz w:val="24"/>
          <w:szCs w:val="24"/>
        </w:rPr>
        <w:t>The general rule appears to be that a plaintiff may not invoke the doctrine of equitable estoppel against a defendant unless the plaintiff exercises due diligence in commencing the appropriate legal proceeding after the circumstances giving rise to estoppel have ceased to be operational, that is, after plaintiff has notice, actual or constructive, that he must resort to legal recourse and may no longer rely upon agreements, promises, representations to the contrary, or conduct or deceptive practices which may have lulled him into a sense of security.</w:t>
      </w:r>
      <w:r w:rsidR="000F584A" w:rsidRPr="00336412">
        <w:rPr>
          <w:rFonts w:ascii="Times New Roman" w:hAnsi="Times New Roman" w:cs="Times New Roman"/>
          <w:sz w:val="24"/>
          <w:szCs w:val="24"/>
          <w:vertAlign w:val="superscript"/>
        </w:rPr>
        <w:footnoteReference w:id="521"/>
      </w:r>
    </w:p>
    <w:p w14:paraId="466C9E97" w14:textId="500CF440" w:rsidR="00FF7482" w:rsidRDefault="00FF7482" w:rsidP="00965F07">
      <w:pPr>
        <w:pStyle w:val="ListParagraph"/>
        <w:spacing w:after="0"/>
        <w:ind w:right="720"/>
        <w:jc w:val="both"/>
        <w:rPr>
          <w:rFonts w:ascii="Times New Roman" w:hAnsi="Times New Roman" w:cs="Times New Roman"/>
          <w:sz w:val="24"/>
          <w:szCs w:val="24"/>
        </w:rPr>
      </w:pPr>
    </w:p>
    <w:p w14:paraId="37AE7EB0" w14:textId="2EE87F11" w:rsidR="00FF7482" w:rsidRDefault="00FF7482" w:rsidP="00FB365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Thus, unlike what the employee seemed to be arguing, the original action by the employer did not “eliminate” statute of limitations considerations in all subsequent phases of the claim. The additional complicating factor, however, was that here the </w:t>
      </w:r>
      <w:r w:rsidRPr="000C53E4">
        <w:rPr>
          <w:rFonts w:ascii="Times New Roman" w:hAnsi="Times New Roman" w:cs="Times New Roman"/>
          <w:i/>
          <w:iCs/>
          <w:sz w:val="24"/>
          <w:szCs w:val="24"/>
        </w:rPr>
        <w:t>Division</w:t>
      </w:r>
      <w:r>
        <w:rPr>
          <w:rFonts w:ascii="Times New Roman" w:hAnsi="Times New Roman" w:cs="Times New Roman"/>
          <w:sz w:val="24"/>
          <w:szCs w:val="24"/>
        </w:rPr>
        <w:t xml:space="preserve"> was </w:t>
      </w:r>
      <w:r w:rsidRPr="000C53E4">
        <w:rPr>
          <w:rFonts w:ascii="Times New Roman" w:hAnsi="Times New Roman" w:cs="Times New Roman"/>
          <w:i/>
          <w:iCs/>
          <w:sz w:val="24"/>
          <w:szCs w:val="24"/>
        </w:rPr>
        <w:t xml:space="preserve">also </w:t>
      </w:r>
      <w:r>
        <w:rPr>
          <w:rFonts w:ascii="Times New Roman" w:hAnsi="Times New Roman" w:cs="Times New Roman"/>
          <w:sz w:val="24"/>
          <w:szCs w:val="24"/>
        </w:rPr>
        <w:t>subject to equitable estoppel arguments:</w:t>
      </w:r>
    </w:p>
    <w:p w14:paraId="544110FF" w14:textId="77777777" w:rsidR="00FF7482" w:rsidRDefault="00FF7482" w:rsidP="00E964E7">
      <w:pPr>
        <w:pStyle w:val="ListParagraph"/>
        <w:spacing w:after="0"/>
        <w:ind w:left="0" w:firstLine="720"/>
        <w:jc w:val="both"/>
        <w:rPr>
          <w:rFonts w:ascii="Times New Roman" w:hAnsi="Times New Roman" w:cs="Times New Roman"/>
          <w:sz w:val="24"/>
          <w:szCs w:val="24"/>
        </w:rPr>
      </w:pPr>
    </w:p>
    <w:p w14:paraId="5C046A84" w14:textId="3DB738A8" w:rsidR="00FF7482" w:rsidRDefault="00FF7482" w:rsidP="000F584A">
      <w:pPr>
        <w:pStyle w:val="ListParagraph"/>
        <w:spacing w:after="0"/>
        <w:ind w:right="720"/>
        <w:jc w:val="both"/>
        <w:rPr>
          <w:rFonts w:ascii="Times New Roman" w:hAnsi="Times New Roman" w:cs="Times New Roman"/>
          <w:sz w:val="24"/>
          <w:szCs w:val="24"/>
        </w:rPr>
      </w:pPr>
      <w:r w:rsidRPr="00E964E7">
        <w:rPr>
          <w:rFonts w:ascii="Times New Roman" w:hAnsi="Times New Roman" w:cs="Times New Roman"/>
          <w:sz w:val="24"/>
          <w:szCs w:val="24"/>
        </w:rPr>
        <w:t xml:space="preserve">Here, the record reflects that the Division affirmatively and repeatedly conflated the injury reporting requirements with the claim requirements, and the Final Determination Regarding Compensability suggested that he had filed a claim when he had not. The Division then instructed Mr. Sweetalla that he could initiate a </w:t>
      </w:r>
      <w:r w:rsidRPr="00E964E7">
        <w:rPr>
          <w:rFonts w:ascii="Times New Roman" w:hAnsi="Times New Roman" w:cs="Times New Roman"/>
          <w:sz w:val="24"/>
          <w:szCs w:val="24"/>
        </w:rPr>
        <w:lastRenderedPageBreak/>
        <w:t>contested case proceeding before OAH if he disagreed with its denial of benefits. It was only after Mr. Sweetalla requested a hearing that the Division asserted, vaguely and then more precisely, that Mr. Sweetalla’s request for benefits should be denied because he failed to timely file a claim for benefits.</w:t>
      </w:r>
      <w:r w:rsidR="000F584A" w:rsidRPr="00336412">
        <w:rPr>
          <w:rFonts w:ascii="Times New Roman" w:hAnsi="Times New Roman" w:cs="Times New Roman"/>
          <w:sz w:val="24"/>
          <w:szCs w:val="24"/>
          <w:vertAlign w:val="superscript"/>
        </w:rPr>
        <w:footnoteReference w:id="522"/>
      </w:r>
    </w:p>
    <w:p w14:paraId="38A63605" w14:textId="77777777" w:rsidR="000F584A" w:rsidRPr="000F584A" w:rsidRDefault="000F584A" w:rsidP="000F584A">
      <w:pPr>
        <w:pStyle w:val="ListParagraph"/>
        <w:spacing w:after="0"/>
        <w:ind w:right="720"/>
        <w:jc w:val="both"/>
        <w:rPr>
          <w:rFonts w:ascii="Times New Roman" w:hAnsi="Times New Roman" w:cs="Times New Roman"/>
          <w:sz w:val="24"/>
          <w:szCs w:val="24"/>
        </w:rPr>
      </w:pPr>
    </w:p>
    <w:p w14:paraId="6606B005" w14:textId="2CEB820C" w:rsidR="00FF7482" w:rsidRPr="00965F07" w:rsidRDefault="00FF7482" w:rsidP="00523C0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 Wyoming Supreme Court’s ultimate conclusion was that “</w:t>
      </w:r>
      <w:r w:rsidRPr="00E964E7">
        <w:rPr>
          <w:rFonts w:ascii="Times New Roman" w:hAnsi="Times New Roman" w:cs="Times New Roman"/>
          <w:sz w:val="24"/>
          <w:szCs w:val="24"/>
        </w:rPr>
        <w:t>On the record as a whole, OAH could not reasonably conclude that Mr. Sweetalla did not meet his burden to establish that equitable estoppel barred the Division from asserting the statute of limitations as a defense.</w:t>
      </w:r>
      <w:r>
        <w:rPr>
          <w:rFonts w:ascii="Times New Roman" w:hAnsi="Times New Roman" w:cs="Times New Roman"/>
          <w:sz w:val="24"/>
          <w:szCs w:val="24"/>
        </w:rPr>
        <w:t>”</w:t>
      </w:r>
      <w:r w:rsidR="00A31F71" w:rsidRPr="00336412">
        <w:rPr>
          <w:rFonts w:ascii="Times New Roman" w:hAnsi="Times New Roman" w:cs="Times New Roman"/>
          <w:sz w:val="24"/>
          <w:szCs w:val="24"/>
          <w:vertAlign w:val="superscript"/>
        </w:rPr>
        <w:footnoteReference w:id="523"/>
      </w:r>
      <w:r>
        <w:rPr>
          <w:rFonts w:ascii="Times New Roman" w:hAnsi="Times New Roman" w:cs="Times New Roman"/>
          <w:sz w:val="24"/>
          <w:szCs w:val="24"/>
        </w:rPr>
        <w:t xml:space="preserve"> Sweetalla is also a reminder that principles of equitable estoppel are applicable to government agencies as well as to employers.</w:t>
      </w:r>
      <w:r w:rsidR="00A31F71" w:rsidRPr="00336412">
        <w:rPr>
          <w:rFonts w:ascii="Times New Roman" w:hAnsi="Times New Roman" w:cs="Times New Roman"/>
          <w:sz w:val="24"/>
          <w:szCs w:val="24"/>
          <w:vertAlign w:val="superscript"/>
        </w:rPr>
        <w:footnoteReference w:id="524"/>
      </w:r>
      <w:r>
        <w:rPr>
          <w:rFonts w:ascii="Times New Roman" w:hAnsi="Times New Roman" w:cs="Times New Roman"/>
          <w:sz w:val="24"/>
          <w:szCs w:val="24"/>
        </w:rPr>
        <w:t xml:space="preserve"> </w:t>
      </w:r>
    </w:p>
    <w:p w14:paraId="42A55F9E" w14:textId="5D51FF4C" w:rsidR="00FF7482" w:rsidRDefault="00FF7482" w:rsidP="00AD1851">
      <w:pPr>
        <w:pStyle w:val="ListParagraph"/>
        <w:spacing w:after="0"/>
        <w:ind w:left="0" w:firstLine="720"/>
        <w:jc w:val="both"/>
        <w:rPr>
          <w:rFonts w:ascii="Times New Roman" w:hAnsi="Times New Roman" w:cs="Times New Roman"/>
          <w:sz w:val="24"/>
          <w:szCs w:val="24"/>
        </w:rPr>
      </w:pPr>
    </w:p>
    <w:p w14:paraId="06AE929E" w14:textId="2E4BEBBE" w:rsidR="00FF7482" w:rsidRDefault="00FF7482" w:rsidP="002E7A4E">
      <w:pPr>
        <w:pStyle w:val="Heading2"/>
        <w:rPr>
          <w:rFonts w:ascii="Times New Roman" w:hAnsi="Times New Roman" w:cs="Times New Roman"/>
          <w:b/>
          <w:color w:val="auto"/>
        </w:rPr>
      </w:pPr>
      <w:bookmarkStart w:id="727" w:name="_Toc75269395"/>
      <w:bookmarkStart w:id="728" w:name="_Hlk523762299"/>
      <w:r w:rsidRPr="002E7A4E">
        <w:rPr>
          <w:rFonts w:ascii="Times New Roman" w:hAnsi="Times New Roman" w:cs="Times New Roman"/>
          <w:b/>
          <w:color w:val="auto"/>
        </w:rPr>
        <w:t xml:space="preserve">Statute of Limitations in Wyoming </w:t>
      </w:r>
      <w:r>
        <w:rPr>
          <w:rFonts w:ascii="Times New Roman" w:hAnsi="Times New Roman" w:cs="Times New Roman"/>
          <w:b/>
          <w:color w:val="auto"/>
        </w:rPr>
        <w:t>When Limitations Periods Have been Altered by the Legislature and Determining Dates of Injury</w:t>
      </w:r>
      <w:bookmarkEnd w:id="727"/>
    </w:p>
    <w:bookmarkEnd w:id="728"/>
    <w:p w14:paraId="18EB9D53" w14:textId="21FF2690" w:rsidR="00FF7482" w:rsidRDefault="00FF7482" w:rsidP="00AD1851">
      <w:pPr>
        <w:spacing w:after="0"/>
      </w:pPr>
    </w:p>
    <w:p w14:paraId="33E6C87E" w14:textId="6B651F6C" w:rsidR="00FF7482" w:rsidRDefault="00FF7482" w:rsidP="00E73072">
      <w:pPr>
        <w:pStyle w:val="ListParagraph"/>
        <w:spacing w:after="0"/>
        <w:ind w:left="0"/>
        <w:jc w:val="both"/>
        <w:rPr>
          <w:rStyle w:val="Hyperlink"/>
          <w:rFonts w:ascii="Times New Roman" w:hAnsi="Times New Roman" w:cs="Times New Roman"/>
          <w:sz w:val="24"/>
          <w:szCs w:val="24"/>
          <w:vertAlign w:val="superscript"/>
        </w:rPr>
      </w:pPr>
      <w:r w:rsidRPr="00B23F41">
        <w:rPr>
          <w:rFonts w:ascii="Times New Roman" w:hAnsi="Times New Roman" w:cs="Times New Roman"/>
          <w:b/>
          <w:bCs/>
          <w:sz w:val="24"/>
          <w:szCs w:val="24"/>
          <w:u w:val="single"/>
        </w:rPr>
        <w:t>Provisions of the Workers</w:t>
      </w:r>
      <w:r w:rsidR="00E73072">
        <w:rPr>
          <w:rFonts w:ascii="Times New Roman" w:hAnsi="Times New Roman" w:cs="Times New Roman"/>
          <w:b/>
          <w:bCs/>
          <w:sz w:val="24"/>
          <w:szCs w:val="24"/>
          <w:u w:val="single"/>
        </w:rPr>
        <w:t>’</w:t>
      </w:r>
      <w:r w:rsidRPr="00B23F41">
        <w:rPr>
          <w:rFonts w:ascii="Times New Roman" w:hAnsi="Times New Roman" w:cs="Times New Roman"/>
          <w:b/>
          <w:bCs/>
          <w:sz w:val="24"/>
          <w:szCs w:val="24"/>
          <w:u w:val="single"/>
        </w:rPr>
        <w:t xml:space="preserve"> Compensation Act in force at the time of injury govern</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25"/>
      </w:r>
      <w:r>
        <w:rPr>
          <w:rFonts w:ascii="Times New Roman" w:hAnsi="Times New Roman" w:cs="Times New Roman"/>
          <w:sz w:val="24"/>
          <w:szCs w:val="24"/>
        </w:rPr>
        <w:t xml:space="preserve"> and this principle also applies to statute of limitations provisions.</w:t>
      </w:r>
      <w:r w:rsidRPr="00336412">
        <w:rPr>
          <w:rFonts w:ascii="Times New Roman" w:hAnsi="Times New Roman" w:cs="Times New Roman"/>
          <w:sz w:val="24"/>
          <w:szCs w:val="24"/>
          <w:vertAlign w:val="superscript"/>
        </w:rPr>
        <w:footnoteReference w:id="526"/>
      </w:r>
      <w:r>
        <w:rPr>
          <w:rFonts w:ascii="Times New Roman" w:hAnsi="Times New Roman" w:cs="Times New Roman"/>
          <w:sz w:val="24"/>
          <w:szCs w:val="24"/>
        </w:rPr>
        <w:t xml:space="preserve"> Timing issues may arise when determining the date of injury in a permanent disability case, however. Imagine parties are jockeying for a date of injury because establishment of one date of injury may result in a claim being time-barred, while another date would not lead to the same outcome (</w:t>
      </w:r>
      <w:r w:rsidRPr="008101A3">
        <w:rPr>
          <w:rFonts w:ascii="Times New Roman" w:hAnsi="Times New Roman" w:cs="Times New Roman"/>
          <w:sz w:val="24"/>
          <w:szCs w:val="24"/>
        </w:rPr>
        <w:t xml:space="preserve">or </w:t>
      </w:r>
      <w:r>
        <w:rPr>
          <w:rFonts w:ascii="Times New Roman" w:hAnsi="Times New Roman" w:cs="Times New Roman"/>
          <w:sz w:val="24"/>
          <w:szCs w:val="24"/>
        </w:rPr>
        <w:t>are jockeying for any other substantive</w:t>
      </w:r>
      <w:r w:rsidRPr="008101A3">
        <w:rPr>
          <w:rFonts w:ascii="Times New Roman" w:hAnsi="Times New Roman" w:cs="Times New Roman"/>
          <w:sz w:val="24"/>
          <w:szCs w:val="24"/>
        </w:rPr>
        <w:t xml:space="preserve"> reason). </w:t>
      </w:r>
      <w:r w:rsidRPr="00D62D52">
        <w:rPr>
          <w:rFonts w:ascii="Times New Roman" w:hAnsi="Times New Roman" w:cs="Times New Roman"/>
          <w:sz w:val="24"/>
          <w:szCs w:val="24"/>
        </w:rPr>
        <w:t xml:space="preserve">The correct rule is that </w:t>
      </w:r>
      <w:r w:rsidRPr="008101A3">
        <w:rPr>
          <w:rFonts w:ascii="Times New Roman" w:hAnsi="Times New Roman" w:cs="Times New Roman"/>
          <w:b/>
          <w:bCs/>
          <w:sz w:val="24"/>
          <w:szCs w:val="24"/>
        </w:rPr>
        <w:t>the statute in effect when the claimant becomes permanently disabled controls</w:t>
      </w:r>
      <w:r w:rsidRPr="00E73072">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27"/>
      </w:r>
      <w:r w:rsidRPr="008101A3">
        <w:rPr>
          <w:rFonts w:ascii="Times New Roman" w:hAnsi="Times New Roman" w:cs="Times New Roman"/>
          <w:b/>
          <w:bCs/>
          <w:sz w:val="24"/>
          <w:szCs w:val="24"/>
        </w:rPr>
        <w:t xml:space="preserve"> Normally, </w:t>
      </w:r>
      <w:r>
        <w:rPr>
          <w:rFonts w:ascii="Times New Roman" w:hAnsi="Times New Roman" w:cs="Times New Roman"/>
          <w:b/>
          <w:bCs/>
          <w:sz w:val="24"/>
          <w:szCs w:val="24"/>
        </w:rPr>
        <w:t xml:space="preserve">the version of the statute controlling is the one in effect on </w:t>
      </w:r>
      <w:r w:rsidRPr="008101A3">
        <w:rPr>
          <w:rFonts w:ascii="Times New Roman" w:hAnsi="Times New Roman" w:cs="Times New Roman"/>
          <w:b/>
          <w:bCs/>
          <w:sz w:val="24"/>
          <w:szCs w:val="24"/>
        </w:rPr>
        <w:t>the date of “accident</w:t>
      </w:r>
      <w:r w:rsidRPr="00E73072">
        <w:rPr>
          <w:rFonts w:ascii="Times New Roman" w:hAnsi="Times New Roman" w:cs="Times New Roman"/>
          <w:b/>
          <w:bCs/>
          <w:sz w:val="24"/>
          <w:szCs w:val="24"/>
        </w:rPr>
        <w:t>,”</w:t>
      </w:r>
      <w:r>
        <w:rPr>
          <w:rFonts w:ascii="Times New Roman" w:hAnsi="Times New Roman" w:cs="Times New Roman"/>
          <w:sz w:val="24"/>
          <w:szCs w:val="24"/>
        </w:rPr>
        <w:t xml:space="preserve"> but an</w:t>
      </w:r>
      <w:r w:rsidRPr="00D62D52">
        <w:rPr>
          <w:rFonts w:ascii="Times New Roman" w:hAnsi="Times New Roman" w:cs="Times New Roman"/>
          <w:sz w:val="24"/>
          <w:szCs w:val="24"/>
        </w:rPr>
        <w:t xml:space="preserve"> </w:t>
      </w:r>
      <w:r>
        <w:rPr>
          <w:rFonts w:ascii="Times New Roman" w:hAnsi="Times New Roman" w:cs="Times New Roman"/>
          <w:sz w:val="24"/>
          <w:szCs w:val="24"/>
        </w:rPr>
        <w:t>“</w:t>
      </w:r>
      <w:r w:rsidRPr="008101A3">
        <w:rPr>
          <w:rFonts w:ascii="Times New Roman" w:hAnsi="Times New Roman" w:cs="Times New Roman"/>
          <w:b/>
          <w:bCs/>
          <w:sz w:val="24"/>
          <w:szCs w:val="24"/>
        </w:rPr>
        <w:t>injury</w:t>
      </w:r>
      <w:r w:rsidRPr="00D62D52">
        <w:rPr>
          <w:rFonts w:ascii="Times New Roman" w:hAnsi="Times New Roman" w:cs="Times New Roman"/>
          <w:sz w:val="24"/>
          <w:szCs w:val="24"/>
        </w:rPr>
        <w:t xml:space="preserve"> date</w:t>
      </w:r>
      <w:r>
        <w:rPr>
          <w:rFonts w:ascii="Times New Roman" w:hAnsi="Times New Roman" w:cs="Times New Roman"/>
          <w:sz w:val="24"/>
          <w:szCs w:val="24"/>
        </w:rPr>
        <w:t>,”</w:t>
      </w:r>
      <w:r w:rsidRPr="00D62D52">
        <w:rPr>
          <w:rFonts w:ascii="Times New Roman" w:hAnsi="Times New Roman" w:cs="Times New Roman"/>
          <w:sz w:val="24"/>
          <w:szCs w:val="24"/>
        </w:rPr>
        <w:t xml:space="preserve"> </w:t>
      </w:r>
      <w:r>
        <w:rPr>
          <w:rFonts w:ascii="Times New Roman" w:hAnsi="Times New Roman" w:cs="Times New Roman"/>
          <w:sz w:val="24"/>
          <w:szCs w:val="24"/>
        </w:rPr>
        <w:t>particularly in the context of determinations of permanent</w:t>
      </w:r>
      <w:r w:rsidRPr="00D62D52">
        <w:rPr>
          <w:rFonts w:ascii="Times New Roman" w:hAnsi="Times New Roman" w:cs="Times New Roman"/>
          <w:sz w:val="24"/>
          <w:szCs w:val="24"/>
        </w:rPr>
        <w:t xml:space="preserve"> disability</w:t>
      </w:r>
      <w:r>
        <w:rPr>
          <w:rFonts w:ascii="Times New Roman" w:hAnsi="Times New Roman" w:cs="Times New Roman"/>
          <w:sz w:val="24"/>
          <w:szCs w:val="24"/>
        </w:rPr>
        <w:t>,</w:t>
      </w:r>
      <w:r w:rsidRPr="00D62D52">
        <w:rPr>
          <w:rFonts w:ascii="Times New Roman" w:hAnsi="Times New Roman" w:cs="Times New Roman"/>
          <w:sz w:val="24"/>
          <w:szCs w:val="24"/>
        </w:rPr>
        <w:t xml:space="preserve"> can be different</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28"/>
      </w:r>
      <w:r>
        <w:rPr>
          <w:rFonts w:ascii="Times New Roman" w:hAnsi="Times New Roman" w:cs="Times New Roman"/>
          <w:sz w:val="24"/>
          <w:szCs w:val="24"/>
        </w:rPr>
        <w:t xml:space="preserve"> (This problem is especially acute in scenarios involving </w:t>
      </w:r>
      <w:r w:rsidRPr="00B23F41">
        <w:rPr>
          <w:rFonts w:ascii="Times New Roman" w:hAnsi="Times New Roman" w:cs="Times New Roman"/>
          <w:i/>
          <w:iCs/>
          <w:sz w:val="24"/>
          <w:szCs w:val="24"/>
        </w:rPr>
        <w:t>gradual injuries</w:t>
      </w:r>
      <w:r w:rsidR="00E73072" w:rsidRPr="00E73072">
        <w:rPr>
          <w:rFonts w:ascii="Times New Roman" w:hAnsi="Times New Roman" w:cs="Times New Roman"/>
          <w:sz w:val="24"/>
          <w:szCs w:val="24"/>
        </w:rPr>
        <w:t>.</w:t>
      </w:r>
      <w:r>
        <w:rPr>
          <w:rFonts w:ascii="Times New Roman" w:hAnsi="Times New Roman" w:cs="Times New Roman"/>
          <w:sz w:val="24"/>
          <w:szCs w:val="24"/>
        </w:rPr>
        <w:t>) The date of injury is generally</w:t>
      </w:r>
      <w:r w:rsidRPr="00314035">
        <w:t xml:space="preserve"> </w:t>
      </w:r>
      <w:r>
        <w:t>“</w:t>
      </w:r>
      <w:r w:rsidRPr="00314035">
        <w:rPr>
          <w:rFonts w:ascii="Times New Roman" w:hAnsi="Times New Roman" w:cs="Times New Roman"/>
          <w:sz w:val="24"/>
          <w:szCs w:val="24"/>
        </w:rPr>
        <w:t xml:space="preserve">when the medical decision was made from which </w:t>
      </w:r>
      <w:r>
        <w:rPr>
          <w:rFonts w:ascii="Times New Roman" w:hAnsi="Times New Roman" w:cs="Times New Roman"/>
          <w:sz w:val="24"/>
          <w:szCs w:val="24"/>
        </w:rPr>
        <w:t>[the claimant]</w:t>
      </w:r>
      <w:r w:rsidRPr="00314035">
        <w:rPr>
          <w:rFonts w:ascii="Times New Roman" w:hAnsi="Times New Roman" w:cs="Times New Roman"/>
          <w:sz w:val="24"/>
          <w:szCs w:val="24"/>
        </w:rPr>
        <w:t xml:space="preserve"> became aware that he was 100% disabled</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29"/>
      </w:r>
      <w:r>
        <w:rPr>
          <w:rFonts w:ascii="Times New Roman" w:hAnsi="Times New Roman" w:cs="Times New Roman"/>
          <w:sz w:val="24"/>
          <w:szCs w:val="24"/>
        </w:rPr>
        <w:t xml:space="preserve">  In the absence of such a certification of permanent disability, the date on which a stipulation of permanent disability has been entered into by the parties, or the date to which the </w:t>
      </w:r>
      <w:r>
        <w:rPr>
          <w:rFonts w:ascii="Times New Roman" w:hAnsi="Times New Roman" w:cs="Times New Roman"/>
          <w:sz w:val="24"/>
          <w:szCs w:val="24"/>
        </w:rPr>
        <w:lastRenderedPageBreak/>
        <w:t>parties stipulate the disability occurred, if any, is the date of injury.</w:t>
      </w:r>
      <w:r w:rsidRPr="00336412">
        <w:rPr>
          <w:rFonts w:ascii="Times New Roman" w:hAnsi="Times New Roman" w:cs="Times New Roman"/>
          <w:sz w:val="24"/>
          <w:szCs w:val="24"/>
          <w:vertAlign w:val="superscript"/>
        </w:rPr>
        <w:footnoteReference w:id="530"/>
      </w:r>
      <w:r>
        <w:rPr>
          <w:rFonts w:ascii="Times New Roman" w:hAnsi="Times New Roman" w:cs="Times New Roman"/>
          <w:sz w:val="24"/>
          <w:szCs w:val="24"/>
        </w:rPr>
        <w:t xml:space="preserve"> It is the </w:t>
      </w:r>
      <w:bookmarkStart w:id="738" w:name="_Hlk24541883"/>
      <w:r>
        <w:rPr>
          <w:rFonts w:ascii="Times New Roman" w:hAnsi="Times New Roman" w:cs="Times New Roman"/>
          <w:sz w:val="24"/>
          <w:szCs w:val="24"/>
        </w:rPr>
        <w:t>claimant’s burden to establish when total disability occurred.</w:t>
      </w:r>
      <w:r w:rsidRPr="00336412">
        <w:rPr>
          <w:rFonts w:ascii="Times New Roman" w:hAnsi="Times New Roman" w:cs="Times New Roman"/>
          <w:sz w:val="24"/>
          <w:szCs w:val="24"/>
          <w:vertAlign w:val="superscript"/>
        </w:rPr>
        <w:footnoteReference w:id="531"/>
      </w:r>
    </w:p>
    <w:p w14:paraId="4D2E081D" w14:textId="0C39C836" w:rsidR="00E73072" w:rsidRDefault="00E73072" w:rsidP="00E73072">
      <w:pPr>
        <w:pStyle w:val="ListParagraph"/>
        <w:spacing w:after="0"/>
        <w:ind w:left="0"/>
        <w:jc w:val="both"/>
        <w:rPr>
          <w:rFonts w:ascii="Times New Roman" w:hAnsi="Times New Roman" w:cs="Times New Roman"/>
          <w:sz w:val="24"/>
          <w:szCs w:val="24"/>
        </w:rPr>
      </w:pPr>
    </w:p>
    <w:p w14:paraId="1FC26B9A" w14:textId="6658B857" w:rsidR="00722E68" w:rsidRDefault="00722E68" w:rsidP="00E73072">
      <w:pPr>
        <w:pStyle w:val="ListParagraph"/>
        <w:spacing w:after="0"/>
        <w:ind w:left="0"/>
        <w:jc w:val="both"/>
        <w:rPr>
          <w:rFonts w:ascii="Times New Roman" w:hAnsi="Times New Roman" w:cs="Times New Roman"/>
          <w:sz w:val="24"/>
          <w:szCs w:val="24"/>
        </w:rPr>
      </w:pPr>
    </w:p>
    <w:p w14:paraId="74A4DC7C" w14:textId="252E6285" w:rsidR="00E3008F" w:rsidRDefault="00E3008F" w:rsidP="00E73072">
      <w:pPr>
        <w:pStyle w:val="ListParagraph"/>
        <w:spacing w:after="0"/>
        <w:ind w:left="0"/>
        <w:jc w:val="both"/>
        <w:rPr>
          <w:rFonts w:ascii="Times New Roman" w:hAnsi="Times New Roman" w:cs="Times New Roman"/>
          <w:sz w:val="24"/>
          <w:szCs w:val="24"/>
        </w:rPr>
      </w:pPr>
    </w:p>
    <w:p w14:paraId="7F8657D0" w14:textId="0FFB3E1D" w:rsidR="00E3008F" w:rsidRDefault="00E3008F" w:rsidP="00E73072">
      <w:pPr>
        <w:pStyle w:val="ListParagraph"/>
        <w:spacing w:after="0"/>
        <w:ind w:left="0"/>
        <w:jc w:val="both"/>
        <w:rPr>
          <w:rFonts w:ascii="Times New Roman" w:hAnsi="Times New Roman" w:cs="Times New Roman"/>
          <w:sz w:val="24"/>
          <w:szCs w:val="24"/>
        </w:rPr>
      </w:pPr>
    </w:p>
    <w:p w14:paraId="348A941C" w14:textId="1BEE4797" w:rsidR="00E3008F" w:rsidRDefault="00E3008F" w:rsidP="00E73072">
      <w:pPr>
        <w:pStyle w:val="ListParagraph"/>
        <w:spacing w:after="0"/>
        <w:ind w:left="0"/>
        <w:jc w:val="both"/>
        <w:rPr>
          <w:rFonts w:ascii="Times New Roman" w:hAnsi="Times New Roman" w:cs="Times New Roman"/>
          <w:sz w:val="24"/>
          <w:szCs w:val="24"/>
        </w:rPr>
      </w:pPr>
    </w:p>
    <w:p w14:paraId="1F3D36C9" w14:textId="55B3BA69" w:rsidR="00E3008F" w:rsidRDefault="00E3008F" w:rsidP="00E73072">
      <w:pPr>
        <w:pStyle w:val="ListParagraph"/>
        <w:spacing w:after="0"/>
        <w:ind w:left="0"/>
        <w:jc w:val="both"/>
        <w:rPr>
          <w:rFonts w:ascii="Times New Roman" w:hAnsi="Times New Roman" w:cs="Times New Roman"/>
          <w:sz w:val="24"/>
          <w:szCs w:val="24"/>
        </w:rPr>
      </w:pPr>
    </w:p>
    <w:p w14:paraId="6B0322F6" w14:textId="372402AD" w:rsidR="00E3008F" w:rsidRDefault="00E3008F" w:rsidP="00E73072">
      <w:pPr>
        <w:pStyle w:val="ListParagraph"/>
        <w:spacing w:after="0"/>
        <w:ind w:left="0"/>
        <w:jc w:val="both"/>
        <w:rPr>
          <w:rFonts w:ascii="Times New Roman" w:hAnsi="Times New Roman" w:cs="Times New Roman"/>
          <w:sz w:val="24"/>
          <w:szCs w:val="24"/>
        </w:rPr>
      </w:pPr>
    </w:p>
    <w:p w14:paraId="7B877884" w14:textId="531AF2EA" w:rsidR="00E3008F" w:rsidRDefault="00E3008F" w:rsidP="00E73072">
      <w:pPr>
        <w:pStyle w:val="ListParagraph"/>
        <w:spacing w:after="0"/>
        <w:ind w:left="0"/>
        <w:jc w:val="both"/>
        <w:rPr>
          <w:rFonts w:ascii="Times New Roman" w:hAnsi="Times New Roman" w:cs="Times New Roman"/>
          <w:sz w:val="24"/>
          <w:szCs w:val="24"/>
        </w:rPr>
      </w:pPr>
    </w:p>
    <w:p w14:paraId="4BE5D452" w14:textId="6956E6D3" w:rsidR="00E3008F" w:rsidRDefault="00E3008F" w:rsidP="00E73072">
      <w:pPr>
        <w:pStyle w:val="ListParagraph"/>
        <w:spacing w:after="0"/>
        <w:ind w:left="0"/>
        <w:jc w:val="both"/>
        <w:rPr>
          <w:rFonts w:ascii="Times New Roman" w:hAnsi="Times New Roman" w:cs="Times New Roman"/>
          <w:sz w:val="24"/>
          <w:szCs w:val="24"/>
        </w:rPr>
      </w:pPr>
    </w:p>
    <w:p w14:paraId="45E2267C" w14:textId="2CBD1271" w:rsidR="00E3008F" w:rsidRDefault="00E3008F" w:rsidP="00E73072">
      <w:pPr>
        <w:pStyle w:val="ListParagraph"/>
        <w:spacing w:after="0"/>
        <w:ind w:left="0"/>
        <w:jc w:val="both"/>
        <w:rPr>
          <w:rFonts w:ascii="Times New Roman" w:hAnsi="Times New Roman" w:cs="Times New Roman"/>
          <w:sz w:val="24"/>
          <w:szCs w:val="24"/>
        </w:rPr>
      </w:pPr>
    </w:p>
    <w:p w14:paraId="6C7935BE" w14:textId="3B87810C" w:rsidR="00E3008F" w:rsidRDefault="00E3008F" w:rsidP="00E73072">
      <w:pPr>
        <w:pStyle w:val="ListParagraph"/>
        <w:spacing w:after="0"/>
        <w:ind w:left="0"/>
        <w:jc w:val="both"/>
        <w:rPr>
          <w:rFonts w:ascii="Times New Roman" w:hAnsi="Times New Roman" w:cs="Times New Roman"/>
          <w:sz w:val="24"/>
          <w:szCs w:val="24"/>
        </w:rPr>
      </w:pPr>
    </w:p>
    <w:p w14:paraId="586E85E5" w14:textId="64A5FD02" w:rsidR="00E3008F" w:rsidRDefault="00E3008F" w:rsidP="00E73072">
      <w:pPr>
        <w:pStyle w:val="ListParagraph"/>
        <w:spacing w:after="0"/>
        <w:ind w:left="0"/>
        <w:jc w:val="both"/>
        <w:rPr>
          <w:rFonts w:ascii="Times New Roman" w:hAnsi="Times New Roman" w:cs="Times New Roman"/>
          <w:sz w:val="24"/>
          <w:szCs w:val="24"/>
        </w:rPr>
      </w:pPr>
    </w:p>
    <w:p w14:paraId="4EE81842" w14:textId="3390E3D6" w:rsidR="00E3008F" w:rsidRDefault="00E3008F" w:rsidP="00E73072">
      <w:pPr>
        <w:pStyle w:val="ListParagraph"/>
        <w:spacing w:after="0"/>
        <w:ind w:left="0"/>
        <w:jc w:val="both"/>
        <w:rPr>
          <w:rFonts w:ascii="Times New Roman" w:hAnsi="Times New Roman" w:cs="Times New Roman"/>
          <w:sz w:val="24"/>
          <w:szCs w:val="24"/>
        </w:rPr>
      </w:pPr>
    </w:p>
    <w:p w14:paraId="588147C1" w14:textId="75CD20E9" w:rsidR="00E3008F" w:rsidRDefault="00E3008F" w:rsidP="00E73072">
      <w:pPr>
        <w:pStyle w:val="ListParagraph"/>
        <w:spacing w:after="0"/>
        <w:ind w:left="0"/>
        <w:jc w:val="both"/>
        <w:rPr>
          <w:rFonts w:ascii="Times New Roman" w:hAnsi="Times New Roman" w:cs="Times New Roman"/>
          <w:sz w:val="24"/>
          <w:szCs w:val="24"/>
        </w:rPr>
      </w:pPr>
    </w:p>
    <w:p w14:paraId="597490C4" w14:textId="793797C8" w:rsidR="00E3008F" w:rsidRDefault="00E3008F" w:rsidP="00E73072">
      <w:pPr>
        <w:pStyle w:val="ListParagraph"/>
        <w:spacing w:after="0"/>
        <w:ind w:left="0"/>
        <w:jc w:val="both"/>
        <w:rPr>
          <w:rFonts w:ascii="Times New Roman" w:hAnsi="Times New Roman" w:cs="Times New Roman"/>
          <w:sz w:val="24"/>
          <w:szCs w:val="24"/>
        </w:rPr>
      </w:pPr>
    </w:p>
    <w:p w14:paraId="64C6C432" w14:textId="1A1B1600" w:rsidR="00E3008F" w:rsidRDefault="00E3008F" w:rsidP="00E73072">
      <w:pPr>
        <w:pStyle w:val="ListParagraph"/>
        <w:spacing w:after="0"/>
        <w:ind w:left="0"/>
        <w:jc w:val="both"/>
        <w:rPr>
          <w:rFonts w:ascii="Times New Roman" w:hAnsi="Times New Roman" w:cs="Times New Roman"/>
          <w:sz w:val="24"/>
          <w:szCs w:val="24"/>
        </w:rPr>
      </w:pPr>
    </w:p>
    <w:p w14:paraId="1C27B4C6" w14:textId="2A54E4DD" w:rsidR="00E3008F" w:rsidRDefault="00E3008F" w:rsidP="00E73072">
      <w:pPr>
        <w:pStyle w:val="ListParagraph"/>
        <w:spacing w:after="0"/>
        <w:ind w:left="0"/>
        <w:jc w:val="both"/>
        <w:rPr>
          <w:rFonts w:ascii="Times New Roman" w:hAnsi="Times New Roman" w:cs="Times New Roman"/>
          <w:sz w:val="24"/>
          <w:szCs w:val="24"/>
        </w:rPr>
      </w:pPr>
    </w:p>
    <w:p w14:paraId="15DCC1DD" w14:textId="3D69A4B1" w:rsidR="00E3008F" w:rsidRDefault="00E3008F" w:rsidP="00E73072">
      <w:pPr>
        <w:pStyle w:val="ListParagraph"/>
        <w:spacing w:after="0"/>
        <w:ind w:left="0"/>
        <w:jc w:val="both"/>
        <w:rPr>
          <w:rFonts w:ascii="Times New Roman" w:hAnsi="Times New Roman" w:cs="Times New Roman"/>
          <w:sz w:val="24"/>
          <w:szCs w:val="24"/>
        </w:rPr>
      </w:pPr>
    </w:p>
    <w:p w14:paraId="18DFF5B7" w14:textId="709B9202" w:rsidR="00E3008F" w:rsidRDefault="00E3008F" w:rsidP="00E73072">
      <w:pPr>
        <w:pStyle w:val="ListParagraph"/>
        <w:spacing w:after="0"/>
        <w:ind w:left="0"/>
        <w:jc w:val="both"/>
        <w:rPr>
          <w:rFonts w:ascii="Times New Roman" w:hAnsi="Times New Roman" w:cs="Times New Roman"/>
          <w:sz w:val="24"/>
          <w:szCs w:val="24"/>
        </w:rPr>
      </w:pPr>
    </w:p>
    <w:p w14:paraId="1B3D531C" w14:textId="74CF8999" w:rsidR="00E3008F" w:rsidRDefault="00E3008F" w:rsidP="00E73072">
      <w:pPr>
        <w:pStyle w:val="ListParagraph"/>
        <w:spacing w:after="0"/>
        <w:ind w:left="0"/>
        <w:jc w:val="both"/>
        <w:rPr>
          <w:rFonts w:ascii="Times New Roman" w:hAnsi="Times New Roman" w:cs="Times New Roman"/>
          <w:sz w:val="24"/>
          <w:szCs w:val="24"/>
        </w:rPr>
      </w:pPr>
    </w:p>
    <w:p w14:paraId="58DEA718" w14:textId="0FCD033C" w:rsidR="00E3008F" w:rsidRDefault="00E3008F" w:rsidP="00E73072">
      <w:pPr>
        <w:pStyle w:val="ListParagraph"/>
        <w:spacing w:after="0"/>
        <w:ind w:left="0"/>
        <w:jc w:val="both"/>
        <w:rPr>
          <w:rFonts w:ascii="Times New Roman" w:hAnsi="Times New Roman" w:cs="Times New Roman"/>
          <w:sz w:val="24"/>
          <w:szCs w:val="24"/>
        </w:rPr>
      </w:pPr>
    </w:p>
    <w:p w14:paraId="4701DCCE" w14:textId="346BCC5B" w:rsidR="00E3008F" w:rsidRDefault="00E3008F" w:rsidP="00E73072">
      <w:pPr>
        <w:pStyle w:val="ListParagraph"/>
        <w:spacing w:after="0"/>
        <w:ind w:left="0"/>
        <w:jc w:val="both"/>
        <w:rPr>
          <w:rFonts w:ascii="Times New Roman" w:hAnsi="Times New Roman" w:cs="Times New Roman"/>
          <w:sz w:val="24"/>
          <w:szCs w:val="24"/>
        </w:rPr>
      </w:pPr>
    </w:p>
    <w:p w14:paraId="268B93F4" w14:textId="42B8A712" w:rsidR="00E3008F" w:rsidRDefault="00E3008F" w:rsidP="00E73072">
      <w:pPr>
        <w:pStyle w:val="ListParagraph"/>
        <w:spacing w:after="0"/>
        <w:ind w:left="0"/>
        <w:jc w:val="both"/>
        <w:rPr>
          <w:rFonts w:ascii="Times New Roman" w:hAnsi="Times New Roman" w:cs="Times New Roman"/>
          <w:sz w:val="24"/>
          <w:szCs w:val="24"/>
        </w:rPr>
      </w:pPr>
    </w:p>
    <w:p w14:paraId="40EE2F49" w14:textId="178CD876" w:rsidR="00E3008F" w:rsidRDefault="00E3008F" w:rsidP="00E73072">
      <w:pPr>
        <w:pStyle w:val="ListParagraph"/>
        <w:spacing w:after="0"/>
        <w:ind w:left="0"/>
        <w:jc w:val="both"/>
        <w:rPr>
          <w:rFonts w:ascii="Times New Roman" w:hAnsi="Times New Roman" w:cs="Times New Roman"/>
          <w:sz w:val="24"/>
          <w:szCs w:val="24"/>
        </w:rPr>
      </w:pPr>
    </w:p>
    <w:p w14:paraId="1158E56F" w14:textId="653B551B" w:rsidR="00E3008F" w:rsidRDefault="00E3008F" w:rsidP="00E73072">
      <w:pPr>
        <w:pStyle w:val="ListParagraph"/>
        <w:spacing w:after="0"/>
        <w:ind w:left="0"/>
        <w:jc w:val="both"/>
        <w:rPr>
          <w:rFonts w:ascii="Times New Roman" w:hAnsi="Times New Roman" w:cs="Times New Roman"/>
          <w:sz w:val="24"/>
          <w:szCs w:val="24"/>
        </w:rPr>
      </w:pPr>
    </w:p>
    <w:p w14:paraId="303CEA77" w14:textId="659526CD" w:rsidR="00E3008F" w:rsidRDefault="00E3008F" w:rsidP="00E73072">
      <w:pPr>
        <w:pStyle w:val="ListParagraph"/>
        <w:spacing w:after="0"/>
        <w:ind w:left="0"/>
        <w:jc w:val="both"/>
        <w:rPr>
          <w:rFonts w:ascii="Times New Roman" w:hAnsi="Times New Roman" w:cs="Times New Roman"/>
          <w:sz w:val="24"/>
          <w:szCs w:val="24"/>
        </w:rPr>
      </w:pPr>
    </w:p>
    <w:p w14:paraId="25FE77B1" w14:textId="5487F251" w:rsidR="00E3008F" w:rsidRDefault="00E3008F" w:rsidP="00E73072">
      <w:pPr>
        <w:pStyle w:val="ListParagraph"/>
        <w:spacing w:after="0"/>
        <w:ind w:left="0"/>
        <w:jc w:val="both"/>
        <w:rPr>
          <w:rFonts w:ascii="Times New Roman" w:hAnsi="Times New Roman" w:cs="Times New Roman"/>
          <w:sz w:val="24"/>
          <w:szCs w:val="24"/>
        </w:rPr>
      </w:pPr>
    </w:p>
    <w:p w14:paraId="7E67EBE8" w14:textId="7A150C81" w:rsidR="00E3008F" w:rsidRDefault="00E3008F" w:rsidP="00E73072">
      <w:pPr>
        <w:pStyle w:val="ListParagraph"/>
        <w:spacing w:after="0"/>
        <w:ind w:left="0"/>
        <w:jc w:val="both"/>
        <w:rPr>
          <w:rFonts w:ascii="Times New Roman" w:hAnsi="Times New Roman" w:cs="Times New Roman"/>
          <w:sz w:val="24"/>
          <w:szCs w:val="24"/>
        </w:rPr>
      </w:pPr>
    </w:p>
    <w:p w14:paraId="148DB471" w14:textId="5BD6CD45" w:rsidR="00E3008F" w:rsidRDefault="00E3008F" w:rsidP="00E73072">
      <w:pPr>
        <w:pStyle w:val="ListParagraph"/>
        <w:spacing w:after="0"/>
        <w:ind w:left="0"/>
        <w:jc w:val="both"/>
        <w:rPr>
          <w:rFonts w:ascii="Times New Roman" w:hAnsi="Times New Roman" w:cs="Times New Roman"/>
          <w:sz w:val="24"/>
          <w:szCs w:val="24"/>
        </w:rPr>
      </w:pPr>
    </w:p>
    <w:p w14:paraId="5A8DACC0" w14:textId="03525B62" w:rsidR="00E3008F" w:rsidRDefault="00E3008F" w:rsidP="00E73072">
      <w:pPr>
        <w:pStyle w:val="ListParagraph"/>
        <w:spacing w:after="0"/>
        <w:ind w:left="0"/>
        <w:jc w:val="both"/>
        <w:rPr>
          <w:rFonts w:ascii="Times New Roman" w:hAnsi="Times New Roman" w:cs="Times New Roman"/>
          <w:sz w:val="24"/>
          <w:szCs w:val="24"/>
        </w:rPr>
      </w:pPr>
    </w:p>
    <w:p w14:paraId="098872FC" w14:textId="2897D3E0" w:rsidR="00E3008F" w:rsidRDefault="00E3008F" w:rsidP="00E73072">
      <w:pPr>
        <w:pStyle w:val="ListParagraph"/>
        <w:spacing w:after="0"/>
        <w:ind w:left="0"/>
        <w:jc w:val="both"/>
        <w:rPr>
          <w:rFonts w:ascii="Times New Roman" w:hAnsi="Times New Roman" w:cs="Times New Roman"/>
          <w:sz w:val="24"/>
          <w:szCs w:val="24"/>
        </w:rPr>
      </w:pPr>
    </w:p>
    <w:p w14:paraId="63A7FBF5" w14:textId="4A063D33" w:rsidR="00E3008F" w:rsidRDefault="00E3008F" w:rsidP="00E73072">
      <w:pPr>
        <w:pStyle w:val="ListParagraph"/>
        <w:spacing w:after="0"/>
        <w:ind w:left="0"/>
        <w:jc w:val="both"/>
        <w:rPr>
          <w:rFonts w:ascii="Times New Roman" w:hAnsi="Times New Roman" w:cs="Times New Roman"/>
          <w:sz w:val="24"/>
          <w:szCs w:val="24"/>
        </w:rPr>
      </w:pPr>
    </w:p>
    <w:p w14:paraId="6C66B0BB" w14:textId="06025706" w:rsidR="00E3008F" w:rsidRDefault="00E3008F" w:rsidP="00E73072">
      <w:pPr>
        <w:pStyle w:val="ListParagraph"/>
        <w:spacing w:after="0"/>
        <w:ind w:left="0"/>
        <w:jc w:val="both"/>
        <w:rPr>
          <w:rFonts w:ascii="Times New Roman" w:hAnsi="Times New Roman" w:cs="Times New Roman"/>
          <w:sz w:val="24"/>
          <w:szCs w:val="24"/>
        </w:rPr>
      </w:pPr>
    </w:p>
    <w:p w14:paraId="22D127C5" w14:textId="0A238CA6" w:rsidR="00E3008F" w:rsidRDefault="00E3008F" w:rsidP="00E73072">
      <w:pPr>
        <w:pStyle w:val="ListParagraph"/>
        <w:spacing w:after="0"/>
        <w:ind w:left="0"/>
        <w:jc w:val="both"/>
        <w:rPr>
          <w:rFonts w:ascii="Times New Roman" w:hAnsi="Times New Roman" w:cs="Times New Roman"/>
          <w:sz w:val="24"/>
          <w:szCs w:val="24"/>
        </w:rPr>
      </w:pPr>
    </w:p>
    <w:p w14:paraId="10D775B4" w14:textId="3B7CB9C2" w:rsidR="00E3008F" w:rsidRDefault="00E3008F" w:rsidP="00E73072">
      <w:pPr>
        <w:pStyle w:val="ListParagraph"/>
        <w:spacing w:after="0"/>
        <w:ind w:left="0"/>
        <w:jc w:val="both"/>
        <w:rPr>
          <w:rFonts w:ascii="Times New Roman" w:hAnsi="Times New Roman" w:cs="Times New Roman"/>
          <w:sz w:val="24"/>
          <w:szCs w:val="24"/>
        </w:rPr>
      </w:pPr>
    </w:p>
    <w:p w14:paraId="3AEF08BD" w14:textId="77777777" w:rsidR="00E3008F" w:rsidRDefault="00E3008F" w:rsidP="00E73072">
      <w:pPr>
        <w:pStyle w:val="ListParagraph"/>
        <w:spacing w:after="0"/>
        <w:ind w:left="0"/>
        <w:jc w:val="both"/>
        <w:rPr>
          <w:rFonts w:ascii="Times New Roman" w:hAnsi="Times New Roman" w:cs="Times New Roman"/>
          <w:sz w:val="24"/>
          <w:szCs w:val="24"/>
        </w:rPr>
      </w:pPr>
    </w:p>
    <w:p w14:paraId="723B6866" w14:textId="3A0AC39C" w:rsidR="00FF7482" w:rsidRDefault="00FF7482" w:rsidP="00E73072">
      <w:pPr>
        <w:pStyle w:val="Heading1"/>
        <w:rPr>
          <w:rFonts w:ascii="Times New Roman" w:hAnsi="Times New Roman" w:cs="Times New Roman"/>
          <w:b/>
          <w:color w:val="auto"/>
        </w:rPr>
      </w:pPr>
      <w:bookmarkStart w:id="740" w:name="_Toc75269396"/>
      <w:r w:rsidRPr="000B36C3">
        <w:rPr>
          <w:rFonts w:ascii="Times New Roman" w:hAnsi="Times New Roman" w:cs="Times New Roman"/>
          <w:b/>
          <w:color w:val="auto"/>
        </w:rPr>
        <w:lastRenderedPageBreak/>
        <w:t>Benefits</w:t>
      </w:r>
      <w:bookmarkEnd w:id="738"/>
      <w:bookmarkEnd w:id="740"/>
    </w:p>
    <w:p w14:paraId="74BA7638" w14:textId="77777777" w:rsidR="00E73072" w:rsidRPr="00E73072" w:rsidRDefault="00E73072" w:rsidP="00E73072">
      <w:pPr>
        <w:spacing w:after="0"/>
      </w:pPr>
    </w:p>
    <w:p w14:paraId="6C3421D9" w14:textId="6EA1912B" w:rsidR="00FF7482" w:rsidRPr="00A75A86" w:rsidRDefault="00FF7482" w:rsidP="00E73072">
      <w:pPr>
        <w:pStyle w:val="Heading2"/>
        <w:rPr>
          <w:rFonts w:ascii="Times New Roman" w:hAnsi="Times New Roman" w:cs="Times New Roman"/>
          <w:b/>
          <w:color w:val="auto"/>
          <w:sz w:val="28"/>
          <w:szCs w:val="28"/>
        </w:rPr>
      </w:pPr>
      <w:bookmarkStart w:id="741" w:name="_Toc75269397"/>
      <w:r w:rsidRPr="00A75A86">
        <w:rPr>
          <w:rFonts w:ascii="Times New Roman" w:hAnsi="Times New Roman" w:cs="Times New Roman"/>
          <w:b/>
          <w:color w:val="auto"/>
          <w:sz w:val="28"/>
          <w:szCs w:val="28"/>
        </w:rPr>
        <w:t>Physical Impairment versus Incapacity for Work</w:t>
      </w:r>
      <w:bookmarkEnd w:id="741"/>
    </w:p>
    <w:p w14:paraId="62186193" w14:textId="5C6441FB" w:rsidR="00FF7482" w:rsidRDefault="00FF7482" w:rsidP="00E73072">
      <w:pPr>
        <w:spacing w:after="0"/>
      </w:pPr>
    </w:p>
    <w:p w14:paraId="3C6F3CA8" w14:textId="4A9788ED" w:rsidR="00FF7482" w:rsidRDefault="00FF7482" w:rsidP="00E73072">
      <w:pPr>
        <w:pStyle w:val="ListParagraph"/>
        <w:spacing w:after="0"/>
        <w:ind w:left="0"/>
        <w:jc w:val="both"/>
        <w:rPr>
          <w:rFonts w:ascii="Times New Roman" w:hAnsi="Times New Roman" w:cs="Times New Roman"/>
          <w:sz w:val="24"/>
          <w:szCs w:val="24"/>
        </w:rPr>
      </w:pPr>
      <w:r w:rsidRPr="00AA3732">
        <w:rPr>
          <w:rFonts w:ascii="Times New Roman" w:hAnsi="Times New Roman" w:cs="Times New Roman"/>
          <w:sz w:val="24"/>
          <w:szCs w:val="24"/>
        </w:rPr>
        <w:t xml:space="preserve">One of the most essential concepts to grasp in all of workers’ compensation law is </w:t>
      </w:r>
      <w:r>
        <w:rPr>
          <w:rFonts w:ascii="Times New Roman" w:hAnsi="Times New Roman" w:cs="Times New Roman"/>
          <w:sz w:val="24"/>
          <w:szCs w:val="24"/>
        </w:rPr>
        <w:t>the distinction between physical impairment and incapacity.</w:t>
      </w:r>
      <w:r w:rsidRPr="00336412">
        <w:rPr>
          <w:rFonts w:ascii="Times New Roman" w:hAnsi="Times New Roman" w:cs="Times New Roman"/>
          <w:sz w:val="24"/>
          <w:szCs w:val="24"/>
          <w:vertAlign w:val="superscript"/>
        </w:rPr>
        <w:footnoteReference w:id="532"/>
      </w:r>
      <w:r>
        <w:rPr>
          <w:rFonts w:ascii="Times New Roman" w:hAnsi="Times New Roman" w:cs="Times New Roman"/>
          <w:sz w:val="24"/>
          <w:szCs w:val="24"/>
        </w:rPr>
        <w:t xml:space="preserve"> A nuclear engineer may suffer a physical injury at work that causes physical impairment—in the sense of having caused a physically adverse impact on the body—but not “incapacitating” in the sense of having caused wage loss, </w:t>
      </w:r>
      <w:r w:rsidRPr="00325EC8">
        <w:rPr>
          <w:rFonts w:ascii="Times New Roman" w:hAnsi="Times New Roman" w:cs="Times New Roman"/>
          <w:i/>
          <w:sz w:val="24"/>
          <w:szCs w:val="24"/>
        </w:rPr>
        <w:t>earning</w:t>
      </w:r>
      <w:r>
        <w:rPr>
          <w:rFonts w:ascii="Times New Roman" w:hAnsi="Times New Roman" w:cs="Times New Roman"/>
          <w:sz w:val="24"/>
          <w:szCs w:val="24"/>
        </w:rPr>
        <w:t xml:space="preserve"> impairment, or incapacity to engage in work. The conceptual distinction between physical injury to the body and interference with a worker’s ability to earn is further complicated because jurisdictions use varying terminology to express the differences. Furthermore, primarily in the context of permanent partial incapacity benefits (to be explained below), some jurisdictions estimate the impact of a work-related injury on a worker’s future ability to earn based on the worker’s post-injury physical </w:t>
      </w:r>
      <w:r>
        <w:rPr>
          <w:rFonts w:ascii="Times New Roman" w:hAnsi="Times New Roman" w:cs="Times New Roman"/>
          <w:i/>
          <w:sz w:val="24"/>
          <w:szCs w:val="24"/>
        </w:rPr>
        <w:t>impairment</w:t>
      </w:r>
      <w:r>
        <w:rPr>
          <w:rFonts w:ascii="Times New Roman" w:hAnsi="Times New Roman" w:cs="Times New Roman"/>
          <w:sz w:val="24"/>
          <w:szCs w:val="24"/>
        </w:rPr>
        <w:t>. As the 1972 National Commission on Workmen’s Compensation put the matter:</w:t>
      </w:r>
    </w:p>
    <w:p w14:paraId="4DADD46A" w14:textId="20BAC418" w:rsidR="00FF7482" w:rsidRDefault="00FF7482" w:rsidP="00AA3732">
      <w:pPr>
        <w:pStyle w:val="ListParagraph"/>
        <w:ind w:left="0" w:firstLine="720"/>
        <w:jc w:val="both"/>
        <w:rPr>
          <w:rFonts w:ascii="Times New Roman" w:hAnsi="Times New Roman" w:cs="Times New Roman"/>
          <w:sz w:val="24"/>
          <w:szCs w:val="24"/>
        </w:rPr>
      </w:pPr>
    </w:p>
    <w:p w14:paraId="3801A18A" w14:textId="77E5299D" w:rsidR="00FF7482" w:rsidRDefault="00FF7482" w:rsidP="00722E68">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In practice there are several approaches to permanent partial benefits which combine the impairment and disability bases in different ways. The same statute may contain more than one of these bases.</w:t>
      </w:r>
      <w:r w:rsidRPr="00336412">
        <w:rPr>
          <w:rFonts w:ascii="Times New Roman" w:hAnsi="Times New Roman" w:cs="Times New Roman"/>
          <w:sz w:val="24"/>
          <w:szCs w:val="24"/>
          <w:vertAlign w:val="superscript"/>
        </w:rPr>
        <w:footnoteReference w:id="533"/>
      </w:r>
      <w:r>
        <w:rPr>
          <w:rFonts w:ascii="Times New Roman" w:hAnsi="Times New Roman" w:cs="Times New Roman"/>
          <w:sz w:val="24"/>
          <w:szCs w:val="24"/>
        </w:rPr>
        <w:t xml:space="preserve">  </w:t>
      </w:r>
    </w:p>
    <w:p w14:paraId="131A174C" w14:textId="5BEAA221" w:rsidR="00FF7482" w:rsidRDefault="00FF7482" w:rsidP="00AA3732">
      <w:pPr>
        <w:pStyle w:val="ListParagraph"/>
        <w:ind w:left="0" w:firstLine="720"/>
        <w:jc w:val="both"/>
        <w:rPr>
          <w:rFonts w:ascii="Times New Roman" w:hAnsi="Times New Roman" w:cs="Times New Roman"/>
          <w:sz w:val="24"/>
          <w:szCs w:val="24"/>
        </w:rPr>
      </w:pPr>
    </w:p>
    <w:p w14:paraId="7145A08C" w14:textId="107FBB88" w:rsidR="00FF7482" w:rsidRDefault="00FF7482" w:rsidP="007831A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As will be explained shorty, Wyoming </w:t>
      </w:r>
      <w:r w:rsidR="007831AE">
        <w:rPr>
          <w:rFonts w:ascii="Times New Roman" w:hAnsi="Times New Roman" w:cs="Times New Roman"/>
          <w:sz w:val="24"/>
          <w:szCs w:val="24"/>
        </w:rPr>
        <w:t>has</w:t>
      </w:r>
      <w:r>
        <w:rPr>
          <w:rFonts w:ascii="Times New Roman" w:hAnsi="Times New Roman" w:cs="Times New Roman"/>
          <w:sz w:val="24"/>
          <w:szCs w:val="24"/>
        </w:rPr>
        <w:t xml:space="preserve"> a statute containing more than one basis (impairment and disability).</w:t>
      </w:r>
    </w:p>
    <w:p w14:paraId="15163F67" w14:textId="77777777" w:rsidR="00FF7482" w:rsidRDefault="00FF7482" w:rsidP="00F02E62">
      <w:pPr>
        <w:pStyle w:val="ListParagraph"/>
        <w:spacing w:after="0"/>
        <w:ind w:left="0" w:firstLine="720"/>
        <w:jc w:val="both"/>
        <w:rPr>
          <w:rFonts w:ascii="Times New Roman" w:hAnsi="Times New Roman" w:cs="Times New Roman"/>
          <w:sz w:val="24"/>
          <w:szCs w:val="24"/>
        </w:rPr>
      </w:pPr>
    </w:p>
    <w:p w14:paraId="0D442483" w14:textId="795DECD9" w:rsidR="00FF7482" w:rsidRPr="00A75A86" w:rsidRDefault="00FF7482" w:rsidP="00AA3732">
      <w:pPr>
        <w:pStyle w:val="Heading2"/>
        <w:rPr>
          <w:rFonts w:ascii="Times New Roman" w:hAnsi="Times New Roman" w:cs="Times New Roman"/>
          <w:b/>
          <w:color w:val="auto"/>
          <w:sz w:val="28"/>
          <w:szCs w:val="28"/>
        </w:rPr>
      </w:pPr>
      <w:r>
        <w:rPr>
          <w:rFonts w:ascii="Times New Roman" w:hAnsi="Times New Roman" w:cs="Times New Roman"/>
          <w:sz w:val="24"/>
          <w:szCs w:val="24"/>
        </w:rPr>
        <w:t xml:space="preserve"> </w:t>
      </w:r>
      <w:bookmarkStart w:id="743" w:name="_Toc75269398"/>
      <w:r w:rsidRPr="00A75A86">
        <w:rPr>
          <w:rFonts w:ascii="Times New Roman" w:hAnsi="Times New Roman" w:cs="Times New Roman"/>
          <w:b/>
          <w:color w:val="auto"/>
          <w:sz w:val="28"/>
          <w:szCs w:val="28"/>
        </w:rPr>
        <w:t>Division of Indemnity Benefits Generally</w:t>
      </w:r>
      <w:bookmarkEnd w:id="743"/>
    </w:p>
    <w:p w14:paraId="30B1ADF9" w14:textId="2B6BF057" w:rsidR="00FF7482" w:rsidRDefault="00FF7482" w:rsidP="008A788C">
      <w:pPr>
        <w:spacing w:after="0"/>
      </w:pPr>
    </w:p>
    <w:p w14:paraId="0417780E" w14:textId="2AEAF776" w:rsidR="00FF7482" w:rsidRDefault="00FF7482" w:rsidP="007831AE">
      <w:pPr>
        <w:pStyle w:val="ListParagraph"/>
        <w:ind w:left="0"/>
        <w:jc w:val="both"/>
        <w:rPr>
          <w:rFonts w:ascii="Times New Roman" w:hAnsi="Times New Roman" w:cs="Times New Roman"/>
          <w:sz w:val="24"/>
          <w:szCs w:val="24"/>
        </w:rPr>
      </w:pPr>
      <w:r w:rsidRPr="00AA3732">
        <w:rPr>
          <w:rFonts w:ascii="Times New Roman" w:hAnsi="Times New Roman" w:cs="Times New Roman"/>
          <w:sz w:val="24"/>
          <w:szCs w:val="24"/>
        </w:rPr>
        <w:t>Indemnity benefits</w:t>
      </w:r>
      <w:r>
        <w:rPr>
          <w:rFonts w:ascii="Times New Roman" w:hAnsi="Times New Roman" w:cs="Times New Roman"/>
          <w:sz w:val="24"/>
          <w:szCs w:val="24"/>
        </w:rPr>
        <w:t xml:space="preserve"> are </w:t>
      </w:r>
      <w:r w:rsidRPr="005855A6">
        <w:rPr>
          <w:rFonts w:ascii="Times New Roman" w:hAnsi="Times New Roman" w:cs="Times New Roman"/>
          <w:b/>
          <w:sz w:val="24"/>
          <w:szCs w:val="24"/>
        </w:rPr>
        <w:t>wage-loss payments</w:t>
      </w:r>
      <w:r>
        <w:rPr>
          <w:rFonts w:ascii="Times New Roman" w:hAnsi="Times New Roman" w:cs="Times New Roman"/>
          <w:b/>
          <w:sz w:val="24"/>
          <w:szCs w:val="24"/>
        </w:rPr>
        <w:t xml:space="preserve"> (usually weekly, but monthly in Wyoming)</w:t>
      </w:r>
      <w:r>
        <w:rPr>
          <w:rFonts w:ascii="Times New Roman" w:hAnsi="Times New Roman" w:cs="Times New Roman"/>
          <w:sz w:val="24"/>
          <w:szCs w:val="24"/>
        </w:rPr>
        <w:t xml:space="preserve">, as opposed to payment for medical expense occasioned by a work-related injury. Indemnity benefits are generally divided into the categories </w:t>
      </w:r>
      <w:r w:rsidRPr="005855A6">
        <w:rPr>
          <w:rFonts w:ascii="Times New Roman" w:hAnsi="Times New Roman" w:cs="Times New Roman"/>
          <w:b/>
          <w:sz w:val="24"/>
          <w:szCs w:val="24"/>
          <w:u w:val="single"/>
        </w:rPr>
        <w:t>permanent total</w:t>
      </w:r>
      <w:r>
        <w:rPr>
          <w:rFonts w:ascii="Times New Roman" w:hAnsi="Times New Roman" w:cs="Times New Roman"/>
          <w:sz w:val="24"/>
          <w:szCs w:val="24"/>
        </w:rPr>
        <w:t xml:space="preserve"> benefits, </w:t>
      </w:r>
      <w:r w:rsidRPr="005855A6">
        <w:rPr>
          <w:rFonts w:ascii="Times New Roman" w:hAnsi="Times New Roman" w:cs="Times New Roman"/>
          <w:b/>
          <w:sz w:val="24"/>
          <w:szCs w:val="24"/>
          <w:u w:val="single"/>
        </w:rPr>
        <w:t>temporary total</w:t>
      </w:r>
      <w:r w:rsidRPr="005855A6">
        <w:rPr>
          <w:rFonts w:ascii="Times New Roman" w:hAnsi="Times New Roman" w:cs="Times New Roman"/>
          <w:b/>
          <w:sz w:val="24"/>
          <w:szCs w:val="24"/>
        </w:rPr>
        <w:t xml:space="preserve"> </w:t>
      </w:r>
      <w:r w:rsidRPr="005855A6">
        <w:rPr>
          <w:rFonts w:ascii="Times New Roman" w:hAnsi="Times New Roman" w:cs="Times New Roman"/>
          <w:sz w:val="24"/>
          <w:szCs w:val="24"/>
        </w:rPr>
        <w:t>benefits</w:t>
      </w:r>
      <w:r>
        <w:rPr>
          <w:rFonts w:ascii="Times New Roman" w:hAnsi="Times New Roman" w:cs="Times New Roman"/>
          <w:sz w:val="24"/>
          <w:szCs w:val="24"/>
        </w:rPr>
        <w:t xml:space="preserve">, </w:t>
      </w:r>
      <w:r w:rsidRPr="005855A6">
        <w:rPr>
          <w:rFonts w:ascii="Times New Roman" w:hAnsi="Times New Roman" w:cs="Times New Roman"/>
          <w:b/>
          <w:sz w:val="24"/>
          <w:szCs w:val="24"/>
          <w:u w:val="single"/>
        </w:rPr>
        <w:t>permanent partial</w:t>
      </w:r>
      <w:r>
        <w:rPr>
          <w:rFonts w:ascii="Times New Roman" w:hAnsi="Times New Roman" w:cs="Times New Roman"/>
          <w:sz w:val="24"/>
          <w:szCs w:val="24"/>
        </w:rPr>
        <w:t xml:space="preserve"> benefits, and </w:t>
      </w:r>
      <w:r w:rsidRPr="005855A6">
        <w:rPr>
          <w:rFonts w:ascii="Times New Roman" w:hAnsi="Times New Roman" w:cs="Times New Roman"/>
          <w:b/>
          <w:sz w:val="24"/>
          <w:szCs w:val="24"/>
          <w:u w:val="single"/>
        </w:rPr>
        <w:t>temporary partial</w:t>
      </w:r>
      <w:r>
        <w:rPr>
          <w:rFonts w:ascii="Times New Roman" w:hAnsi="Times New Roman" w:cs="Times New Roman"/>
          <w:sz w:val="24"/>
          <w:szCs w:val="24"/>
        </w:rPr>
        <w:t xml:space="preserve"> benefits. The surface meaning of the categories is nearly self-explanatory. Initially, it may be unclear whether a work-related injury is temporary or permanent. Benefits as a percentage of wages are paid for a time according to a statutory formula that varies from state to state – 66 2/3% of the </w:t>
      </w:r>
      <w:r w:rsidRPr="00D40CBB">
        <w:rPr>
          <w:rFonts w:ascii="Times New Roman" w:hAnsi="Times New Roman" w:cs="Times New Roman"/>
          <w:b/>
          <w:sz w:val="24"/>
          <w:szCs w:val="24"/>
        </w:rPr>
        <w:t xml:space="preserve">average </w:t>
      </w:r>
      <w:r>
        <w:rPr>
          <w:rFonts w:ascii="Times New Roman" w:hAnsi="Times New Roman" w:cs="Times New Roman"/>
          <w:b/>
          <w:sz w:val="24"/>
          <w:szCs w:val="24"/>
        </w:rPr>
        <w:t>pre</w:t>
      </w:r>
      <w:r w:rsidR="00301EA9">
        <w:rPr>
          <w:rFonts w:ascii="Times New Roman" w:hAnsi="Times New Roman" w:cs="Times New Roman"/>
          <w:b/>
          <w:sz w:val="24"/>
          <w:szCs w:val="24"/>
        </w:rPr>
        <w:t>-</w:t>
      </w:r>
      <w:r>
        <w:rPr>
          <w:rFonts w:ascii="Times New Roman" w:hAnsi="Times New Roman" w:cs="Times New Roman"/>
          <w:b/>
          <w:sz w:val="24"/>
          <w:szCs w:val="24"/>
        </w:rPr>
        <w:t xml:space="preserve">injury </w:t>
      </w:r>
      <w:r w:rsidRPr="00D40CBB">
        <w:rPr>
          <w:rFonts w:ascii="Times New Roman" w:hAnsi="Times New Roman" w:cs="Times New Roman"/>
          <w:b/>
          <w:sz w:val="24"/>
          <w:szCs w:val="24"/>
        </w:rPr>
        <w:t>weekly wage</w:t>
      </w:r>
      <w:r>
        <w:rPr>
          <w:rFonts w:ascii="Times New Roman" w:hAnsi="Times New Roman" w:cs="Times New Roman"/>
          <w:sz w:val="24"/>
          <w:szCs w:val="24"/>
        </w:rPr>
        <w:t xml:space="preserve"> is common (though Wyoming, as will be </w:t>
      </w:r>
      <w:r>
        <w:rPr>
          <w:rFonts w:ascii="Times New Roman" w:hAnsi="Times New Roman" w:cs="Times New Roman"/>
          <w:sz w:val="24"/>
          <w:szCs w:val="24"/>
        </w:rPr>
        <w:lastRenderedPageBreak/>
        <w:t xml:space="preserve">explained more fully below, operates on a monthly wage structure). At a certain point, an injured worker either heals completely (the vast majority of claims) or is said to have reached </w:t>
      </w:r>
      <w:r w:rsidRPr="00D40CBB">
        <w:rPr>
          <w:rFonts w:ascii="Times New Roman" w:hAnsi="Times New Roman" w:cs="Times New Roman"/>
          <w:b/>
          <w:sz w:val="24"/>
          <w:szCs w:val="24"/>
        </w:rPr>
        <w:t>“maximum medical improvement.”</w:t>
      </w:r>
      <w:r>
        <w:rPr>
          <w:rFonts w:ascii="Times New Roman" w:hAnsi="Times New Roman" w:cs="Times New Roman"/>
          <w:b/>
          <w:sz w:val="24"/>
          <w:szCs w:val="24"/>
        </w:rPr>
        <w:t xml:space="preserve"> </w:t>
      </w:r>
      <w:r w:rsidRPr="00D40CBB">
        <w:rPr>
          <w:rFonts w:ascii="Times New Roman" w:hAnsi="Times New Roman" w:cs="Times New Roman"/>
          <w:sz w:val="24"/>
          <w:szCs w:val="24"/>
        </w:rPr>
        <w:t xml:space="preserve">Any residual </w:t>
      </w:r>
      <w:r>
        <w:rPr>
          <w:rFonts w:ascii="Times New Roman" w:hAnsi="Times New Roman" w:cs="Times New Roman"/>
          <w:sz w:val="24"/>
          <w:szCs w:val="24"/>
        </w:rPr>
        <w:t>“</w:t>
      </w:r>
      <w:r w:rsidRPr="00D40CBB">
        <w:rPr>
          <w:rFonts w:ascii="Times New Roman" w:hAnsi="Times New Roman" w:cs="Times New Roman"/>
          <w:sz w:val="24"/>
          <w:szCs w:val="24"/>
        </w:rPr>
        <w:t>incapacity</w:t>
      </w:r>
      <w:r>
        <w:rPr>
          <w:rFonts w:ascii="Times New Roman" w:hAnsi="Times New Roman" w:cs="Times New Roman"/>
          <w:sz w:val="24"/>
          <w:szCs w:val="24"/>
        </w:rPr>
        <w:t>,” “disability,” or “impairment,”</w:t>
      </w:r>
      <w:r w:rsidRPr="00D40CBB">
        <w:rPr>
          <w:rFonts w:ascii="Times New Roman" w:hAnsi="Times New Roman" w:cs="Times New Roman"/>
          <w:sz w:val="24"/>
          <w:szCs w:val="24"/>
        </w:rPr>
        <w:t xml:space="preserve"> after achievement</w:t>
      </w:r>
      <w:r>
        <w:rPr>
          <w:rFonts w:ascii="Times New Roman" w:hAnsi="Times New Roman" w:cs="Times New Roman"/>
          <w:sz w:val="24"/>
          <w:szCs w:val="24"/>
        </w:rPr>
        <w:t xml:space="preserve"> of </w:t>
      </w:r>
      <w:r w:rsidRPr="005B2B7E">
        <w:rPr>
          <w:rFonts w:ascii="Times New Roman" w:hAnsi="Times New Roman" w:cs="Times New Roman"/>
          <w:b/>
          <w:bCs/>
          <w:sz w:val="24"/>
          <w:szCs w:val="24"/>
        </w:rPr>
        <w:t>“</w:t>
      </w:r>
      <w:r w:rsidRPr="00D40CBB">
        <w:rPr>
          <w:rFonts w:ascii="Times New Roman" w:hAnsi="Times New Roman" w:cs="Times New Roman"/>
          <w:b/>
          <w:sz w:val="24"/>
          <w:szCs w:val="24"/>
        </w:rPr>
        <w:t>MMI</w:t>
      </w:r>
      <w:r>
        <w:rPr>
          <w:rFonts w:ascii="Times New Roman" w:hAnsi="Times New Roman" w:cs="Times New Roman"/>
          <w:b/>
          <w:sz w:val="24"/>
          <w:szCs w:val="24"/>
        </w:rPr>
        <w:t xml:space="preserve">,” </w:t>
      </w:r>
      <w:r>
        <w:rPr>
          <w:rFonts w:ascii="Times New Roman" w:hAnsi="Times New Roman" w:cs="Times New Roman"/>
          <w:sz w:val="24"/>
          <w:szCs w:val="24"/>
        </w:rPr>
        <w:t xml:space="preserve">is the subject of </w:t>
      </w:r>
      <w:r w:rsidRPr="00D40CBB">
        <w:rPr>
          <w:rFonts w:ascii="Times New Roman" w:hAnsi="Times New Roman" w:cs="Times New Roman"/>
          <w:b/>
          <w:sz w:val="24"/>
          <w:szCs w:val="24"/>
        </w:rPr>
        <w:t>permanent</w:t>
      </w:r>
      <w:r>
        <w:rPr>
          <w:rFonts w:ascii="Times New Roman" w:hAnsi="Times New Roman" w:cs="Times New Roman"/>
          <w:sz w:val="24"/>
          <w:szCs w:val="24"/>
        </w:rPr>
        <w:t xml:space="preserve"> benefits, whether total or partial. In Wyoming, the term </w:t>
      </w:r>
      <w:r w:rsidRPr="003E298B">
        <w:rPr>
          <w:rFonts w:ascii="Times New Roman" w:hAnsi="Times New Roman" w:cs="Times New Roman"/>
          <w:b/>
          <w:sz w:val="24"/>
          <w:szCs w:val="24"/>
        </w:rPr>
        <w:t>“ascertainable loss”</w:t>
      </w:r>
      <w:r>
        <w:rPr>
          <w:rFonts w:ascii="Times New Roman" w:hAnsi="Times New Roman" w:cs="Times New Roman"/>
          <w:sz w:val="24"/>
          <w:szCs w:val="24"/>
        </w:rPr>
        <w:t xml:space="preserve"> is virtually identical to the concept of MMI.</w:t>
      </w:r>
    </w:p>
    <w:p w14:paraId="3BAE07BE" w14:textId="77777777" w:rsidR="00FF7482" w:rsidRDefault="00FF7482" w:rsidP="00AD19E1">
      <w:pPr>
        <w:pStyle w:val="ListParagraph"/>
        <w:ind w:left="0" w:firstLine="720"/>
        <w:jc w:val="both"/>
        <w:rPr>
          <w:rFonts w:ascii="Times New Roman" w:hAnsi="Times New Roman" w:cs="Times New Roman"/>
          <w:sz w:val="24"/>
          <w:szCs w:val="24"/>
        </w:rPr>
      </w:pPr>
    </w:p>
    <w:p w14:paraId="73E750F5" w14:textId="56B3882E" w:rsidR="00FF7482" w:rsidRPr="00AA3732" w:rsidRDefault="00FF7482" w:rsidP="00FE65F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There is an important and fundamental distinction between two ways in which an injured worker may be deemed to be </w:t>
      </w:r>
      <w:r w:rsidRPr="002B27E8">
        <w:rPr>
          <w:rFonts w:ascii="Times New Roman" w:hAnsi="Times New Roman" w:cs="Times New Roman"/>
          <w:b/>
          <w:sz w:val="24"/>
          <w:szCs w:val="24"/>
        </w:rPr>
        <w:t>totally disabled</w:t>
      </w:r>
      <w:r>
        <w:rPr>
          <w:rFonts w:ascii="Times New Roman" w:hAnsi="Times New Roman" w:cs="Times New Roman"/>
          <w:sz w:val="24"/>
          <w:szCs w:val="24"/>
        </w:rPr>
        <w:t xml:space="preserve">. The worker may be so significantly physically impaired that total disability is </w:t>
      </w:r>
      <w:r w:rsidRPr="002B27E8">
        <w:rPr>
          <w:rFonts w:ascii="Times New Roman" w:hAnsi="Times New Roman" w:cs="Times New Roman"/>
          <w:b/>
          <w:sz w:val="24"/>
          <w:szCs w:val="24"/>
        </w:rPr>
        <w:t>conclusively presumed by operation of statute</w:t>
      </w:r>
      <w:r>
        <w:rPr>
          <w:rFonts w:ascii="Times New Roman" w:hAnsi="Times New Roman" w:cs="Times New Roman"/>
          <w:sz w:val="24"/>
          <w:szCs w:val="24"/>
        </w:rPr>
        <w:t>. “</w:t>
      </w:r>
      <w:r w:rsidRPr="00387915">
        <w:rPr>
          <w:rFonts w:ascii="Times New Roman" w:hAnsi="Times New Roman" w:cs="Times New Roman"/>
          <w:sz w:val="24"/>
          <w:szCs w:val="24"/>
        </w:rPr>
        <w:t>A typical statute applies the presumption to loss or loss of use</w:t>
      </w:r>
      <w:r>
        <w:rPr>
          <w:rFonts w:ascii="Times New Roman" w:hAnsi="Times New Roman" w:cs="Times New Roman"/>
          <w:sz w:val="24"/>
          <w:szCs w:val="24"/>
        </w:rPr>
        <w:t xml:space="preserve"> </w:t>
      </w:r>
      <w:r w:rsidRPr="00387915">
        <w:rPr>
          <w:rFonts w:ascii="Times New Roman" w:hAnsi="Times New Roman" w:cs="Times New Roman"/>
          <w:sz w:val="24"/>
          <w:szCs w:val="24"/>
        </w:rPr>
        <w:t>of both hands, both arms, both legs, both feet, both eyes, or any two of these.</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34"/>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1D6546">
        <w:rPr>
          <w:rFonts w:ascii="Times New Roman" w:hAnsi="Times New Roman" w:cs="Times New Roman"/>
          <w:sz w:val="24"/>
          <w:szCs w:val="24"/>
        </w:rPr>
        <w:t>Alternatively</w:t>
      </w:r>
      <w:r>
        <w:rPr>
          <w:rFonts w:ascii="Times New Roman" w:hAnsi="Times New Roman" w:cs="Times New Roman"/>
          <w:sz w:val="24"/>
          <w:szCs w:val="24"/>
        </w:rPr>
        <w:t xml:space="preserve">, although an injured worker may possess a theoretical work capacity post-injury, the worker may nevertheless be deemed totally disabled.  In the words of the </w:t>
      </w:r>
      <w:r w:rsidRPr="003975DA">
        <w:rPr>
          <w:rFonts w:ascii="Times New Roman" w:hAnsi="Times New Roman" w:cs="Times New Roman"/>
          <w:i/>
          <w:sz w:val="24"/>
          <w:szCs w:val="24"/>
        </w:rPr>
        <w:t>Larson</w:t>
      </w:r>
      <w:r>
        <w:rPr>
          <w:rFonts w:ascii="Times New Roman" w:hAnsi="Times New Roman" w:cs="Times New Roman"/>
          <w:sz w:val="24"/>
          <w:szCs w:val="24"/>
        </w:rPr>
        <w:t xml:space="preserve">’s treatise (quoting the Minnesota Supreme Court): </w:t>
      </w:r>
      <w:r w:rsidRPr="003975DA">
        <w:rPr>
          <w:rFonts w:ascii="Times New Roman" w:hAnsi="Times New Roman" w:cs="Times New Roman"/>
          <w:sz w:val="24"/>
          <w:szCs w:val="24"/>
        </w:rPr>
        <w:t>“An employee who is so injured that he or she can perform no services other than those which are so limited in quality, dependability, or quantity that a reasonably stable market for them does not exist, may well be classified as totally disabled.”</w:t>
      </w:r>
      <w:r w:rsidRPr="00336412">
        <w:rPr>
          <w:rFonts w:ascii="Times New Roman" w:hAnsi="Times New Roman" w:cs="Times New Roman"/>
          <w:sz w:val="24"/>
          <w:szCs w:val="24"/>
          <w:vertAlign w:val="superscript"/>
        </w:rPr>
        <w:footnoteReference w:id="535"/>
      </w:r>
      <w:r>
        <w:rPr>
          <w:rFonts w:ascii="Times New Roman" w:hAnsi="Times New Roman" w:cs="Times New Roman"/>
          <w:sz w:val="24"/>
          <w:szCs w:val="24"/>
        </w:rPr>
        <w:t xml:space="preserve"> </w:t>
      </w:r>
      <w:bookmarkStart w:id="745" w:name="_Hlk24633438"/>
      <w:r>
        <w:rPr>
          <w:rFonts w:ascii="Times New Roman" w:hAnsi="Times New Roman" w:cs="Times New Roman"/>
          <w:sz w:val="24"/>
          <w:szCs w:val="24"/>
        </w:rPr>
        <w:t xml:space="preserve">This is known as the </w:t>
      </w:r>
      <w:r w:rsidRPr="003975DA">
        <w:rPr>
          <w:rFonts w:ascii="Times New Roman" w:hAnsi="Times New Roman" w:cs="Times New Roman"/>
          <w:b/>
          <w:sz w:val="24"/>
          <w:szCs w:val="24"/>
        </w:rPr>
        <w:t>odd lot doctrine</w:t>
      </w:r>
      <w:r>
        <w:rPr>
          <w:rFonts w:ascii="Times New Roman" w:hAnsi="Times New Roman" w:cs="Times New Roman"/>
          <w:sz w:val="24"/>
          <w:szCs w:val="24"/>
        </w:rPr>
        <w:t xml:space="preserve">, </w:t>
      </w:r>
      <w:r w:rsidR="0030432D">
        <w:rPr>
          <w:rFonts w:ascii="Times New Roman" w:hAnsi="Times New Roman" w:cs="Times New Roman"/>
          <w:sz w:val="24"/>
          <w:szCs w:val="24"/>
        </w:rPr>
        <w:t xml:space="preserve">and, </w:t>
      </w:r>
      <w:r>
        <w:rPr>
          <w:rFonts w:ascii="Times New Roman" w:hAnsi="Times New Roman" w:cs="Times New Roman"/>
          <w:sz w:val="24"/>
          <w:szCs w:val="24"/>
        </w:rPr>
        <w:t>as will be discussed below, the principle is recognized in Wyoming. Permanent total disability and fatality claims are rare nationally, making up less than one percent of indemnity claims in 2013, but are expensive, comprising as much as 7% of total workers’ compensation indemnity payments in the same year.</w:t>
      </w:r>
      <w:r w:rsidRPr="00336412">
        <w:rPr>
          <w:rFonts w:ascii="Times New Roman" w:hAnsi="Times New Roman" w:cs="Times New Roman"/>
          <w:sz w:val="24"/>
          <w:szCs w:val="24"/>
          <w:vertAlign w:val="superscript"/>
        </w:rPr>
        <w:footnoteReference w:id="536"/>
      </w:r>
      <w:r>
        <w:rPr>
          <w:rFonts w:ascii="Times New Roman" w:hAnsi="Times New Roman" w:cs="Times New Roman"/>
          <w:sz w:val="24"/>
          <w:szCs w:val="24"/>
        </w:rPr>
        <w:t xml:space="preserve"> </w:t>
      </w:r>
    </w:p>
    <w:bookmarkEnd w:id="745"/>
    <w:p w14:paraId="4D80C33D" w14:textId="48BDFD5F" w:rsidR="00FF7482" w:rsidRDefault="00FF7482" w:rsidP="00AD19E1">
      <w:pPr>
        <w:pStyle w:val="ListParagraph"/>
        <w:ind w:left="0" w:firstLine="720"/>
        <w:jc w:val="both"/>
        <w:rPr>
          <w:rFonts w:ascii="Times New Roman" w:hAnsi="Times New Roman" w:cs="Times New Roman"/>
          <w:sz w:val="24"/>
          <w:szCs w:val="24"/>
        </w:rPr>
      </w:pPr>
    </w:p>
    <w:p w14:paraId="40D706C1" w14:textId="2CC513FE" w:rsidR="00FF7482" w:rsidRDefault="00FF7482" w:rsidP="00C46277">
      <w:pPr>
        <w:pStyle w:val="ListParagraph"/>
        <w:ind w:left="0"/>
        <w:jc w:val="both"/>
        <w:rPr>
          <w:rFonts w:ascii="Times New Roman" w:hAnsi="Times New Roman" w:cs="Times New Roman"/>
          <w:sz w:val="24"/>
          <w:szCs w:val="24"/>
        </w:rPr>
      </w:pPr>
      <w:r w:rsidRPr="00E822D1">
        <w:rPr>
          <w:rFonts w:ascii="Times New Roman" w:hAnsi="Times New Roman" w:cs="Times New Roman"/>
          <w:b/>
          <w:sz w:val="24"/>
          <w:szCs w:val="24"/>
        </w:rPr>
        <w:t>Temporary total</w:t>
      </w:r>
      <w:r>
        <w:rPr>
          <w:rFonts w:ascii="Times New Roman" w:hAnsi="Times New Roman" w:cs="Times New Roman"/>
          <w:b/>
          <w:sz w:val="24"/>
          <w:szCs w:val="24"/>
        </w:rPr>
        <w:t xml:space="preserve"> benefits</w:t>
      </w:r>
      <w:r w:rsidRPr="002B27E8">
        <w:rPr>
          <w:rFonts w:ascii="Times New Roman" w:hAnsi="Times New Roman" w:cs="Times New Roman"/>
          <w:sz w:val="24"/>
          <w:szCs w:val="24"/>
        </w:rPr>
        <w:t xml:space="preserve"> (although</w:t>
      </w:r>
      <w:r>
        <w:rPr>
          <w:rFonts w:ascii="Times New Roman" w:hAnsi="Times New Roman" w:cs="Times New Roman"/>
          <w:sz w:val="24"/>
          <w:szCs w:val="24"/>
        </w:rPr>
        <w:t xml:space="preserve"> numerically</w:t>
      </w:r>
      <w:r w:rsidRPr="002B27E8">
        <w:rPr>
          <w:rFonts w:ascii="Times New Roman" w:hAnsi="Times New Roman" w:cs="Times New Roman"/>
          <w:sz w:val="24"/>
          <w:szCs w:val="24"/>
        </w:rPr>
        <w:t xml:space="preserve"> the majority of claims </w:t>
      </w:r>
      <w:r>
        <w:rPr>
          <w:rFonts w:ascii="Times New Roman" w:hAnsi="Times New Roman" w:cs="Times New Roman"/>
          <w:sz w:val="24"/>
          <w:szCs w:val="24"/>
        </w:rPr>
        <w:t>fall</w:t>
      </w:r>
      <w:r w:rsidRPr="002B27E8">
        <w:rPr>
          <w:rFonts w:ascii="Times New Roman" w:hAnsi="Times New Roman" w:cs="Times New Roman"/>
          <w:sz w:val="24"/>
          <w:szCs w:val="24"/>
        </w:rPr>
        <w:t xml:space="preserve"> in this group</w:t>
      </w:r>
      <w:r>
        <w:rPr>
          <w:rFonts w:ascii="Times New Roman" w:hAnsi="Times New Roman" w:cs="Times New Roman"/>
          <w:sz w:val="24"/>
          <w:szCs w:val="24"/>
        </w:rPr>
        <w:t xml:space="preserve"> – see below</w:t>
      </w:r>
      <w:r w:rsidRPr="002B27E8">
        <w:rPr>
          <w:rFonts w:ascii="Times New Roman" w:hAnsi="Times New Roman" w:cs="Times New Roman"/>
          <w:sz w:val="24"/>
          <w:szCs w:val="24"/>
        </w:rPr>
        <w:t xml:space="preserve">) and </w:t>
      </w:r>
      <w:r w:rsidRPr="00FE65FC">
        <w:rPr>
          <w:rFonts w:ascii="Times New Roman" w:hAnsi="Times New Roman" w:cs="Times New Roman"/>
          <w:b/>
          <w:sz w:val="24"/>
          <w:szCs w:val="24"/>
        </w:rPr>
        <w:t>temporary partial benefits</w:t>
      </w:r>
      <w:r>
        <w:rPr>
          <w:rFonts w:ascii="Times New Roman" w:hAnsi="Times New Roman" w:cs="Times New Roman"/>
          <w:sz w:val="24"/>
          <w:szCs w:val="24"/>
        </w:rPr>
        <w:t xml:space="preserve"> do not usually generate unusual legal issues and the amount of benefits are usually established with direct reference to</w:t>
      </w:r>
      <w:r w:rsidRPr="002B27E8">
        <w:rPr>
          <w:rFonts w:ascii="Times New Roman" w:hAnsi="Times New Roman" w:cs="Times New Roman"/>
          <w:sz w:val="24"/>
          <w:szCs w:val="24"/>
        </w:rPr>
        <w:t xml:space="preserve"> actual wage loss. </w:t>
      </w:r>
      <w:r>
        <w:rPr>
          <w:rFonts w:ascii="Times New Roman" w:hAnsi="Times New Roman" w:cs="Times New Roman"/>
          <w:sz w:val="24"/>
          <w:szCs w:val="24"/>
        </w:rPr>
        <w:t>As suggested above, i</w:t>
      </w:r>
      <w:r w:rsidRPr="002B27E8">
        <w:rPr>
          <w:rFonts w:ascii="Times New Roman" w:hAnsi="Times New Roman" w:cs="Times New Roman"/>
          <w:sz w:val="24"/>
          <w:szCs w:val="24"/>
        </w:rPr>
        <w:t>n the</w:t>
      </w:r>
      <w:r>
        <w:rPr>
          <w:rFonts w:ascii="Times New Roman" w:hAnsi="Times New Roman" w:cs="Times New Roman"/>
          <w:sz w:val="24"/>
          <w:szCs w:val="24"/>
        </w:rPr>
        <w:t xml:space="preserve"> typical</w:t>
      </w:r>
      <w:r w:rsidRPr="002B27E8">
        <w:rPr>
          <w:rFonts w:ascii="Times New Roman" w:hAnsi="Times New Roman" w:cs="Times New Roman"/>
          <w:sz w:val="24"/>
          <w:szCs w:val="24"/>
        </w:rPr>
        <w:t xml:space="preserve"> injury situation, there is a period of healing and complete wage loss, during which, subject to any applicable waiting period</w:t>
      </w:r>
      <w:r>
        <w:rPr>
          <w:rFonts w:ascii="Times New Roman" w:hAnsi="Times New Roman" w:cs="Times New Roman"/>
          <w:sz w:val="24"/>
          <w:szCs w:val="24"/>
        </w:rPr>
        <w:t xml:space="preserve"> (as will be discussed in the Wyoming context below statutes commonly do not provide benefits during a threshold waiting period)</w:t>
      </w:r>
      <w:r w:rsidRPr="002B27E8">
        <w:rPr>
          <w:rFonts w:ascii="Times New Roman" w:hAnsi="Times New Roman" w:cs="Times New Roman"/>
          <w:sz w:val="24"/>
          <w:szCs w:val="24"/>
        </w:rPr>
        <w:t>,</w:t>
      </w:r>
      <w:r>
        <w:rPr>
          <w:rFonts w:ascii="Times New Roman" w:hAnsi="Times New Roman" w:cs="Times New Roman"/>
          <w:sz w:val="24"/>
          <w:szCs w:val="24"/>
        </w:rPr>
        <w:t xml:space="preserve"> </w:t>
      </w:r>
      <w:r w:rsidRPr="002B27E8">
        <w:rPr>
          <w:rFonts w:ascii="Times New Roman" w:hAnsi="Times New Roman" w:cs="Times New Roman"/>
          <w:sz w:val="24"/>
          <w:szCs w:val="24"/>
        </w:rPr>
        <w:t>temporary total</w:t>
      </w:r>
      <w:r>
        <w:rPr>
          <w:rFonts w:ascii="Times New Roman" w:hAnsi="Times New Roman" w:cs="Times New Roman"/>
          <w:sz w:val="24"/>
          <w:szCs w:val="24"/>
        </w:rPr>
        <w:t xml:space="preserve"> benefits</w:t>
      </w:r>
      <w:r w:rsidRPr="002B27E8">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2B27E8">
        <w:rPr>
          <w:rFonts w:ascii="Times New Roman" w:hAnsi="Times New Roman" w:cs="Times New Roman"/>
          <w:sz w:val="24"/>
          <w:szCs w:val="24"/>
        </w:rPr>
        <w:t>payable.</w:t>
      </w:r>
      <w:r>
        <w:rPr>
          <w:rFonts w:ascii="Times New Roman" w:hAnsi="Times New Roman" w:cs="Times New Roman"/>
          <w:sz w:val="24"/>
          <w:szCs w:val="24"/>
        </w:rPr>
        <w:t xml:space="preserve"> </w:t>
      </w:r>
      <w:r w:rsidRPr="002B27E8">
        <w:rPr>
          <w:rFonts w:ascii="Times New Roman" w:hAnsi="Times New Roman" w:cs="Times New Roman"/>
          <w:sz w:val="24"/>
          <w:szCs w:val="24"/>
        </w:rPr>
        <w:t>This is followed by a recovery, or stabilization of the condition</w:t>
      </w:r>
      <w:r>
        <w:rPr>
          <w:rFonts w:ascii="Times New Roman" w:hAnsi="Times New Roman" w:cs="Times New Roman"/>
          <w:sz w:val="24"/>
          <w:szCs w:val="24"/>
        </w:rPr>
        <w:t xml:space="preserve"> (</w:t>
      </w:r>
      <w:r w:rsidRPr="00A60967">
        <w:rPr>
          <w:rFonts w:ascii="Times New Roman" w:hAnsi="Times New Roman" w:cs="Times New Roman"/>
          <w:b/>
          <w:sz w:val="24"/>
          <w:szCs w:val="24"/>
        </w:rPr>
        <w:t>MMI</w:t>
      </w:r>
      <w:r>
        <w:rPr>
          <w:rFonts w:ascii="Times New Roman" w:hAnsi="Times New Roman" w:cs="Times New Roman"/>
          <w:sz w:val="24"/>
          <w:szCs w:val="24"/>
        </w:rPr>
        <w:t>)</w:t>
      </w:r>
      <w:r w:rsidRPr="002B27E8">
        <w:rPr>
          <w:rFonts w:ascii="Times New Roman" w:hAnsi="Times New Roman" w:cs="Times New Roman"/>
          <w:sz w:val="24"/>
          <w:szCs w:val="24"/>
        </w:rPr>
        <w:t>, and probably resumption of work</w:t>
      </w:r>
      <w:r>
        <w:rPr>
          <w:rFonts w:ascii="Times New Roman" w:hAnsi="Times New Roman" w:cs="Times New Roman"/>
          <w:sz w:val="24"/>
          <w:szCs w:val="24"/>
        </w:rPr>
        <w:t xml:space="preserve"> without further legal or administrative questions. The matter is essentially processed like an auto insurance claim. </w:t>
      </w:r>
      <w:bookmarkStart w:id="747" w:name="_Hlk24633577"/>
      <w:r>
        <w:rPr>
          <w:rFonts w:ascii="Times New Roman" w:hAnsi="Times New Roman" w:cs="Times New Roman"/>
          <w:sz w:val="24"/>
          <w:szCs w:val="24"/>
        </w:rPr>
        <w:t>Nationwide, m</w:t>
      </w:r>
      <w:r w:rsidRPr="005855A6">
        <w:rPr>
          <w:rFonts w:ascii="Times New Roman" w:hAnsi="Times New Roman" w:cs="Times New Roman"/>
          <w:sz w:val="24"/>
          <w:szCs w:val="24"/>
        </w:rPr>
        <w:t xml:space="preserve">ost workers’ compensation claims do not involve </w:t>
      </w:r>
      <w:r w:rsidRPr="00E95125">
        <w:rPr>
          <w:rFonts w:ascii="Times New Roman" w:hAnsi="Times New Roman" w:cs="Times New Roman"/>
          <w:i/>
          <w:sz w:val="24"/>
          <w:szCs w:val="24"/>
        </w:rPr>
        <w:t xml:space="preserve">any </w:t>
      </w:r>
      <w:r w:rsidRPr="005855A6">
        <w:rPr>
          <w:rFonts w:ascii="Times New Roman" w:hAnsi="Times New Roman" w:cs="Times New Roman"/>
          <w:sz w:val="24"/>
          <w:szCs w:val="24"/>
        </w:rPr>
        <w:t>lost work time</w:t>
      </w:r>
      <w:r>
        <w:rPr>
          <w:rFonts w:ascii="Times New Roman" w:hAnsi="Times New Roman" w:cs="Times New Roman"/>
          <w:sz w:val="24"/>
          <w:szCs w:val="24"/>
        </w:rPr>
        <w:t>, so no indemnity payments are at issue</w:t>
      </w:r>
      <w:bookmarkEnd w:id="747"/>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37"/>
      </w:r>
      <w:r>
        <w:rPr>
          <w:rFonts w:ascii="Times New Roman" w:hAnsi="Times New Roman" w:cs="Times New Roman"/>
          <w:sz w:val="24"/>
          <w:szCs w:val="24"/>
        </w:rPr>
        <w:t xml:space="preserve"> </w:t>
      </w:r>
      <w:bookmarkStart w:id="749" w:name="_Hlk24633660"/>
      <w:r>
        <w:rPr>
          <w:rFonts w:ascii="Times New Roman" w:hAnsi="Times New Roman" w:cs="Times New Roman"/>
          <w:sz w:val="24"/>
          <w:szCs w:val="24"/>
        </w:rPr>
        <w:t xml:space="preserve">Of the indemnity categories, </w:t>
      </w:r>
      <w:r w:rsidRPr="00E95125">
        <w:rPr>
          <w:rFonts w:ascii="Times New Roman" w:hAnsi="Times New Roman" w:cs="Times New Roman"/>
          <w:b/>
          <w:sz w:val="24"/>
          <w:szCs w:val="24"/>
        </w:rPr>
        <w:lastRenderedPageBreak/>
        <w:t>temporary total disability</w:t>
      </w:r>
      <w:r>
        <w:rPr>
          <w:rFonts w:ascii="Times New Roman" w:hAnsi="Times New Roman" w:cs="Times New Roman"/>
          <w:sz w:val="24"/>
          <w:szCs w:val="24"/>
        </w:rPr>
        <w:t xml:space="preserve"> claims ha</w:t>
      </w:r>
      <w:r w:rsidR="0030432D">
        <w:rPr>
          <w:rFonts w:ascii="Times New Roman" w:hAnsi="Times New Roman" w:cs="Times New Roman"/>
          <w:sz w:val="24"/>
          <w:szCs w:val="24"/>
        </w:rPr>
        <w:t>ve</w:t>
      </w:r>
      <w:r>
        <w:rPr>
          <w:rFonts w:ascii="Times New Roman" w:hAnsi="Times New Roman" w:cs="Times New Roman"/>
          <w:sz w:val="24"/>
          <w:szCs w:val="24"/>
        </w:rPr>
        <w:t xml:space="preserve"> in recent years accounted for more than 61% of all indemnity claims but just 34% of cash benefits paid.</w:t>
      </w:r>
      <w:bookmarkEnd w:id="749"/>
      <w:r w:rsidRPr="00336412">
        <w:rPr>
          <w:rFonts w:ascii="Times New Roman" w:hAnsi="Times New Roman" w:cs="Times New Roman"/>
          <w:sz w:val="24"/>
          <w:szCs w:val="24"/>
          <w:vertAlign w:val="superscript"/>
        </w:rPr>
        <w:footnoteReference w:id="538"/>
      </w:r>
      <w:r>
        <w:rPr>
          <w:rFonts w:ascii="Times New Roman" w:hAnsi="Times New Roman" w:cs="Times New Roman"/>
          <w:sz w:val="24"/>
          <w:szCs w:val="24"/>
        </w:rPr>
        <w:t xml:space="preserve"> </w:t>
      </w:r>
    </w:p>
    <w:p w14:paraId="4F08C75F" w14:textId="77777777" w:rsidR="00FF7482" w:rsidRDefault="00FF7482" w:rsidP="00AD19E1">
      <w:pPr>
        <w:pStyle w:val="ListParagraph"/>
        <w:ind w:left="0" w:firstLine="720"/>
        <w:jc w:val="both"/>
        <w:rPr>
          <w:rFonts w:ascii="Times New Roman" w:hAnsi="Times New Roman" w:cs="Times New Roman"/>
          <w:sz w:val="24"/>
          <w:szCs w:val="24"/>
        </w:rPr>
      </w:pPr>
    </w:p>
    <w:p w14:paraId="74565FC1" w14:textId="51C9000B" w:rsidR="00FF7482" w:rsidRDefault="00FF7482" w:rsidP="00B6785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contrast, the most expensive claim category nationally is </w:t>
      </w:r>
      <w:r w:rsidRPr="00E95125">
        <w:rPr>
          <w:rFonts w:ascii="Times New Roman" w:hAnsi="Times New Roman" w:cs="Times New Roman"/>
          <w:b/>
          <w:sz w:val="24"/>
          <w:szCs w:val="24"/>
        </w:rPr>
        <w:t>permanent partial</w:t>
      </w:r>
      <w:r>
        <w:rPr>
          <w:rFonts w:ascii="Times New Roman" w:hAnsi="Times New Roman" w:cs="Times New Roman"/>
          <w:sz w:val="24"/>
          <w:szCs w:val="24"/>
        </w:rPr>
        <w:t xml:space="preserve"> benefits. As the National Academy of Social Insurance explains in connection with some of the most recent statistics available:</w:t>
      </w:r>
    </w:p>
    <w:p w14:paraId="2D807D12" w14:textId="77777777" w:rsidR="00FF7482" w:rsidRDefault="00FF7482" w:rsidP="00AD19E1">
      <w:pPr>
        <w:pStyle w:val="ListParagraph"/>
        <w:ind w:left="0" w:firstLine="720"/>
        <w:jc w:val="both"/>
        <w:rPr>
          <w:rFonts w:ascii="Times New Roman" w:hAnsi="Times New Roman" w:cs="Times New Roman"/>
          <w:sz w:val="24"/>
          <w:szCs w:val="24"/>
        </w:rPr>
      </w:pPr>
    </w:p>
    <w:p w14:paraId="6637B0E7" w14:textId="34A9E7CE" w:rsidR="00FF7482" w:rsidRPr="00AD19E1" w:rsidRDefault="00FF7482" w:rsidP="00722E68">
      <w:pPr>
        <w:pStyle w:val="ListParagraph"/>
        <w:ind w:right="720"/>
        <w:jc w:val="both"/>
        <w:rPr>
          <w:rFonts w:ascii="Times New Roman" w:hAnsi="Times New Roman" w:cs="Times New Roman"/>
          <w:sz w:val="24"/>
          <w:szCs w:val="24"/>
        </w:rPr>
      </w:pPr>
      <w:r w:rsidRPr="00AD19E1">
        <w:rPr>
          <w:rFonts w:ascii="Times New Roman" w:hAnsi="Times New Roman" w:cs="Times New Roman"/>
          <w:sz w:val="24"/>
          <w:szCs w:val="24"/>
        </w:rPr>
        <w:t>In</w:t>
      </w:r>
      <w:r>
        <w:rPr>
          <w:rFonts w:ascii="Times New Roman" w:hAnsi="Times New Roman" w:cs="Times New Roman"/>
          <w:sz w:val="24"/>
          <w:szCs w:val="24"/>
        </w:rPr>
        <w:t xml:space="preserve"> </w:t>
      </w:r>
      <w:r w:rsidRPr="00AD19E1">
        <w:rPr>
          <w:rFonts w:ascii="Times New Roman" w:hAnsi="Times New Roman" w:cs="Times New Roman"/>
          <w:sz w:val="24"/>
          <w:szCs w:val="24"/>
        </w:rPr>
        <w:t>2013, PPD claims accounted for slightly less than 39</w:t>
      </w:r>
      <w:r>
        <w:rPr>
          <w:rFonts w:ascii="Times New Roman" w:hAnsi="Times New Roman" w:cs="Times New Roman"/>
          <w:sz w:val="24"/>
          <w:szCs w:val="24"/>
        </w:rPr>
        <w:t xml:space="preserve"> </w:t>
      </w:r>
      <w:r w:rsidRPr="00AD19E1">
        <w:rPr>
          <w:rFonts w:ascii="Times New Roman" w:hAnsi="Times New Roman" w:cs="Times New Roman"/>
          <w:sz w:val="24"/>
          <w:szCs w:val="24"/>
        </w:rPr>
        <w:t>percent of indemnity claims, but more than 56 percent of cash benefits paid. PPD claims varied</w:t>
      </w:r>
      <w:r>
        <w:rPr>
          <w:rFonts w:ascii="Times New Roman" w:hAnsi="Times New Roman" w:cs="Times New Roman"/>
          <w:sz w:val="24"/>
          <w:szCs w:val="24"/>
        </w:rPr>
        <w:t xml:space="preserve"> </w:t>
      </w:r>
      <w:r w:rsidRPr="00AD19E1">
        <w:rPr>
          <w:rFonts w:ascii="Times New Roman" w:hAnsi="Times New Roman" w:cs="Times New Roman"/>
          <w:sz w:val="24"/>
          <w:szCs w:val="24"/>
        </w:rPr>
        <w:t>between 27-41 percent of indemnity claims in the</w:t>
      </w:r>
      <w:r>
        <w:rPr>
          <w:rFonts w:ascii="Times New Roman" w:hAnsi="Times New Roman" w:cs="Times New Roman"/>
          <w:sz w:val="24"/>
          <w:szCs w:val="24"/>
        </w:rPr>
        <w:t xml:space="preserve"> </w:t>
      </w:r>
      <w:r w:rsidRPr="00AD19E1">
        <w:rPr>
          <w:rFonts w:ascii="Times New Roman" w:hAnsi="Times New Roman" w:cs="Times New Roman"/>
          <w:sz w:val="24"/>
          <w:szCs w:val="24"/>
        </w:rPr>
        <w:t>years 1995-2013, but accounted for 56-69 percent</w:t>
      </w:r>
      <w:r>
        <w:rPr>
          <w:rFonts w:ascii="Times New Roman" w:hAnsi="Times New Roman" w:cs="Times New Roman"/>
          <w:sz w:val="24"/>
          <w:szCs w:val="24"/>
        </w:rPr>
        <w:t xml:space="preserve"> </w:t>
      </w:r>
      <w:r w:rsidRPr="00AD19E1">
        <w:rPr>
          <w:rFonts w:ascii="Times New Roman" w:hAnsi="Times New Roman" w:cs="Times New Roman"/>
          <w:sz w:val="24"/>
          <w:szCs w:val="24"/>
        </w:rPr>
        <w:t>of all cash benefits</w:t>
      </w:r>
      <w:r>
        <w:rPr>
          <w:rFonts w:ascii="Times New Roman" w:hAnsi="Times New Roman" w:cs="Times New Roman"/>
          <w:sz w:val="24"/>
          <w:szCs w:val="24"/>
        </w:rPr>
        <w:t>.</w:t>
      </w:r>
      <w:r w:rsidRPr="00336412">
        <w:rPr>
          <w:rFonts w:ascii="Times New Roman" w:hAnsi="Times New Roman" w:cs="Times New Roman"/>
          <w:sz w:val="24"/>
          <w:szCs w:val="24"/>
          <w:vertAlign w:val="superscript"/>
        </w:rPr>
        <w:footnoteReference w:id="539"/>
      </w:r>
    </w:p>
    <w:p w14:paraId="27969E24" w14:textId="7A4D1262" w:rsidR="00FF7482" w:rsidRPr="005855A6" w:rsidRDefault="00FF7482" w:rsidP="005855A6">
      <w:pPr>
        <w:pStyle w:val="ListParagraph"/>
        <w:ind w:left="0" w:firstLine="720"/>
        <w:jc w:val="both"/>
        <w:rPr>
          <w:rFonts w:ascii="Times New Roman" w:hAnsi="Times New Roman" w:cs="Times New Roman"/>
          <w:sz w:val="24"/>
          <w:szCs w:val="24"/>
        </w:rPr>
      </w:pPr>
    </w:p>
    <w:p w14:paraId="66F00D00" w14:textId="45E5FEFD" w:rsidR="00FF7482" w:rsidRDefault="00FF7482" w:rsidP="006A134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Given the expense of </w:t>
      </w:r>
      <w:r w:rsidRPr="0083160B">
        <w:rPr>
          <w:rFonts w:ascii="Times New Roman" w:hAnsi="Times New Roman" w:cs="Times New Roman"/>
          <w:b/>
          <w:sz w:val="24"/>
          <w:szCs w:val="24"/>
        </w:rPr>
        <w:t>permanent partial</w:t>
      </w:r>
      <w:r>
        <w:rPr>
          <w:rFonts w:ascii="Times New Roman" w:hAnsi="Times New Roman" w:cs="Times New Roman"/>
          <w:sz w:val="24"/>
          <w:szCs w:val="24"/>
        </w:rPr>
        <w:t xml:space="preserve"> claims it will come as no surprise that they are ordinarily the most controversial, and states have devised a variety of (disparate) ways</w:t>
      </w:r>
      <w:r w:rsidRPr="00336412">
        <w:rPr>
          <w:rFonts w:ascii="Times New Roman" w:hAnsi="Times New Roman" w:cs="Times New Roman"/>
          <w:sz w:val="24"/>
          <w:szCs w:val="24"/>
          <w:vertAlign w:val="superscript"/>
        </w:rPr>
        <w:footnoteReference w:id="540"/>
      </w:r>
      <w:r>
        <w:rPr>
          <w:rFonts w:ascii="Times New Roman" w:hAnsi="Times New Roman" w:cs="Times New Roman"/>
          <w:sz w:val="24"/>
          <w:szCs w:val="24"/>
        </w:rPr>
        <w:t xml:space="preserve"> of calculating </w:t>
      </w:r>
      <w:r w:rsidRPr="0083160B">
        <w:rPr>
          <w:rFonts w:ascii="Times New Roman" w:hAnsi="Times New Roman" w:cs="Times New Roman"/>
          <w:b/>
          <w:sz w:val="24"/>
          <w:szCs w:val="24"/>
        </w:rPr>
        <w:t>partial benefits</w:t>
      </w:r>
      <w:r>
        <w:rPr>
          <w:rFonts w:ascii="Times New Roman" w:hAnsi="Times New Roman" w:cs="Times New Roman"/>
          <w:sz w:val="24"/>
          <w:szCs w:val="24"/>
        </w:rPr>
        <w:t>:</w:t>
      </w:r>
    </w:p>
    <w:p w14:paraId="06329D86" w14:textId="5ED1E143" w:rsidR="00FF7482" w:rsidRDefault="00FF7482" w:rsidP="00AD19E1">
      <w:pPr>
        <w:pStyle w:val="ListParagraph"/>
        <w:ind w:left="0"/>
        <w:jc w:val="both"/>
        <w:rPr>
          <w:rFonts w:ascii="Times New Roman" w:hAnsi="Times New Roman" w:cs="Times New Roman"/>
          <w:sz w:val="24"/>
          <w:szCs w:val="24"/>
        </w:rPr>
      </w:pPr>
    </w:p>
    <w:p w14:paraId="0D988CE1" w14:textId="77777777" w:rsidR="00FF7482" w:rsidRPr="0083160B" w:rsidRDefault="00FF7482" w:rsidP="00EF1760">
      <w:pPr>
        <w:pStyle w:val="ListParagraph"/>
        <w:numPr>
          <w:ilvl w:val="0"/>
          <w:numId w:val="5"/>
        </w:numPr>
        <w:ind w:right="720"/>
        <w:jc w:val="both"/>
        <w:rPr>
          <w:rFonts w:ascii="Times New Roman" w:hAnsi="Times New Roman" w:cs="Times New Roman"/>
          <w:sz w:val="24"/>
          <w:szCs w:val="24"/>
        </w:rPr>
      </w:pPr>
      <w:r w:rsidRPr="0083160B">
        <w:rPr>
          <w:rFonts w:ascii="Times New Roman" w:hAnsi="Times New Roman" w:cs="Times New Roman"/>
          <w:b/>
          <w:i/>
          <w:iCs/>
          <w:sz w:val="24"/>
          <w:szCs w:val="24"/>
          <w:u w:val="single"/>
        </w:rPr>
        <w:t>Impairment-Based Approach</w:t>
      </w:r>
      <w:r w:rsidRPr="0083160B">
        <w:rPr>
          <w:rFonts w:ascii="Times New Roman" w:hAnsi="Times New Roman" w:cs="Times New Roman"/>
          <w:i/>
          <w:iCs/>
          <w:sz w:val="24"/>
          <w:szCs w:val="24"/>
        </w:rPr>
        <w:t>.</w:t>
      </w:r>
      <w:r w:rsidRPr="0083160B">
        <w:rPr>
          <w:rFonts w:ascii="Times New Roman" w:hAnsi="Times New Roman" w:cs="Times New Roman"/>
          <w:sz w:val="24"/>
          <w:szCs w:val="24"/>
        </w:rPr>
        <w:t xml:space="preserve"> A worker with an unscheduled permanent partial disability receives a benefit based entirely on the degree of impairment. Any future earnings losses of the worker are not considered.</w:t>
      </w:r>
    </w:p>
    <w:p w14:paraId="30615334" w14:textId="77777777" w:rsidR="00FF7482" w:rsidRPr="0083160B" w:rsidRDefault="00FF7482" w:rsidP="00FE5311">
      <w:pPr>
        <w:pStyle w:val="ListParagraph"/>
        <w:ind w:right="720"/>
        <w:rPr>
          <w:rFonts w:ascii="Times New Roman" w:hAnsi="Times New Roman" w:cs="Times New Roman"/>
          <w:sz w:val="24"/>
          <w:szCs w:val="24"/>
        </w:rPr>
      </w:pPr>
    </w:p>
    <w:p w14:paraId="20C1C5F6" w14:textId="77777777" w:rsidR="00FF7482" w:rsidRPr="0083160B" w:rsidRDefault="00FF7482" w:rsidP="00EF1760">
      <w:pPr>
        <w:pStyle w:val="ListParagraph"/>
        <w:numPr>
          <w:ilvl w:val="0"/>
          <w:numId w:val="5"/>
        </w:numPr>
        <w:ind w:right="720"/>
        <w:jc w:val="both"/>
        <w:rPr>
          <w:rFonts w:ascii="Times New Roman" w:hAnsi="Times New Roman" w:cs="Times New Roman"/>
          <w:sz w:val="24"/>
          <w:szCs w:val="24"/>
        </w:rPr>
      </w:pPr>
      <w:r w:rsidRPr="0083160B">
        <w:rPr>
          <w:rFonts w:ascii="Times New Roman" w:hAnsi="Times New Roman" w:cs="Times New Roman"/>
          <w:b/>
          <w:i/>
          <w:iCs/>
          <w:sz w:val="24"/>
          <w:szCs w:val="24"/>
          <w:u w:val="single"/>
        </w:rPr>
        <w:t>Loss-of-Earning-Capacity Approach</w:t>
      </w:r>
      <w:r w:rsidRPr="0083160B">
        <w:rPr>
          <w:rFonts w:ascii="Times New Roman" w:hAnsi="Times New Roman" w:cs="Times New Roman"/>
          <w:i/>
          <w:iCs/>
          <w:sz w:val="24"/>
          <w:szCs w:val="24"/>
        </w:rPr>
        <w:t>.</w:t>
      </w:r>
      <w:r w:rsidRPr="0083160B">
        <w:rPr>
          <w:rFonts w:ascii="Times New Roman" w:hAnsi="Times New Roman" w:cs="Times New Roman"/>
          <w:sz w:val="24"/>
          <w:szCs w:val="24"/>
        </w:rPr>
        <w:t xml:space="preserve"> The partial benefit is linked to the worker's inability to earn or to compete in the labor market based on a forecast of the economic impact that the impairment will have on the worker.</w:t>
      </w:r>
    </w:p>
    <w:p w14:paraId="44D44090" w14:textId="77777777" w:rsidR="00FF7482" w:rsidRPr="0083160B" w:rsidRDefault="00FF7482" w:rsidP="00FE5311">
      <w:pPr>
        <w:pStyle w:val="ListParagraph"/>
        <w:ind w:right="720"/>
        <w:rPr>
          <w:rFonts w:ascii="Times New Roman" w:hAnsi="Times New Roman" w:cs="Times New Roman"/>
          <w:sz w:val="24"/>
          <w:szCs w:val="24"/>
        </w:rPr>
      </w:pPr>
    </w:p>
    <w:p w14:paraId="1DBDB81F" w14:textId="2C7FB977" w:rsidR="00FF7482" w:rsidRPr="0083160B" w:rsidRDefault="00FF7482" w:rsidP="00EF1760">
      <w:pPr>
        <w:pStyle w:val="ListParagraph"/>
        <w:numPr>
          <w:ilvl w:val="0"/>
          <w:numId w:val="5"/>
        </w:numPr>
        <w:ind w:right="720"/>
        <w:jc w:val="both"/>
        <w:rPr>
          <w:rFonts w:ascii="Times New Roman" w:hAnsi="Times New Roman" w:cs="Times New Roman"/>
          <w:i/>
          <w:sz w:val="24"/>
          <w:szCs w:val="24"/>
          <w:u w:val="single"/>
        </w:rPr>
      </w:pPr>
      <w:r w:rsidRPr="0083160B">
        <w:rPr>
          <w:rFonts w:ascii="Times New Roman" w:hAnsi="Times New Roman" w:cs="Times New Roman"/>
          <w:b/>
          <w:i/>
          <w:iCs/>
          <w:sz w:val="24"/>
          <w:szCs w:val="24"/>
          <w:u w:val="single"/>
        </w:rPr>
        <w:t>Wage-Loss Approach</w:t>
      </w:r>
      <w:r w:rsidRPr="0083160B">
        <w:rPr>
          <w:rFonts w:ascii="Times New Roman" w:hAnsi="Times New Roman" w:cs="Times New Roman"/>
          <w:i/>
          <w:iCs/>
          <w:sz w:val="24"/>
          <w:szCs w:val="24"/>
        </w:rPr>
        <w:t>.</w:t>
      </w:r>
      <w:r w:rsidRPr="0083160B">
        <w:rPr>
          <w:rFonts w:ascii="Times New Roman" w:hAnsi="Times New Roman" w:cs="Times New Roman"/>
          <w:sz w:val="24"/>
          <w:szCs w:val="24"/>
        </w:rPr>
        <w:t xml:space="preserve"> Benefits are paid for the actual or ongoing </w:t>
      </w:r>
      <w:r>
        <w:rPr>
          <w:rFonts w:ascii="Times New Roman" w:hAnsi="Times New Roman" w:cs="Times New Roman"/>
          <w:sz w:val="24"/>
          <w:szCs w:val="24"/>
        </w:rPr>
        <w:t xml:space="preserve">financial </w:t>
      </w:r>
      <w:r w:rsidRPr="0083160B">
        <w:rPr>
          <w:rFonts w:ascii="Times New Roman" w:hAnsi="Times New Roman" w:cs="Times New Roman"/>
          <w:sz w:val="24"/>
          <w:szCs w:val="24"/>
        </w:rPr>
        <w:t>losses that a worker incurs. In some states, the permanent partial disability benefit begins after it has been determined that maximum medical improvement has been achieved. In states that use this approach, permanent disability benefits can simply be the extension of temporary disability benefits until the disabled worker returns to employment.</w:t>
      </w:r>
    </w:p>
    <w:p w14:paraId="124D2EA5" w14:textId="77777777" w:rsidR="00FF7482" w:rsidRPr="0083160B" w:rsidRDefault="00FF7482" w:rsidP="00FE5311">
      <w:pPr>
        <w:pStyle w:val="ListParagraph"/>
        <w:ind w:right="720"/>
        <w:rPr>
          <w:rFonts w:ascii="Times New Roman" w:hAnsi="Times New Roman" w:cs="Times New Roman"/>
          <w:i/>
          <w:sz w:val="24"/>
          <w:szCs w:val="24"/>
          <w:u w:val="single"/>
        </w:rPr>
      </w:pPr>
    </w:p>
    <w:p w14:paraId="360317F4" w14:textId="13242331" w:rsidR="00FF7482" w:rsidRPr="0083160B" w:rsidRDefault="00FF7482" w:rsidP="00EF1760">
      <w:pPr>
        <w:pStyle w:val="ListParagraph"/>
        <w:numPr>
          <w:ilvl w:val="0"/>
          <w:numId w:val="5"/>
        </w:numPr>
        <w:ind w:right="720"/>
        <w:jc w:val="both"/>
        <w:rPr>
          <w:rFonts w:ascii="Times New Roman" w:hAnsi="Times New Roman" w:cs="Times New Roman"/>
          <w:sz w:val="24"/>
          <w:szCs w:val="24"/>
        </w:rPr>
      </w:pPr>
      <w:r w:rsidRPr="0083160B">
        <w:rPr>
          <w:rFonts w:ascii="Times New Roman" w:hAnsi="Times New Roman" w:cs="Times New Roman"/>
          <w:b/>
          <w:i/>
          <w:iCs/>
          <w:sz w:val="24"/>
          <w:szCs w:val="24"/>
          <w:u w:val="single"/>
        </w:rPr>
        <w:t>Mixed Approach</w:t>
      </w:r>
      <w:r w:rsidRPr="0083160B">
        <w:rPr>
          <w:rFonts w:ascii="Times New Roman" w:hAnsi="Times New Roman" w:cs="Times New Roman"/>
          <w:i/>
          <w:iCs/>
          <w:sz w:val="24"/>
          <w:szCs w:val="24"/>
        </w:rPr>
        <w:t>.</w:t>
      </w:r>
      <w:r w:rsidRPr="0083160B">
        <w:rPr>
          <w:rFonts w:ascii="Times New Roman" w:hAnsi="Times New Roman" w:cs="Times New Roman"/>
          <w:sz w:val="24"/>
          <w:szCs w:val="24"/>
        </w:rPr>
        <w:t xml:space="preserve"> The benefit for a permanent disability depends on the worker's employment status at the time that the worker's condition is assessed, after the condition has stabilized. If the worker </w:t>
      </w:r>
      <w:r w:rsidRPr="0083160B">
        <w:rPr>
          <w:rFonts w:ascii="Times New Roman" w:hAnsi="Times New Roman" w:cs="Times New Roman"/>
          <w:sz w:val="24"/>
          <w:szCs w:val="24"/>
        </w:rPr>
        <w:lastRenderedPageBreak/>
        <w:t>has returned to employment with earnings at, or near, the pre</w:t>
      </w:r>
      <w:r w:rsidR="00301EA9">
        <w:rPr>
          <w:rFonts w:ascii="Times New Roman" w:hAnsi="Times New Roman" w:cs="Times New Roman"/>
          <w:sz w:val="24"/>
          <w:szCs w:val="24"/>
        </w:rPr>
        <w:t>-</w:t>
      </w:r>
      <w:r w:rsidRPr="0083160B">
        <w:rPr>
          <w:rFonts w:ascii="Times New Roman" w:hAnsi="Times New Roman" w:cs="Times New Roman"/>
          <w:sz w:val="24"/>
          <w:szCs w:val="24"/>
        </w:rPr>
        <w:t>injury level, the benefit is based on the degree of impairment. If the worker has not returned to employment, or has returned but at lower wages than before the injury, the benefit is based on the degree of lost earning capacity.</w:t>
      </w:r>
    </w:p>
    <w:p w14:paraId="2FBAC555" w14:textId="77777777" w:rsidR="00FF7482" w:rsidRPr="0083160B" w:rsidRDefault="00FF7482" w:rsidP="00FE5311">
      <w:pPr>
        <w:pStyle w:val="ListParagraph"/>
        <w:ind w:right="720"/>
        <w:rPr>
          <w:rFonts w:ascii="Times New Roman" w:hAnsi="Times New Roman" w:cs="Times New Roman"/>
          <w:sz w:val="24"/>
          <w:szCs w:val="24"/>
        </w:rPr>
      </w:pPr>
    </w:p>
    <w:p w14:paraId="3AEB6026" w14:textId="37FD6A1F" w:rsidR="00FF7482" w:rsidRDefault="00FF7482" w:rsidP="00F02E6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As will be explained below, Wyoming utilizes a mixed approach to providing permanent partial benefits.</w:t>
      </w:r>
    </w:p>
    <w:p w14:paraId="0FDCFA5C" w14:textId="77777777" w:rsidR="00FF7482" w:rsidRDefault="00FF7482" w:rsidP="00F02E62">
      <w:pPr>
        <w:pStyle w:val="ListParagraph"/>
        <w:spacing w:after="0"/>
        <w:ind w:left="0"/>
        <w:jc w:val="both"/>
        <w:rPr>
          <w:rFonts w:ascii="Times New Roman" w:hAnsi="Times New Roman" w:cs="Times New Roman"/>
          <w:sz w:val="24"/>
          <w:szCs w:val="24"/>
        </w:rPr>
      </w:pPr>
    </w:p>
    <w:p w14:paraId="1C1EF1AE" w14:textId="4BA8C55D" w:rsidR="00FF7482" w:rsidRPr="00A75A86" w:rsidRDefault="00FF7482" w:rsidP="0083160B">
      <w:pPr>
        <w:pStyle w:val="Heading2"/>
        <w:rPr>
          <w:rFonts w:ascii="Times New Roman" w:hAnsi="Times New Roman" w:cs="Times New Roman"/>
          <w:b/>
          <w:color w:val="auto"/>
          <w:sz w:val="28"/>
          <w:szCs w:val="28"/>
        </w:rPr>
      </w:pPr>
      <w:bookmarkStart w:id="753" w:name="_Toc75269399"/>
      <w:r w:rsidRPr="00A75A86">
        <w:rPr>
          <w:rFonts w:ascii="Times New Roman" w:hAnsi="Times New Roman" w:cs="Times New Roman"/>
          <w:b/>
          <w:color w:val="auto"/>
          <w:sz w:val="28"/>
          <w:szCs w:val="28"/>
        </w:rPr>
        <w:t>Temporary Total Disability Benefits in Wyoming</w:t>
      </w:r>
      <w:bookmarkEnd w:id="753"/>
    </w:p>
    <w:p w14:paraId="62A0C966" w14:textId="77777777" w:rsidR="00FF7482" w:rsidRPr="00A75A86" w:rsidRDefault="00FF7482" w:rsidP="00EE24BC">
      <w:pPr>
        <w:pStyle w:val="ListParagraph"/>
        <w:ind w:left="0"/>
        <w:jc w:val="both"/>
        <w:rPr>
          <w:rFonts w:ascii="Times New Roman" w:hAnsi="Times New Roman" w:cs="Times New Roman"/>
          <w:sz w:val="28"/>
          <w:szCs w:val="28"/>
        </w:rPr>
      </w:pPr>
    </w:p>
    <w:p w14:paraId="49016B2B" w14:textId="7FA11CD7" w:rsidR="00FF7482" w:rsidRDefault="00FF7482" w:rsidP="00EE24BC">
      <w:pPr>
        <w:pStyle w:val="ListParagraph"/>
        <w:ind w:left="0"/>
        <w:jc w:val="both"/>
        <w:rPr>
          <w:rFonts w:ascii="Times New Roman" w:hAnsi="Times New Roman" w:cs="Times New Roman"/>
          <w:sz w:val="24"/>
          <w:szCs w:val="24"/>
        </w:rPr>
      </w:pPr>
      <w:r w:rsidRPr="00BE237A">
        <w:rPr>
          <w:rFonts w:ascii="Times New Roman" w:hAnsi="Times New Roman" w:cs="Times New Roman"/>
          <w:sz w:val="24"/>
          <w:szCs w:val="24"/>
        </w:rPr>
        <w:t xml:space="preserve">W.S. § </w:t>
      </w:r>
      <w:hyperlink r:id="rId89" w:history="1">
        <w:r w:rsidRPr="00BE237A">
          <w:rPr>
            <w:rStyle w:val="Hyperlink"/>
            <w:rFonts w:ascii="Times New Roman" w:hAnsi="Times New Roman" w:cs="Times New Roman"/>
            <w:sz w:val="24"/>
            <w:szCs w:val="24"/>
          </w:rPr>
          <w:t>27-14-102</w:t>
        </w:r>
      </w:hyperlink>
      <w:r w:rsidRPr="00EE24BC">
        <w:rPr>
          <w:rFonts w:ascii="Times New Roman" w:hAnsi="Times New Roman" w:cs="Times New Roman"/>
          <w:sz w:val="24"/>
          <w:szCs w:val="24"/>
        </w:rPr>
        <w:t>(a)(xviii)</w:t>
      </w:r>
      <w:r>
        <w:rPr>
          <w:rFonts w:ascii="Times New Roman" w:hAnsi="Times New Roman" w:cs="Times New Roman"/>
          <w:sz w:val="24"/>
          <w:szCs w:val="24"/>
        </w:rPr>
        <w:t xml:space="preserve"> defines temporary total disability as </w:t>
      </w:r>
      <w:r w:rsidRPr="00B80E01">
        <w:rPr>
          <w:rFonts w:ascii="Times New Roman" w:hAnsi="Times New Roman" w:cs="Times New Roman"/>
          <w:b/>
          <w:bCs/>
          <w:sz w:val="24"/>
          <w:szCs w:val="24"/>
        </w:rPr>
        <w:t>“</w:t>
      </w:r>
      <w:r w:rsidRPr="00B80E01">
        <w:rPr>
          <w:rFonts w:ascii="Times New Roman" w:hAnsi="Times New Roman" w:cs="Times New Roman"/>
          <w:b/>
          <w:bCs/>
          <w:sz w:val="24"/>
          <w:szCs w:val="24"/>
          <w:u w:val="single"/>
        </w:rPr>
        <w:t>t</w:t>
      </w:r>
      <w:r w:rsidRPr="00EB5B22">
        <w:rPr>
          <w:rFonts w:ascii="Times New Roman" w:hAnsi="Times New Roman" w:cs="Times New Roman"/>
          <w:b/>
          <w:sz w:val="24"/>
          <w:szCs w:val="24"/>
          <w:u w:val="single"/>
        </w:rPr>
        <w:t>hat period of time an employee is temporarily and totally incapacitated from performing employment at any gainful employment or occupation for which he is reasonably suited by experience or training</w:t>
      </w:r>
      <w:r w:rsidRPr="00EE24BC">
        <w:rPr>
          <w:rFonts w:ascii="Times New Roman" w:hAnsi="Times New Roman" w:cs="Times New Roman"/>
          <w:sz w:val="24"/>
          <w:szCs w:val="24"/>
        </w:rPr>
        <w:t xml:space="preserve">. </w:t>
      </w:r>
      <w:r w:rsidRPr="002C7166">
        <w:rPr>
          <w:rFonts w:ascii="Times New Roman" w:hAnsi="Times New Roman" w:cs="Times New Roman"/>
          <w:b/>
          <w:sz w:val="24"/>
          <w:szCs w:val="24"/>
        </w:rPr>
        <w:t xml:space="preserve">The period of temporary total disability terminates at the time the employee completely recovers or qualifies for benefits under </w:t>
      </w:r>
      <w:r w:rsidRPr="00BE237A">
        <w:rPr>
          <w:rFonts w:ascii="Times New Roman" w:hAnsi="Times New Roman" w:cs="Times New Roman"/>
          <w:b/>
          <w:sz w:val="24"/>
          <w:szCs w:val="24"/>
        </w:rPr>
        <w:t xml:space="preserve">W.S. § </w:t>
      </w:r>
      <w:hyperlink r:id="rId90" w:history="1">
        <w:r w:rsidRPr="00BE237A">
          <w:rPr>
            <w:rStyle w:val="Hyperlink"/>
            <w:rFonts w:ascii="Times New Roman" w:hAnsi="Times New Roman" w:cs="Times New Roman"/>
            <w:b/>
            <w:sz w:val="24"/>
            <w:szCs w:val="24"/>
          </w:rPr>
          <w:t>27-14-405</w:t>
        </w:r>
      </w:hyperlink>
      <w:r w:rsidRPr="002C7166">
        <w:rPr>
          <w:rFonts w:ascii="Times New Roman" w:hAnsi="Times New Roman" w:cs="Times New Roman"/>
          <w:b/>
          <w:sz w:val="24"/>
          <w:szCs w:val="24"/>
        </w:rPr>
        <w:t xml:space="preserve"> [governing permanent partial disability] or</w:t>
      </w:r>
      <w:r>
        <w:rPr>
          <w:rFonts w:ascii="Times New Roman" w:hAnsi="Times New Roman" w:cs="Times New Roman"/>
          <w:b/>
          <w:sz w:val="24"/>
          <w:szCs w:val="24"/>
        </w:rPr>
        <w:t xml:space="preserve"> </w:t>
      </w:r>
      <w:r w:rsidRPr="00BE237A">
        <w:rPr>
          <w:rFonts w:ascii="Times New Roman" w:hAnsi="Times New Roman" w:cs="Times New Roman"/>
          <w:b/>
          <w:sz w:val="24"/>
          <w:szCs w:val="24"/>
        </w:rPr>
        <w:t xml:space="preserve">W.S. § </w:t>
      </w:r>
      <w:hyperlink r:id="rId91" w:history="1">
        <w:r w:rsidRPr="00BE237A">
          <w:rPr>
            <w:rStyle w:val="Hyperlink"/>
            <w:rFonts w:ascii="Times New Roman" w:hAnsi="Times New Roman" w:cs="Times New Roman"/>
            <w:b/>
            <w:sz w:val="24"/>
            <w:szCs w:val="24"/>
          </w:rPr>
          <w:t>27-14-406</w:t>
        </w:r>
      </w:hyperlink>
      <w:r w:rsidRPr="002C7166">
        <w:rPr>
          <w:rFonts w:ascii="Times New Roman" w:hAnsi="Times New Roman" w:cs="Times New Roman"/>
          <w:b/>
          <w:sz w:val="24"/>
          <w:szCs w:val="24"/>
        </w:rPr>
        <w:t xml:space="preserve"> [governing permanent total disability].”</w:t>
      </w:r>
    </w:p>
    <w:p w14:paraId="7D3D0072" w14:textId="284723B4" w:rsidR="00FF7482" w:rsidRDefault="00FF7482" w:rsidP="00EE24BC">
      <w:pPr>
        <w:pStyle w:val="ListParagraph"/>
        <w:ind w:left="0"/>
        <w:jc w:val="both"/>
        <w:rPr>
          <w:rFonts w:ascii="Times New Roman" w:hAnsi="Times New Roman" w:cs="Times New Roman"/>
          <w:sz w:val="24"/>
          <w:szCs w:val="24"/>
        </w:rPr>
      </w:pPr>
    </w:p>
    <w:p w14:paraId="4C3187D5" w14:textId="796A65DD" w:rsidR="00FF7482" w:rsidRPr="002F1A3A" w:rsidRDefault="00FF7482" w:rsidP="00EE24BC">
      <w:pPr>
        <w:pStyle w:val="ListParagraph"/>
        <w:ind w:left="0"/>
        <w:jc w:val="both"/>
        <w:rPr>
          <w:rFonts w:ascii="Times New Roman" w:hAnsi="Times New Roman" w:cs="Times New Roman"/>
          <w:b/>
          <w:sz w:val="24"/>
          <w:szCs w:val="24"/>
        </w:rPr>
      </w:pPr>
      <w:bookmarkStart w:id="754" w:name="_Hlk24633803"/>
      <w:r>
        <w:rPr>
          <w:rFonts w:ascii="Times New Roman" w:hAnsi="Times New Roman" w:cs="Times New Roman"/>
          <w:sz w:val="24"/>
          <w:szCs w:val="24"/>
        </w:rPr>
        <w:t>The purpose of awarding temporary total disability benefits in Wyoming is just as described above in Section 5.2 for workers’ compensation generally</w:t>
      </w:r>
      <w:bookmarkEnd w:id="754"/>
      <w:r>
        <w:rPr>
          <w:rFonts w:ascii="Times New Roman" w:hAnsi="Times New Roman" w:cs="Times New Roman"/>
          <w:sz w:val="24"/>
          <w:szCs w:val="24"/>
        </w:rPr>
        <w:t xml:space="preserve">. </w:t>
      </w:r>
      <w:r w:rsidRPr="002F1A3A">
        <w:rPr>
          <w:rFonts w:ascii="Times New Roman" w:hAnsi="Times New Roman" w:cs="Times New Roman"/>
          <w:b/>
          <w:sz w:val="24"/>
          <w:szCs w:val="24"/>
        </w:rPr>
        <w:t>“</w:t>
      </w:r>
      <w:r w:rsidRPr="002C7166">
        <w:rPr>
          <w:rFonts w:ascii="Times New Roman" w:hAnsi="Times New Roman" w:cs="Times New Roman"/>
          <w:b/>
          <w:sz w:val="24"/>
          <w:szCs w:val="24"/>
          <w:u w:val="single"/>
        </w:rPr>
        <w:t>The purpose of temporary disability compensation is to provide income for an employee during the time of healing from his injury and until his condition has stabilized</w:t>
      </w:r>
      <w:r w:rsidRPr="002F1A3A">
        <w:rPr>
          <w:rFonts w:ascii="Times New Roman" w:hAnsi="Times New Roman" w:cs="Times New Roman"/>
          <w:b/>
          <w:sz w:val="24"/>
          <w:szCs w:val="24"/>
        </w:rPr>
        <w:t>.”</w:t>
      </w:r>
      <w:r w:rsidRPr="00910BB7">
        <w:rPr>
          <w:rFonts w:ascii="Times New Roman" w:hAnsi="Times New Roman" w:cs="Times New Roman"/>
          <w:sz w:val="24"/>
          <w:szCs w:val="24"/>
          <w:vertAlign w:val="superscript"/>
        </w:rPr>
        <w:footnoteReference w:id="541"/>
      </w:r>
    </w:p>
    <w:p w14:paraId="023453B4" w14:textId="77777777" w:rsidR="00FF7482" w:rsidRDefault="00FF7482" w:rsidP="00FE5311">
      <w:pPr>
        <w:pStyle w:val="ListParagraph"/>
        <w:ind w:left="0"/>
        <w:jc w:val="both"/>
        <w:rPr>
          <w:rFonts w:ascii="Times New Roman" w:hAnsi="Times New Roman" w:cs="Times New Roman"/>
          <w:sz w:val="24"/>
          <w:szCs w:val="24"/>
        </w:rPr>
      </w:pPr>
    </w:p>
    <w:p w14:paraId="636B7DE9" w14:textId="100FB8EB" w:rsidR="00FF7482" w:rsidRPr="00FE5311" w:rsidRDefault="00FF7482" w:rsidP="00FE5311">
      <w:pPr>
        <w:pStyle w:val="ListParagraph"/>
        <w:ind w:left="0"/>
        <w:jc w:val="both"/>
        <w:rPr>
          <w:rFonts w:ascii="Times New Roman" w:hAnsi="Times New Roman" w:cs="Times New Roman"/>
          <w:sz w:val="24"/>
          <w:szCs w:val="24"/>
        </w:rPr>
      </w:pPr>
      <w:r w:rsidRPr="00BE237A">
        <w:rPr>
          <w:rFonts w:ascii="Times New Roman" w:hAnsi="Times New Roman" w:cs="Times New Roman"/>
          <w:sz w:val="24"/>
          <w:szCs w:val="24"/>
        </w:rPr>
        <w:t xml:space="preserve">W.S. § </w:t>
      </w:r>
      <w:hyperlink r:id="rId92" w:history="1">
        <w:r w:rsidRPr="00BE237A">
          <w:rPr>
            <w:rStyle w:val="Hyperlink"/>
            <w:rFonts w:ascii="Times New Roman" w:hAnsi="Times New Roman" w:cs="Times New Roman"/>
            <w:sz w:val="24"/>
            <w:szCs w:val="24"/>
          </w:rPr>
          <w:t>27–14–404</w:t>
        </w:r>
      </w:hyperlink>
      <w:r w:rsidRPr="00FE5311">
        <w:rPr>
          <w:rFonts w:ascii="Times New Roman" w:hAnsi="Times New Roman" w:cs="Times New Roman"/>
          <w:sz w:val="24"/>
          <w:szCs w:val="24"/>
        </w:rPr>
        <w:t xml:space="preserve"> establishes a limitation on the amount of time that an injured worker may receive TTD benefits. The statute provides, in relevant part, as follows</w:t>
      </w:r>
      <w:r w:rsidRPr="00910BB7">
        <w:rPr>
          <w:rFonts w:ascii="Times New Roman" w:hAnsi="Times New Roman" w:cs="Times New Roman"/>
          <w:sz w:val="24"/>
          <w:szCs w:val="24"/>
          <w:vertAlign w:val="superscript"/>
        </w:rPr>
        <w:footnoteReference w:id="542"/>
      </w:r>
      <w:r w:rsidRPr="00FE5311">
        <w:rPr>
          <w:rFonts w:ascii="Times New Roman" w:hAnsi="Times New Roman" w:cs="Times New Roman"/>
          <w:sz w:val="24"/>
          <w:szCs w:val="24"/>
        </w:rPr>
        <w:t>:</w:t>
      </w:r>
    </w:p>
    <w:p w14:paraId="23B282CD" w14:textId="77777777" w:rsidR="00FF7482" w:rsidRDefault="00FF7482" w:rsidP="00FE5311">
      <w:pPr>
        <w:pStyle w:val="ListParagraph"/>
        <w:jc w:val="both"/>
        <w:rPr>
          <w:rFonts w:ascii="Times New Roman" w:hAnsi="Times New Roman" w:cs="Times New Roman"/>
          <w:b/>
          <w:bCs/>
          <w:sz w:val="24"/>
          <w:szCs w:val="24"/>
        </w:rPr>
      </w:pPr>
    </w:p>
    <w:p w14:paraId="561E60DD" w14:textId="2409CD7E" w:rsidR="00FF7482" w:rsidRPr="001A2150" w:rsidRDefault="00FF7482" w:rsidP="001A2150">
      <w:pPr>
        <w:pStyle w:val="ListParagraph"/>
        <w:ind w:right="720"/>
        <w:contextualSpacing w:val="0"/>
        <w:jc w:val="both"/>
        <w:rPr>
          <w:rFonts w:ascii="Times New Roman" w:hAnsi="Times New Roman" w:cs="Times New Roman"/>
          <w:sz w:val="24"/>
          <w:szCs w:val="24"/>
        </w:rPr>
      </w:pPr>
      <w:bookmarkStart w:id="757" w:name="_Hlk528526245"/>
      <w:r w:rsidRPr="00FE5311">
        <w:rPr>
          <w:rFonts w:ascii="Times New Roman" w:hAnsi="Times New Roman" w:cs="Times New Roman"/>
          <w:b/>
          <w:bCs/>
          <w:sz w:val="24"/>
          <w:szCs w:val="24"/>
        </w:rPr>
        <w:t>§ 27–14–404</w:t>
      </w:r>
      <w:bookmarkEnd w:id="757"/>
      <w:r w:rsidRPr="00FE5311">
        <w:rPr>
          <w:rFonts w:ascii="Times New Roman" w:hAnsi="Times New Roman" w:cs="Times New Roman"/>
          <w:b/>
          <w:bCs/>
          <w:sz w:val="24"/>
          <w:szCs w:val="24"/>
        </w:rPr>
        <w:t>. Temporary total disability; benefits; determination of eligibility; exceptions for volunteers or prisoners; period of certification limited; temporary light duty employment.</w:t>
      </w:r>
    </w:p>
    <w:p w14:paraId="4084BC9D" w14:textId="4F8FAE4B" w:rsidR="00FF7482" w:rsidRPr="00FE5311" w:rsidRDefault="00FF7482" w:rsidP="001A2150">
      <w:pPr>
        <w:pStyle w:val="ListParagraph"/>
        <w:ind w:right="720"/>
        <w:contextualSpacing w:val="0"/>
        <w:jc w:val="both"/>
        <w:rPr>
          <w:rFonts w:ascii="Times New Roman" w:hAnsi="Times New Roman" w:cs="Times New Roman"/>
          <w:sz w:val="24"/>
          <w:szCs w:val="24"/>
        </w:rPr>
      </w:pPr>
      <w:r w:rsidRPr="00FE5311">
        <w:rPr>
          <w:rFonts w:ascii="Times New Roman" w:hAnsi="Times New Roman" w:cs="Times New Roman"/>
          <w:sz w:val="24"/>
          <w:szCs w:val="24"/>
        </w:rPr>
        <w:t xml:space="preserve">(a) If after a compensable injury is sustained and as a result of the injury the employee is subject to temporary total disability as defined under W.S. 27–14–102(a)(xviii), the injured employee is entitled to receive a temporary total disability award for the period of temporary total disability as provided by W.S. 27–14–403(c). </w:t>
      </w:r>
      <w:r w:rsidRPr="00FE5311">
        <w:rPr>
          <w:rFonts w:ascii="Times New Roman" w:hAnsi="Times New Roman" w:cs="Times New Roman"/>
          <w:b/>
          <w:bCs/>
          <w:i/>
          <w:iCs/>
          <w:sz w:val="24"/>
          <w:szCs w:val="24"/>
        </w:rPr>
        <w:t xml:space="preserve">The </w:t>
      </w:r>
      <w:r w:rsidRPr="00FE5311">
        <w:rPr>
          <w:rFonts w:ascii="Times New Roman" w:hAnsi="Times New Roman" w:cs="Times New Roman"/>
          <w:b/>
          <w:bCs/>
          <w:i/>
          <w:iCs/>
          <w:sz w:val="24"/>
          <w:szCs w:val="24"/>
        </w:rPr>
        <w:lastRenderedPageBreak/>
        <w:t>period for receiving a temporary total disability award under this section for injuries resulting from any one (1) incident or accident shall not exceed a cumulative period of twenty-four (24) months, except that the division pursuant to its rules and regulations and in its discretion may in the event of extraordinary circumstances award additional temporary total disability benefits.</w:t>
      </w:r>
      <w:r w:rsidRPr="00FE5311">
        <w:rPr>
          <w:rFonts w:ascii="Times New Roman" w:hAnsi="Times New Roman" w:cs="Times New Roman"/>
          <w:sz w:val="24"/>
          <w:szCs w:val="24"/>
        </w:rPr>
        <w:t xml:space="preserve"> The division's decision to grant such additional benefits shall be reviewable by a hearing examiner only for an abuse of discretion by the division.</w:t>
      </w:r>
    </w:p>
    <w:p w14:paraId="7C8F8447" w14:textId="77777777" w:rsidR="00FF7482" w:rsidRDefault="00FF7482" w:rsidP="00B864ED">
      <w:pPr>
        <w:pStyle w:val="ListParagraph"/>
        <w:ind w:right="720"/>
        <w:jc w:val="both"/>
        <w:rPr>
          <w:rFonts w:ascii="Times New Roman" w:hAnsi="Times New Roman" w:cs="Times New Roman"/>
          <w:sz w:val="24"/>
          <w:szCs w:val="24"/>
        </w:rPr>
      </w:pPr>
      <w:r w:rsidRPr="00FE5311">
        <w:rPr>
          <w:rFonts w:ascii="Times New Roman" w:hAnsi="Times New Roman" w:cs="Times New Roman"/>
          <w:sz w:val="24"/>
          <w:szCs w:val="24"/>
        </w:rPr>
        <w:t xml:space="preserve">(Emphasis added.) </w:t>
      </w:r>
    </w:p>
    <w:p w14:paraId="33B33113" w14:textId="77777777" w:rsidR="00FF7482" w:rsidRDefault="00FF7482" w:rsidP="00B864ED">
      <w:pPr>
        <w:pStyle w:val="ListParagraph"/>
        <w:ind w:right="720"/>
        <w:jc w:val="both"/>
        <w:rPr>
          <w:rFonts w:ascii="Times New Roman" w:hAnsi="Times New Roman" w:cs="Times New Roman"/>
          <w:sz w:val="24"/>
          <w:szCs w:val="24"/>
        </w:rPr>
      </w:pPr>
    </w:p>
    <w:p w14:paraId="3F44BC9C" w14:textId="7D5DFE1F" w:rsidR="00FF7482" w:rsidRPr="00FE5311" w:rsidRDefault="00FF7482" w:rsidP="00B864ED">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FE5311">
        <w:rPr>
          <w:rFonts w:ascii="Times New Roman" w:hAnsi="Times New Roman" w:cs="Times New Roman"/>
          <w:sz w:val="24"/>
          <w:szCs w:val="24"/>
        </w:rPr>
        <w:t>As authorized under this statute, the Division has issued rules and regulations relating to the receipt of additional TTD benefits in extraordinary circumstances. According to those rules,</w:t>
      </w:r>
      <w:r w:rsidRPr="00910BB7">
        <w:rPr>
          <w:rFonts w:ascii="Times New Roman" w:hAnsi="Times New Roman" w:cs="Times New Roman"/>
          <w:sz w:val="24"/>
          <w:szCs w:val="24"/>
          <w:vertAlign w:val="superscript"/>
        </w:rPr>
        <w:footnoteReference w:id="543"/>
      </w:r>
      <w:r w:rsidRPr="00FE5311">
        <w:rPr>
          <w:rFonts w:ascii="Times New Roman" w:hAnsi="Times New Roman" w:cs="Times New Roman"/>
          <w:sz w:val="24"/>
          <w:szCs w:val="24"/>
        </w:rPr>
        <w:t xml:space="preserve"> </w:t>
      </w:r>
      <w:r w:rsidRPr="00FE5311">
        <w:rPr>
          <w:rFonts w:ascii="Times New Roman" w:hAnsi="Times New Roman" w:cs="Times New Roman"/>
          <w:b/>
          <w:sz w:val="24"/>
          <w:szCs w:val="24"/>
          <w:u w:val="single"/>
        </w:rPr>
        <w:t>an award of additional TTD benefits shall not exceed twelve months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44"/>
      </w:r>
      <w:r w:rsidRPr="00FE5311">
        <w:rPr>
          <w:rFonts w:ascii="Times New Roman" w:hAnsi="Times New Roman" w:cs="Times New Roman"/>
          <w:sz w:val="24"/>
          <w:szCs w:val="24"/>
        </w:rPr>
        <w:t>:</w:t>
      </w:r>
    </w:p>
    <w:p w14:paraId="7A28287A" w14:textId="71D46717" w:rsidR="00FF7482" w:rsidRDefault="00FF7482" w:rsidP="00EE24BC">
      <w:pPr>
        <w:pStyle w:val="ListParagraph"/>
        <w:ind w:left="0"/>
        <w:jc w:val="both"/>
        <w:rPr>
          <w:rFonts w:ascii="Times New Roman" w:hAnsi="Times New Roman" w:cs="Times New Roman"/>
          <w:sz w:val="24"/>
          <w:szCs w:val="24"/>
        </w:rPr>
      </w:pPr>
    </w:p>
    <w:p w14:paraId="1A217372" w14:textId="309D54F0" w:rsidR="00E3008F" w:rsidRPr="00E3008F" w:rsidRDefault="00FF7482" w:rsidP="00E3008F">
      <w:pPr>
        <w:pStyle w:val="ListParagraph"/>
        <w:ind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(b) Limitation on Period of Temporary Total Disability (TTD); Extraordinary Circumstance.</w:t>
      </w:r>
    </w:p>
    <w:p w14:paraId="43EA1895" w14:textId="322CABC8" w:rsidR="00FF7482" w:rsidRPr="00E3008F" w:rsidRDefault="00FF7482" w:rsidP="00E3008F">
      <w:pPr>
        <w:pStyle w:val="ListParagraph"/>
        <w:ind w:left="144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(i) The period for receiving a TTD award under W.S. § 27–14–404 resulting from a single incident, accident, or period of cumulative trauma or exposure shall not exceed a cumulative period of 24 months, except that the Division,</w:t>
      </w:r>
      <w:r w:rsidR="001E1736">
        <w:rPr>
          <w:rFonts w:ascii="Times New Roman" w:hAnsi="Times New Roman" w:cs="Times New Roman"/>
          <w:sz w:val="24"/>
          <w:szCs w:val="24"/>
        </w:rPr>
        <w:t xml:space="preserve"> </w:t>
      </w:r>
      <w:r w:rsidRPr="00B864ED">
        <w:rPr>
          <w:rFonts w:ascii="Times New Roman" w:hAnsi="Times New Roman" w:cs="Times New Roman"/>
          <w:sz w:val="24"/>
          <w:szCs w:val="24"/>
        </w:rPr>
        <w:t>in its discretion, may award additional TTD benefits if the claimant establishes by clear and</w:t>
      </w:r>
      <w:r>
        <w:rPr>
          <w:rFonts w:ascii="Times New Roman" w:hAnsi="Times New Roman" w:cs="Times New Roman"/>
          <w:sz w:val="24"/>
          <w:szCs w:val="24"/>
        </w:rPr>
        <w:t xml:space="preserve"> </w:t>
      </w:r>
      <w:r w:rsidRPr="00B864ED">
        <w:rPr>
          <w:rFonts w:ascii="Times New Roman" w:hAnsi="Times New Roman" w:cs="Times New Roman"/>
          <w:sz w:val="24"/>
          <w:szCs w:val="24"/>
        </w:rPr>
        <w:t>convincing evidence that the claimant:</w:t>
      </w:r>
    </w:p>
    <w:p w14:paraId="4E16DF5F" w14:textId="12C77AAF" w:rsidR="00FF7482" w:rsidRPr="00B864ED" w:rsidRDefault="00FF7482" w:rsidP="00E3008F">
      <w:pPr>
        <w:pStyle w:val="ListParagraph"/>
        <w:ind w:left="216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(A) remains totally disabled, due solely to a work-related injury;</w:t>
      </w:r>
    </w:p>
    <w:p w14:paraId="5E840C9D" w14:textId="68465EDF" w:rsidR="00FF7482" w:rsidRPr="00B864ED" w:rsidRDefault="00FF7482" w:rsidP="00002773">
      <w:pPr>
        <w:pStyle w:val="ListParagraph"/>
        <w:ind w:left="216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(B) has not recovered to the extent that he or she can return to gainful employment;</w:t>
      </w:r>
    </w:p>
    <w:p w14:paraId="0AE4B95B" w14:textId="11F2C00D" w:rsidR="00FF7482" w:rsidRPr="00B864ED" w:rsidRDefault="00FF7482" w:rsidP="00002773">
      <w:pPr>
        <w:pStyle w:val="ListParagraph"/>
        <w:ind w:left="216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(C) reasonably expects to return to gainful employment within 12 months following the date of the first TTD claim occurring after</w:t>
      </w:r>
      <w:r w:rsidR="001E1736">
        <w:rPr>
          <w:rFonts w:ascii="Times New Roman" w:hAnsi="Times New Roman" w:cs="Times New Roman"/>
          <w:sz w:val="24"/>
          <w:szCs w:val="24"/>
        </w:rPr>
        <w:t xml:space="preserve"> </w:t>
      </w:r>
      <w:r w:rsidRPr="00B864ED">
        <w:rPr>
          <w:rFonts w:ascii="Times New Roman" w:hAnsi="Times New Roman" w:cs="Times New Roman"/>
          <w:sz w:val="24"/>
          <w:szCs w:val="24"/>
        </w:rPr>
        <w:t>the expiration of the 24–month period;</w:t>
      </w:r>
    </w:p>
    <w:p w14:paraId="03A79521" w14:textId="67707729" w:rsidR="00FF7482" w:rsidRPr="00B864ED" w:rsidRDefault="00FF7482" w:rsidP="00002773">
      <w:pPr>
        <w:pStyle w:val="ListParagraph"/>
        <w:ind w:left="216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(D) does not have an ascertainable loss which would qualify for</w:t>
      </w:r>
      <w:r w:rsidR="001E1736">
        <w:rPr>
          <w:rFonts w:ascii="Times New Roman" w:hAnsi="Times New Roman" w:cs="Times New Roman"/>
          <w:sz w:val="24"/>
          <w:szCs w:val="24"/>
        </w:rPr>
        <w:t xml:space="preserve"> </w:t>
      </w:r>
      <w:r w:rsidRPr="00B864ED">
        <w:rPr>
          <w:rFonts w:ascii="Times New Roman" w:hAnsi="Times New Roman" w:cs="Times New Roman"/>
          <w:sz w:val="24"/>
          <w:szCs w:val="24"/>
        </w:rPr>
        <w:t>benefits under W.S. §§ 27–14–405 or 406; and,</w:t>
      </w:r>
    </w:p>
    <w:p w14:paraId="325BD0F9" w14:textId="30142288" w:rsidR="00E3008F" w:rsidRPr="00E3008F" w:rsidRDefault="00FF7482" w:rsidP="00E3008F">
      <w:pPr>
        <w:pStyle w:val="ListParagraph"/>
        <w:ind w:left="216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lastRenderedPageBreak/>
        <w:t>(E) has taken all reasonable measures to facilitate recovery,</w:t>
      </w:r>
      <w:r w:rsidR="001E1736">
        <w:rPr>
          <w:rFonts w:ascii="Times New Roman" w:hAnsi="Times New Roman" w:cs="Times New Roman"/>
          <w:sz w:val="24"/>
          <w:szCs w:val="24"/>
        </w:rPr>
        <w:t xml:space="preserve"> </w:t>
      </w:r>
      <w:r w:rsidRPr="00B864ED">
        <w:rPr>
          <w:rFonts w:ascii="Times New Roman" w:hAnsi="Times New Roman" w:cs="Times New Roman"/>
          <w:sz w:val="24"/>
          <w:szCs w:val="24"/>
        </w:rPr>
        <w:t>including compliance with the recommendations of the treating physician.</w:t>
      </w:r>
    </w:p>
    <w:p w14:paraId="4591A836" w14:textId="4F0E7AD1" w:rsidR="00FF7482" w:rsidRDefault="00FF7482" w:rsidP="00E3008F">
      <w:pPr>
        <w:pStyle w:val="ListParagraph"/>
        <w:spacing w:after="0"/>
        <w:ind w:left="1440" w:right="720"/>
        <w:contextualSpacing w:val="0"/>
        <w:jc w:val="both"/>
        <w:rPr>
          <w:rFonts w:ascii="Times New Roman" w:hAnsi="Times New Roman" w:cs="Times New Roman"/>
          <w:sz w:val="24"/>
          <w:szCs w:val="24"/>
        </w:rPr>
      </w:pPr>
      <w:r w:rsidRPr="00B864ED">
        <w:rPr>
          <w:rFonts w:ascii="Times New Roman" w:hAnsi="Times New Roman" w:cs="Times New Roman"/>
          <w:sz w:val="24"/>
          <w:szCs w:val="24"/>
        </w:rPr>
        <w:t xml:space="preserve">(ii) </w:t>
      </w:r>
      <w:r w:rsidRPr="002C7166">
        <w:rPr>
          <w:rFonts w:ascii="Times New Roman" w:hAnsi="Times New Roman" w:cs="Times New Roman"/>
          <w:b/>
          <w:sz w:val="24"/>
          <w:szCs w:val="24"/>
        </w:rPr>
        <w:t>No awards of additional TTD benefits pursuant to subsection (i) of this section shall exceed 12 cumulative calendar months</w:t>
      </w:r>
      <w:r w:rsidRPr="00B864ED">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45"/>
      </w:r>
    </w:p>
    <w:p w14:paraId="798A864E" w14:textId="77777777" w:rsidR="00E3008F" w:rsidRPr="00E3008F" w:rsidRDefault="00E3008F" w:rsidP="00E3008F">
      <w:pPr>
        <w:pStyle w:val="ListParagraph"/>
        <w:spacing w:after="0"/>
        <w:ind w:left="1440" w:right="720"/>
        <w:contextualSpacing w:val="0"/>
        <w:jc w:val="both"/>
        <w:rPr>
          <w:rFonts w:ascii="Times New Roman" w:hAnsi="Times New Roman" w:cs="Times New Roman"/>
          <w:sz w:val="24"/>
          <w:szCs w:val="24"/>
        </w:rPr>
      </w:pPr>
    </w:p>
    <w:p w14:paraId="453FC59A" w14:textId="3D4C4E4B" w:rsidR="00FF7482" w:rsidRDefault="00FF7482" w:rsidP="00E3008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In </w:t>
      </w:r>
      <w:r w:rsidRPr="004E5AE5">
        <w:rPr>
          <w:rFonts w:ascii="Times New Roman" w:hAnsi="Times New Roman" w:cs="Times New Roman"/>
          <w:i/>
          <w:sz w:val="24"/>
          <w:szCs w:val="24"/>
        </w:rPr>
        <w:t>Department of Workforce Servs. v. Clements</w:t>
      </w:r>
      <w:r w:rsidRPr="00D36597">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46"/>
      </w:r>
      <w:r w:rsidRPr="00D36597">
        <w:rPr>
          <w:rFonts w:ascii="Times New Roman" w:hAnsi="Times New Roman" w:cs="Times New Roman"/>
          <w:sz w:val="24"/>
          <w:szCs w:val="24"/>
        </w:rPr>
        <w:t xml:space="preserve"> </w:t>
      </w:r>
      <w:r>
        <w:rPr>
          <w:rFonts w:ascii="Times New Roman" w:hAnsi="Times New Roman" w:cs="Times New Roman"/>
          <w:sz w:val="24"/>
          <w:szCs w:val="24"/>
        </w:rPr>
        <w:t xml:space="preserve">however, the Wyoming Supreme Court held that the Division exceeded its statutory powers by promulgating a rule </w:t>
      </w:r>
      <w:r w:rsidRPr="00D36597">
        <w:rPr>
          <w:rFonts w:ascii="Times New Roman" w:hAnsi="Times New Roman" w:cs="Times New Roman"/>
          <w:sz w:val="24"/>
          <w:szCs w:val="24"/>
        </w:rPr>
        <w:t>limiting any extension of TTD benefits to a maximum of twelve months.</w:t>
      </w:r>
      <w:r>
        <w:rPr>
          <w:rFonts w:ascii="Times New Roman" w:hAnsi="Times New Roman" w:cs="Times New Roman"/>
          <w:sz w:val="24"/>
          <w:szCs w:val="24"/>
        </w:rPr>
        <w:t xml:space="preserve"> According to the Court:</w:t>
      </w:r>
    </w:p>
    <w:p w14:paraId="0F2BEEBF" w14:textId="2372DBAC" w:rsidR="00FF7482" w:rsidRDefault="00FF7482" w:rsidP="00D36597">
      <w:pPr>
        <w:pStyle w:val="ListParagraph"/>
        <w:ind w:left="0"/>
        <w:jc w:val="both"/>
        <w:rPr>
          <w:rFonts w:ascii="Times New Roman" w:hAnsi="Times New Roman" w:cs="Times New Roman"/>
          <w:sz w:val="24"/>
          <w:szCs w:val="24"/>
        </w:rPr>
      </w:pPr>
    </w:p>
    <w:p w14:paraId="08621780" w14:textId="1863FD4B" w:rsidR="00FF7482" w:rsidRDefault="00FF7482" w:rsidP="00722E68">
      <w:pPr>
        <w:pStyle w:val="ListParagraph"/>
        <w:spacing w:after="0"/>
        <w:ind w:right="720"/>
        <w:jc w:val="both"/>
        <w:rPr>
          <w:rFonts w:ascii="Times New Roman" w:hAnsi="Times New Roman" w:cs="Times New Roman"/>
          <w:sz w:val="24"/>
          <w:szCs w:val="24"/>
        </w:rPr>
      </w:pPr>
      <w:r w:rsidRPr="003E6510">
        <w:rPr>
          <w:rFonts w:ascii="Times New Roman" w:hAnsi="Times New Roman" w:cs="Times New Roman"/>
          <w:sz w:val="24"/>
          <w:szCs w:val="24"/>
        </w:rPr>
        <w:t>Giving the words used in the statute their plain and ordinary meaning, the legislative intent appears to have been to allow the Division to award additional TTD benefits beyond the statutory limit in cases where extraordinary circumstances warrant an additional award. The plain and ordinary meaning of the words used do not suggest the legislature intended the Division to set a limit on TTD benefits after which no TTD benefits can be awarded no matter what the circumstances. In special situations, justifying extraordinary treatment, the legislature intended the Division to have the authority to award more TTD benefits than the statutory maximum. While it clearly intended to limit TTD benefits in most cases, it also clearly intended to allow TTD benefits beyond the limit when exceptional circumstances exist. The Division cannot abrogate its responsibility to apply its discretion in exceptional circumstances.</w:t>
      </w:r>
      <w:r w:rsidRPr="00910BB7">
        <w:rPr>
          <w:rFonts w:ascii="Times New Roman" w:hAnsi="Times New Roman" w:cs="Times New Roman"/>
          <w:sz w:val="24"/>
          <w:szCs w:val="24"/>
          <w:vertAlign w:val="superscript"/>
        </w:rPr>
        <w:footnoteReference w:id="547"/>
      </w:r>
    </w:p>
    <w:p w14:paraId="36A4FCE6" w14:textId="77777777" w:rsidR="00FF7482" w:rsidRDefault="00FF7482" w:rsidP="00F02E62">
      <w:pPr>
        <w:pStyle w:val="ListParagraph"/>
        <w:spacing w:after="0"/>
        <w:ind w:right="720"/>
        <w:jc w:val="both"/>
        <w:rPr>
          <w:rFonts w:ascii="Times New Roman" w:hAnsi="Times New Roman" w:cs="Times New Roman"/>
          <w:sz w:val="24"/>
          <w:szCs w:val="24"/>
        </w:rPr>
      </w:pPr>
    </w:p>
    <w:p w14:paraId="72F2D622" w14:textId="42170738" w:rsidR="00FF7482" w:rsidRDefault="00FF7482" w:rsidP="00E3008F">
      <w:pPr>
        <w:pStyle w:val="Heading2"/>
        <w:rPr>
          <w:rFonts w:ascii="Times New Roman" w:hAnsi="Times New Roman" w:cs="Times New Roman"/>
          <w:b/>
          <w:color w:val="auto"/>
          <w:sz w:val="28"/>
          <w:szCs w:val="28"/>
        </w:rPr>
      </w:pPr>
      <w:bookmarkStart w:id="763" w:name="_Toc75269400"/>
      <w:bookmarkStart w:id="764" w:name="_Hlk532207348"/>
      <w:r w:rsidRPr="00A75A86">
        <w:rPr>
          <w:rFonts w:ascii="Times New Roman" w:hAnsi="Times New Roman" w:cs="Times New Roman"/>
          <w:b/>
          <w:color w:val="auto"/>
          <w:sz w:val="28"/>
          <w:szCs w:val="28"/>
        </w:rPr>
        <w:t>Benefit Amount for Temporary Total Disability</w:t>
      </w:r>
      <w:bookmarkEnd w:id="763"/>
      <w:r w:rsidRPr="00A75A86">
        <w:rPr>
          <w:rFonts w:ascii="Times New Roman" w:hAnsi="Times New Roman" w:cs="Times New Roman"/>
          <w:b/>
          <w:color w:val="auto"/>
          <w:sz w:val="28"/>
          <w:szCs w:val="28"/>
        </w:rPr>
        <w:t xml:space="preserve"> </w:t>
      </w:r>
      <w:bookmarkEnd w:id="764"/>
    </w:p>
    <w:p w14:paraId="087CCDC2" w14:textId="77777777" w:rsidR="00E3008F" w:rsidRPr="00E3008F" w:rsidRDefault="00E3008F" w:rsidP="00E3008F">
      <w:pPr>
        <w:spacing w:after="0"/>
      </w:pPr>
    </w:p>
    <w:p w14:paraId="53D88CBA" w14:textId="625E1CBD" w:rsidR="00FF7482" w:rsidRDefault="00FF7482" w:rsidP="00E3008F">
      <w:pPr>
        <w:pStyle w:val="ListParagraph"/>
        <w:spacing w:after="0"/>
        <w:ind w:left="0"/>
        <w:jc w:val="both"/>
        <w:rPr>
          <w:rFonts w:ascii="Times New Roman" w:hAnsi="Times New Roman" w:cs="Times New Roman"/>
          <w:sz w:val="24"/>
          <w:szCs w:val="24"/>
        </w:rPr>
      </w:pPr>
      <w:r w:rsidRPr="00DC359D">
        <w:rPr>
          <w:rFonts w:ascii="Times New Roman" w:hAnsi="Times New Roman" w:cs="Times New Roman"/>
          <w:sz w:val="24"/>
          <w:szCs w:val="24"/>
        </w:rPr>
        <w:t xml:space="preserve">The benefit </w:t>
      </w:r>
      <w:r>
        <w:rPr>
          <w:rFonts w:ascii="Times New Roman" w:hAnsi="Times New Roman" w:cs="Times New Roman"/>
          <w:sz w:val="24"/>
          <w:szCs w:val="24"/>
        </w:rPr>
        <w:t xml:space="preserve">calculation for temporary total disability is explained in </w:t>
      </w:r>
      <w:r w:rsidRPr="00BE237A">
        <w:rPr>
          <w:rFonts w:ascii="Times New Roman" w:hAnsi="Times New Roman" w:cs="Times New Roman"/>
          <w:sz w:val="24"/>
          <w:szCs w:val="24"/>
        </w:rPr>
        <w:t xml:space="preserve">W.S. § </w:t>
      </w:r>
      <w:hyperlink r:id="rId93" w:history="1">
        <w:r w:rsidRPr="00BE237A">
          <w:rPr>
            <w:rStyle w:val="Hyperlink"/>
            <w:rFonts w:ascii="Times New Roman" w:hAnsi="Times New Roman" w:cs="Times New Roman"/>
            <w:sz w:val="24"/>
            <w:szCs w:val="24"/>
          </w:rPr>
          <w:t>27-14-403</w:t>
        </w:r>
      </w:hyperlink>
      <w:r>
        <w:rPr>
          <w:rFonts w:ascii="Times New Roman" w:hAnsi="Times New Roman" w:cs="Times New Roman"/>
          <w:sz w:val="24"/>
          <w:szCs w:val="24"/>
        </w:rPr>
        <w:t>(c)</w:t>
      </w:r>
      <w:r w:rsidRPr="00910BB7">
        <w:rPr>
          <w:rFonts w:ascii="Times New Roman" w:hAnsi="Times New Roman" w:cs="Times New Roman"/>
          <w:sz w:val="24"/>
          <w:szCs w:val="24"/>
          <w:vertAlign w:val="superscript"/>
        </w:rPr>
        <w:footnoteReference w:id="548"/>
      </w:r>
      <w:r>
        <w:rPr>
          <w:rFonts w:ascii="Times New Roman" w:hAnsi="Times New Roman" w:cs="Times New Roman"/>
          <w:sz w:val="24"/>
          <w:szCs w:val="24"/>
        </w:rPr>
        <w:t xml:space="preserve">: </w:t>
      </w:r>
    </w:p>
    <w:p w14:paraId="02F8FF59" w14:textId="2568B80D" w:rsidR="00FF7482" w:rsidRDefault="00FF7482" w:rsidP="00DC359D">
      <w:pPr>
        <w:pStyle w:val="ListParagraph"/>
        <w:ind w:left="0"/>
        <w:jc w:val="both"/>
        <w:rPr>
          <w:rFonts w:ascii="Times New Roman" w:hAnsi="Times New Roman" w:cs="Times New Roman"/>
          <w:sz w:val="24"/>
          <w:szCs w:val="24"/>
        </w:rPr>
      </w:pPr>
    </w:p>
    <w:p w14:paraId="3D697F7A" w14:textId="0D36DC05" w:rsidR="00FF7482" w:rsidRDefault="00FF7482" w:rsidP="00722E68">
      <w:pPr>
        <w:pStyle w:val="ListParagraph"/>
        <w:ind w:right="720"/>
        <w:jc w:val="both"/>
        <w:rPr>
          <w:rFonts w:ascii="Times New Roman" w:hAnsi="Times New Roman" w:cs="Times New Roman"/>
          <w:sz w:val="24"/>
          <w:szCs w:val="24"/>
        </w:rPr>
      </w:pPr>
      <w:r w:rsidRPr="00DC359D">
        <w:rPr>
          <w:rFonts w:ascii="Times New Roman" w:hAnsi="Times New Roman" w:cs="Times New Roman"/>
          <w:sz w:val="24"/>
          <w:szCs w:val="24"/>
        </w:rPr>
        <w:lastRenderedPageBreak/>
        <w:t>For temporary total disability</w:t>
      </w:r>
      <w:r>
        <w:rPr>
          <w:rFonts w:ascii="Times New Roman" w:hAnsi="Times New Roman" w:cs="Times New Roman"/>
          <w:sz w:val="24"/>
          <w:szCs w:val="24"/>
        </w:rPr>
        <w:t xml:space="preserve"> . . . </w:t>
      </w:r>
      <w:r w:rsidRPr="00DC359D">
        <w:rPr>
          <w:rFonts w:ascii="Times New Roman" w:hAnsi="Times New Roman" w:cs="Times New Roman"/>
          <w:sz w:val="24"/>
          <w:szCs w:val="24"/>
        </w:rPr>
        <w:t>the award shall be paid monthly at the rate of 30%</w:t>
      </w:r>
      <w:r>
        <w:rPr>
          <w:rFonts w:ascii="Times New Roman" w:hAnsi="Times New Roman" w:cs="Times New Roman"/>
          <w:sz w:val="24"/>
          <w:szCs w:val="24"/>
        </w:rPr>
        <w:t xml:space="preserve"> </w:t>
      </w:r>
      <w:r w:rsidRPr="00DC359D">
        <w:rPr>
          <w:rFonts w:ascii="Times New Roman" w:hAnsi="Times New Roman" w:cs="Times New Roman"/>
          <w:sz w:val="24"/>
          <w:szCs w:val="24"/>
        </w:rPr>
        <w:t>of the statewide average monthly wage or 2/3</w:t>
      </w:r>
      <w:r>
        <w:rPr>
          <w:rFonts w:ascii="Times New Roman" w:hAnsi="Times New Roman" w:cs="Times New Roman"/>
          <w:sz w:val="24"/>
          <w:szCs w:val="24"/>
        </w:rPr>
        <w:t xml:space="preserve"> </w:t>
      </w:r>
      <w:r w:rsidRPr="00DC359D">
        <w:rPr>
          <w:rFonts w:ascii="Times New Roman" w:hAnsi="Times New Roman" w:cs="Times New Roman"/>
          <w:sz w:val="24"/>
          <w:szCs w:val="24"/>
        </w:rPr>
        <w:t>of the injured employee</w:t>
      </w:r>
      <w:r>
        <w:rPr>
          <w:rFonts w:ascii="Times New Roman" w:hAnsi="Times New Roman" w:cs="Times New Roman"/>
          <w:sz w:val="24"/>
          <w:szCs w:val="24"/>
        </w:rPr>
        <w:t>’</w:t>
      </w:r>
      <w:r w:rsidRPr="00DC359D">
        <w:rPr>
          <w:rFonts w:ascii="Times New Roman" w:hAnsi="Times New Roman" w:cs="Times New Roman"/>
          <w:sz w:val="24"/>
          <w:szCs w:val="24"/>
        </w:rPr>
        <w:t>s actual monthly earnings at the time of injury, whichever is greater, but shall not exceed the lesser of 100%</w:t>
      </w:r>
      <w:r>
        <w:rPr>
          <w:rFonts w:ascii="Times New Roman" w:hAnsi="Times New Roman" w:cs="Times New Roman"/>
          <w:sz w:val="24"/>
          <w:szCs w:val="24"/>
        </w:rPr>
        <w:t xml:space="preserve"> </w:t>
      </w:r>
      <w:r w:rsidRPr="00DC359D">
        <w:rPr>
          <w:rFonts w:ascii="Times New Roman" w:hAnsi="Times New Roman" w:cs="Times New Roman"/>
          <w:sz w:val="24"/>
          <w:szCs w:val="24"/>
        </w:rPr>
        <w:t>of the injured employee</w:t>
      </w:r>
      <w:r>
        <w:rPr>
          <w:rFonts w:ascii="Times New Roman" w:hAnsi="Times New Roman" w:cs="Times New Roman"/>
          <w:sz w:val="24"/>
          <w:szCs w:val="24"/>
        </w:rPr>
        <w:t>’</w:t>
      </w:r>
      <w:r w:rsidRPr="00DC359D">
        <w:rPr>
          <w:rFonts w:ascii="Times New Roman" w:hAnsi="Times New Roman" w:cs="Times New Roman"/>
          <w:sz w:val="24"/>
          <w:szCs w:val="24"/>
        </w:rPr>
        <w:t xml:space="preserve">s actual monthly earnings at the time of the injury or </w:t>
      </w:r>
      <w:bookmarkStart w:id="767" w:name="_Hlk528525755"/>
      <w:r w:rsidRPr="00DC359D">
        <w:rPr>
          <w:rFonts w:ascii="Times New Roman" w:hAnsi="Times New Roman" w:cs="Times New Roman"/>
          <w:sz w:val="24"/>
          <w:szCs w:val="24"/>
        </w:rPr>
        <w:t>the statewide average monthly wage for the 12 month period immediately preceding the quarterly period in which the injury occurred</w:t>
      </w:r>
      <w:bookmarkEnd w:id="767"/>
      <w:r w:rsidRPr="00DC359D">
        <w:rPr>
          <w:rFonts w:ascii="Times New Roman" w:hAnsi="Times New Roman" w:cs="Times New Roman"/>
          <w:sz w:val="24"/>
          <w:szCs w:val="24"/>
        </w:rPr>
        <w:t xml:space="preserve"> with ½</w:t>
      </w:r>
      <w:r>
        <w:rPr>
          <w:rFonts w:ascii="Times New Roman" w:hAnsi="Times New Roman" w:cs="Times New Roman"/>
          <w:sz w:val="24"/>
          <w:szCs w:val="24"/>
        </w:rPr>
        <w:t xml:space="preserve"> </w:t>
      </w:r>
      <w:r w:rsidRPr="00DC359D">
        <w:rPr>
          <w:rFonts w:ascii="Times New Roman" w:hAnsi="Times New Roman" w:cs="Times New Roman"/>
          <w:sz w:val="24"/>
          <w:szCs w:val="24"/>
        </w:rPr>
        <w:t>of the monthly award paid on or about the fifteenth of the month and</w:t>
      </w:r>
      <w:r>
        <w:rPr>
          <w:rFonts w:ascii="Times New Roman" w:hAnsi="Times New Roman" w:cs="Times New Roman"/>
          <w:sz w:val="24"/>
          <w:szCs w:val="24"/>
        </w:rPr>
        <w:t xml:space="preserve"> </w:t>
      </w:r>
      <w:r w:rsidRPr="00DC359D">
        <w:rPr>
          <w:rFonts w:ascii="Times New Roman" w:hAnsi="Times New Roman" w:cs="Times New Roman"/>
          <w:sz w:val="24"/>
          <w:szCs w:val="24"/>
        </w:rPr>
        <w:t>½ paid on or about the thirtieth of the month.</w:t>
      </w:r>
    </w:p>
    <w:p w14:paraId="628942D9" w14:textId="46D66DF3" w:rsidR="00FF7482" w:rsidRDefault="00FF7482" w:rsidP="00DC359D">
      <w:pPr>
        <w:pStyle w:val="ListParagraph"/>
        <w:ind w:right="720"/>
        <w:jc w:val="both"/>
        <w:rPr>
          <w:rFonts w:ascii="Times New Roman" w:hAnsi="Times New Roman" w:cs="Times New Roman"/>
          <w:sz w:val="24"/>
          <w:szCs w:val="24"/>
        </w:rPr>
      </w:pPr>
    </w:p>
    <w:p w14:paraId="64D1A14A" w14:textId="60A2C1DF" w:rsidR="00FF7482" w:rsidRDefault="00FF7482" w:rsidP="00DC359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other words, there are </w:t>
      </w:r>
      <w:r w:rsidRPr="00E94BE8">
        <w:rPr>
          <w:rFonts w:ascii="Times New Roman" w:hAnsi="Times New Roman" w:cs="Times New Roman"/>
          <w:b/>
          <w:sz w:val="24"/>
          <w:szCs w:val="24"/>
          <w:u w:val="single"/>
        </w:rPr>
        <w:t>two calculations</w:t>
      </w:r>
      <w:r>
        <w:rPr>
          <w:rFonts w:ascii="Times New Roman" w:hAnsi="Times New Roman" w:cs="Times New Roman"/>
          <w:sz w:val="24"/>
          <w:szCs w:val="24"/>
        </w:rPr>
        <w:t xml:space="preserve"> that must be performed to calculate the temporary total disability benefit.</w:t>
      </w:r>
    </w:p>
    <w:p w14:paraId="0D482B5E" w14:textId="77777777" w:rsidR="00FF7482" w:rsidRDefault="00FF7482" w:rsidP="00DC359D">
      <w:pPr>
        <w:pStyle w:val="ListParagraph"/>
        <w:ind w:left="0"/>
        <w:jc w:val="both"/>
        <w:rPr>
          <w:rFonts w:ascii="Times New Roman" w:hAnsi="Times New Roman" w:cs="Times New Roman"/>
          <w:sz w:val="24"/>
          <w:szCs w:val="24"/>
        </w:rPr>
      </w:pPr>
    </w:p>
    <w:p w14:paraId="0615A52E" w14:textId="6E7238FE" w:rsidR="00002773" w:rsidRPr="00002773" w:rsidRDefault="00FF7482" w:rsidP="001A2150">
      <w:pPr>
        <w:pStyle w:val="ListParagraph"/>
        <w:numPr>
          <w:ilvl w:val="0"/>
          <w:numId w:val="6"/>
        </w:numPr>
        <w:contextualSpacing w:val="0"/>
        <w:jc w:val="both"/>
        <w:rPr>
          <w:rFonts w:ascii="Times New Roman" w:hAnsi="Times New Roman" w:cs="Times New Roman"/>
          <w:sz w:val="24"/>
          <w:szCs w:val="24"/>
        </w:rPr>
      </w:pPr>
      <w:r w:rsidRPr="00DC359D">
        <w:rPr>
          <w:rFonts w:ascii="Times New Roman" w:hAnsi="Times New Roman" w:cs="Times New Roman"/>
          <w:b/>
          <w:sz w:val="24"/>
          <w:szCs w:val="24"/>
        </w:rPr>
        <w:t>EITHER</w:t>
      </w:r>
      <w:r>
        <w:rPr>
          <w:rFonts w:ascii="Times New Roman" w:hAnsi="Times New Roman" w:cs="Times New Roman"/>
          <w:sz w:val="24"/>
          <w:szCs w:val="24"/>
        </w:rPr>
        <w:t xml:space="preserve"> 30% of the statewide average monthly wage (</w:t>
      </w:r>
      <w:r w:rsidRPr="000F0D21">
        <w:rPr>
          <w:rFonts w:ascii="Times New Roman" w:hAnsi="Times New Roman" w:cs="Times New Roman"/>
          <w:b/>
          <w:sz w:val="24"/>
          <w:szCs w:val="24"/>
        </w:rPr>
        <w:t>SAMW</w:t>
      </w:r>
      <w:r>
        <w:rPr>
          <w:rFonts w:ascii="Times New Roman" w:hAnsi="Times New Roman" w:cs="Times New Roman"/>
          <w:sz w:val="24"/>
          <w:szCs w:val="24"/>
        </w:rPr>
        <w:t xml:space="preserve">) </w:t>
      </w:r>
      <w:r w:rsidRPr="00DC359D">
        <w:rPr>
          <w:rFonts w:ascii="Times New Roman" w:hAnsi="Times New Roman" w:cs="Times New Roman"/>
          <w:b/>
          <w:sz w:val="24"/>
          <w:szCs w:val="24"/>
        </w:rPr>
        <w:t>OR</w:t>
      </w:r>
      <w:r>
        <w:rPr>
          <w:rFonts w:ascii="Times New Roman" w:hAnsi="Times New Roman" w:cs="Times New Roman"/>
          <w:sz w:val="24"/>
          <w:szCs w:val="24"/>
        </w:rPr>
        <w:t xml:space="preserve"> 2/3 of the employee’s pre-injury monthly wage, </w:t>
      </w:r>
      <w:r w:rsidRPr="00DC359D">
        <w:rPr>
          <w:rFonts w:ascii="Times New Roman" w:hAnsi="Times New Roman" w:cs="Times New Roman"/>
          <w:b/>
          <w:sz w:val="24"/>
          <w:szCs w:val="24"/>
        </w:rPr>
        <w:t>whichever is greater</w:t>
      </w:r>
      <w:r w:rsidR="005C123F">
        <w:rPr>
          <w:rFonts w:ascii="Times New Roman" w:hAnsi="Times New Roman" w:cs="Times New Roman"/>
          <w:b/>
          <w:sz w:val="24"/>
          <w:szCs w:val="24"/>
        </w:rPr>
        <w:t>.</w:t>
      </w:r>
    </w:p>
    <w:p w14:paraId="026DBAEA" w14:textId="7C9D6D85" w:rsidR="00513A09" w:rsidRPr="00002773" w:rsidRDefault="00FF7482" w:rsidP="001A2150">
      <w:pPr>
        <w:pStyle w:val="ListParagraph"/>
        <w:numPr>
          <w:ilvl w:val="0"/>
          <w:numId w:val="6"/>
        </w:numPr>
        <w:contextualSpacing w:val="0"/>
        <w:jc w:val="both"/>
        <w:rPr>
          <w:rFonts w:ascii="Times New Roman" w:hAnsi="Times New Roman" w:cs="Times New Roman"/>
          <w:sz w:val="24"/>
          <w:szCs w:val="24"/>
        </w:rPr>
      </w:pPr>
      <w:bookmarkStart w:id="768" w:name="_Hlk24633897"/>
      <w:r w:rsidRPr="00E94BE8">
        <w:rPr>
          <w:rFonts w:ascii="Times New Roman" w:hAnsi="Times New Roman" w:cs="Times New Roman"/>
          <w:b/>
          <w:i/>
          <w:sz w:val="24"/>
          <w:szCs w:val="24"/>
        </w:rPr>
        <w:t>That</w:t>
      </w:r>
      <w:r w:rsidRPr="002C1230">
        <w:rPr>
          <w:rFonts w:ascii="Times New Roman" w:hAnsi="Times New Roman" w:cs="Times New Roman"/>
          <w:b/>
          <w:sz w:val="24"/>
          <w:szCs w:val="24"/>
        </w:rPr>
        <w:t xml:space="preserve"> figure</w:t>
      </w:r>
      <w:r>
        <w:rPr>
          <w:rFonts w:ascii="Times New Roman" w:hAnsi="Times New Roman" w:cs="Times New Roman"/>
          <w:sz w:val="24"/>
          <w:szCs w:val="24"/>
        </w:rPr>
        <w:t xml:space="preserve"> </w:t>
      </w:r>
      <w:r w:rsidRPr="002C1230">
        <w:rPr>
          <w:rFonts w:ascii="Times New Roman" w:hAnsi="Times New Roman" w:cs="Times New Roman"/>
          <w:b/>
          <w:sz w:val="24"/>
          <w:szCs w:val="24"/>
        </w:rPr>
        <w:t>“shall not exceed” the lesser of</w:t>
      </w:r>
      <w:r>
        <w:rPr>
          <w:rFonts w:ascii="Times New Roman" w:hAnsi="Times New Roman" w:cs="Times New Roman"/>
          <w:sz w:val="24"/>
          <w:szCs w:val="24"/>
        </w:rPr>
        <w:t xml:space="preserve"> the employee’s </w:t>
      </w:r>
      <w:r w:rsidRPr="002C1230">
        <w:rPr>
          <w:rFonts w:ascii="Times New Roman" w:hAnsi="Times New Roman" w:cs="Times New Roman"/>
          <w:b/>
          <w:sz w:val="24"/>
          <w:szCs w:val="24"/>
        </w:rPr>
        <w:t>actual pre-injury monthly wage</w:t>
      </w:r>
      <w:r>
        <w:rPr>
          <w:rFonts w:ascii="Times New Roman" w:hAnsi="Times New Roman" w:cs="Times New Roman"/>
          <w:sz w:val="24"/>
          <w:szCs w:val="24"/>
        </w:rPr>
        <w:t xml:space="preserve"> or </w:t>
      </w:r>
      <w:r w:rsidRPr="002C1230">
        <w:rPr>
          <w:rFonts w:ascii="Times New Roman" w:hAnsi="Times New Roman" w:cs="Times New Roman"/>
          <w:b/>
          <w:sz w:val="24"/>
          <w:szCs w:val="24"/>
        </w:rPr>
        <w:t>the statewide average monthly wage</w:t>
      </w:r>
      <w:r w:rsidRPr="00DC359D">
        <w:rPr>
          <w:rFonts w:ascii="Times New Roman" w:hAnsi="Times New Roman" w:cs="Times New Roman"/>
          <w:sz w:val="24"/>
          <w:szCs w:val="24"/>
        </w:rPr>
        <w:t xml:space="preserve"> </w:t>
      </w:r>
      <w:r>
        <w:rPr>
          <w:rFonts w:ascii="Times New Roman" w:hAnsi="Times New Roman" w:cs="Times New Roman"/>
          <w:sz w:val="24"/>
          <w:szCs w:val="24"/>
        </w:rPr>
        <w:t>looking back</w:t>
      </w:r>
      <w:r w:rsidRPr="00DC359D">
        <w:rPr>
          <w:rFonts w:ascii="Times New Roman" w:hAnsi="Times New Roman" w:cs="Times New Roman"/>
          <w:sz w:val="24"/>
          <w:szCs w:val="24"/>
        </w:rPr>
        <w:t xml:space="preserve"> twelve month</w:t>
      </w:r>
      <w:r>
        <w:rPr>
          <w:rFonts w:ascii="Times New Roman" w:hAnsi="Times New Roman" w:cs="Times New Roman"/>
          <w:sz w:val="24"/>
          <w:szCs w:val="24"/>
        </w:rPr>
        <w:t>s</w:t>
      </w:r>
      <w:r w:rsidRPr="00DC359D">
        <w:rPr>
          <w:rFonts w:ascii="Times New Roman" w:hAnsi="Times New Roman" w:cs="Times New Roman"/>
          <w:sz w:val="24"/>
          <w:szCs w:val="24"/>
        </w:rPr>
        <w:t xml:space="preserve"> </w:t>
      </w:r>
      <w:r>
        <w:rPr>
          <w:rFonts w:ascii="Times New Roman" w:hAnsi="Times New Roman" w:cs="Times New Roman"/>
          <w:sz w:val="24"/>
          <w:szCs w:val="24"/>
        </w:rPr>
        <w:t xml:space="preserve">from the </w:t>
      </w:r>
      <w:r w:rsidRPr="00DC359D">
        <w:rPr>
          <w:rFonts w:ascii="Times New Roman" w:hAnsi="Times New Roman" w:cs="Times New Roman"/>
          <w:sz w:val="24"/>
          <w:szCs w:val="24"/>
        </w:rPr>
        <w:t>immediately preceding quarterly period in which the injury occurred</w:t>
      </w:r>
      <w:r>
        <w:rPr>
          <w:rFonts w:ascii="Times New Roman" w:hAnsi="Times New Roman" w:cs="Times New Roman"/>
          <w:sz w:val="24"/>
          <w:szCs w:val="24"/>
        </w:rPr>
        <w:t>.</w:t>
      </w:r>
      <w:r w:rsidR="005C123F">
        <w:rPr>
          <w:rFonts w:ascii="Times New Roman" w:hAnsi="Times New Roman" w:cs="Times New Roman"/>
          <w:sz w:val="24"/>
          <w:szCs w:val="24"/>
        </w:rPr>
        <w:t xml:space="preserve"> </w:t>
      </w:r>
    </w:p>
    <w:bookmarkEnd w:id="768"/>
    <w:p w14:paraId="30844F22" w14:textId="2ED7E3D3" w:rsidR="00FF7482" w:rsidRDefault="00FF7482" w:rsidP="001A2150">
      <w:pPr>
        <w:pStyle w:val="ListParagraph"/>
        <w:spacing w:after="0"/>
        <w:contextualSpacing w:val="0"/>
        <w:jc w:val="both"/>
        <w:rPr>
          <w:rFonts w:ascii="Times New Roman" w:hAnsi="Times New Roman" w:cs="Times New Roman"/>
          <w:b/>
          <w:sz w:val="24"/>
          <w:szCs w:val="24"/>
        </w:rPr>
      </w:pPr>
      <w:r w:rsidRPr="005C123F">
        <w:rPr>
          <w:rFonts w:ascii="Times New Roman" w:hAnsi="Times New Roman" w:cs="Times New Roman"/>
          <w:b/>
          <w:sz w:val="24"/>
          <w:szCs w:val="24"/>
        </w:rPr>
        <w:t xml:space="preserve">For many workers this will mean the benefits will consist of 2/3 of the employee’s average monthly wage </w:t>
      </w:r>
      <w:r w:rsidRPr="005C123F">
        <w:rPr>
          <w:rFonts w:ascii="Times New Roman" w:hAnsi="Times New Roman" w:cs="Times New Roman"/>
          <w:b/>
          <w:sz w:val="24"/>
          <w:szCs w:val="24"/>
          <w:u w:val="single"/>
        </w:rPr>
        <w:t>capped at the statewide average monthly wage</w:t>
      </w:r>
      <w:r w:rsidRPr="005C123F">
        <w:rPr>
          <w:rFonts w:ascii="Times New Roman" w:hAnsi="Times New Roman" w:cs="Times New Roman"/>
          <w:b/>
          <w:sz w:val="24"/>
          <w:szCs w:val="24"/>
        </w:rPr>
        <w:t xml:space="preserve"> (looking back a year from the quarter in which the injury occurred). </w:t>
      </w:r>
    </w:p>
    <w:p w14:paraId="2B4BE441" w14:textId="77777777" w:rsidR="00002773" w:rsidRPr="00002773" w:rsidRDefault="00002773" w:rsidP="001A2150">
      <w:pPr>
        <w:pStyle w:val="ListParagraph"/>
        <w:spacing w:after="0"/>
        <w:contextualSpacing w:val="0"/>
        <w:jc w:val="both"/>
        <w:rPr>
          <w:rFonts w:ascii="Times New Roman" w:hAnsi="Times New Roman" w:cs="Times New Roman"/>
          <w:sz w:val="24"/>
          <w:szCs w:val="24"/>
        </w:rPr>
      </w:pPr>
    </w:p>
    <w:p w14:paraId="05FAD33D" w14:textId="6327091B" w:rsidR="00FF7482" w:rsidRDefault="00FF7482" w:rsidP="001A215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For example, assume an employee earning $40 per hour pre-injury (about $6,933 per month); and a SAMW of $3,757 (which was the Quarter 2, 2018 figure). 30% of the SAMW is about $1,127. 2/3 of the employee’s pre-injury wage of $6,933 is about $4,624. The $4,624 figure is obviously greater than $1,127 and would have constituted the benefit amount </w:t>
      </w:r>
      <w:r w:rsidRPr="00B23892">
        <w:rPr>
          <w:rFonts w:ascii="Times New Roman" w:hAnsi="Times New Roman" w:cs="Times New Roman"/>
          <w:b/>
          <w:i/>
          <w:sz w:val="24"/>
          <w:szCs w:val="24"/>
        </w:rPr>
        <w:t>except that</w:t>
      </w:r>
      <w:r>
        <w:rPr>
          <w:rFonts w:ascii="Times New Roman" w:hAnsi="Times New Roman" w:cs="Times New Roman"/>
          <w:sz w:val="24"/>
          <w:szCs w:val="24"/>
        </w:rPr>
        <w:t xml:space="preserve"> it is greater than the SAMW of $3,757, which acts as a cap. The employee’s temporary total monthly benefit will be the SAMW of $3,757</w:t>
      </w:r>
      <w:r w:rsidR="004B2D72">
        <w:rPr>
          <w:rFonts w:ascii="Times New Roman" w:hAnsi="Times New Roman" w:cs="Times New Roman"/>
          <w:sz w:val="24"/>
          <w:szCs w:val="24"/>
        </w:rPr>
        <w:t xml:space="preserve">. </w:t>
      </w:r>
    </w:p>
    <w:p w14:paraId="6B952B05" w14:textId="77777777" w:rsidR="00FC43B8" w:rsidRPr="00FC43B8" w:rsidRDefault="00FC43B8" w:rsidP="00FC43B8">
      <w:pPr>
        <w:pStyle w:val="ListParagraph"/>
        <w:spacing w:after="0"/>
        <w:ind w:left="0"/>
        <w:jc w:val="both"/>
        <w:rPr>
          <w:rFonts w:ascii="Times New Roman" w:hAnsi="Times New Roman" w:cs="Times New Roman"/>
          <w:sz w:val="24"/>
          <w:szCs w:val="24"/>
        </w:rPr>
      </w:pPr>
    </w:p>
    <w:p w14:paraId="7CDD4313" w14:textId="17361040" w:rsidR="00FF7482" w:rsidRPr="00A75A86" w:rsidRDefault="00FF7482" w:rsidP="00FC43B8">
      <w:pPr>
        <w:pStyle w:val="Heading2"/>
        <w:rPr>
          <w:rFonts w:ascii="Times New Roman" w:hAnsi="Times New Roman" w:cs="Times New Roman"/>
          <w:b/>
          <w:color w:val="auto"/>
          <w:sz w:val="28"/>
          <w:szCs w:val="28"/>
        </w:rPr>
      </w:pPr>
      <w:bookmarkStart w:id="769" w:name="_Toc75269401"/>
      <w:r w:rsidRPr="00A75A86">
        <w:rPr>
          <w:rFonts w:ascii="Times New Roman" w:hAnsi="Times New Roman" w:cs="Times New Roman"/>
          <w:b/>
          <w:color w:val="auto"/>
          <w:sz w:val="28"/>
          <w:szCs w:val="28"/>
        </w:rPr>
        <w:t>Permanent Total Disability Benefits in Wyoming</w:t>
      </w:r>
      <w:bookmarkEnd w:id="769"/>
    </w:p>
    <w:p w14:paraId="4B7D6BE0" w14:textId="6589EB01" w:rsidR="00FF7482" w:rsidRDefault="00FF7482" w:rsidP="00F47A33">
      <w:pPr>
        <w:spacing w:after="0"/>
      </w:pPr>
    </w:p>
    <w:p w14:paraId="770979E0" w14:textId="6B32FF7A" w:rsidR="00FF7482" w:rsidRDefault="00FF7482" w:rsidP="00EB5B22">
      <w:pPr>
        <w:pStyle w:val="ListParagraph"/>
        <w:ind w:left="0"/>
        <w:jc w:val="both"/>
        <w:rPr>
          <w:rFonts w:ascii="Times New Roman" w:hAnsi="Times New Roman" w:cs="Times New Roman"/>
          <w:sz w:val="24"/>
          <w:szCs w:val="24"/>
        </w:rPr>
      </w:pPr>
      <w:r w:rsidRPr="003E298B">
        <w:rPr>
          <w:rFonts w:ascii="Times New Roman" w:hAnsi="Times New Roman" w:cs="Times New Roman"/>
          <w:b/>
          <w:sz w:val="24"/>
          <w:szCs w:val="24"/>
        </w:rPr>
        <w:t>“‘</w:t>
      </w:r>
      <w:r w:rsidRPr="00EB5B22">
        <w:rPr>
          <w:rFonts w:ascii="Times New Roman" w:hAnsi="Times New Roman" w:cs="Times New Roman"/>
          <w:b/>
          <w:sz w:val="24"/>
          <w:szCs w:val="24"/>
          <w:u w:val="single"/>
        </w:rPr>
        <w:t>Permanent total disability’ means the loss of use of the body as a whole or any permanent injury certified under W.S.</w:t>
      </w:r>
      <w:r w:rsidR="00FC43B8">
        <w:rPr>
          <w:rFonts w:ascii="Times New Roman" w:hAnsi="Times New Roman" w:cs="Times New Roman"/>
          <w:b/>
          <w:sz w:val="24"/>
          <w:szCs w:val="24"/>
          <w:u w:val="single"/>
        </w:rPr>
        <w:t xml:space="preserve"> </w:t>
      </w:r>
      <w:r w:rsidR="00FC43B8" w:rsidRPr="00FC43B8">
        <w:rPr>
          <w:rFonts w:ascii="Times New Roman" w:hAnsi="Times New Roman" w:cs="Times New Roman"/>
          <w:b/>
          <w:sz w:val="24"/>
          <w:szCs w:val="24"/>
          <w:u w:val="single"/>
        </w:rPr>
        <w:t>§</w:t>
      </w:r>
      <w:r w:rsidRPr="00EB5B22">
        <w:rPr>
          <w:rFonts w:ascii="Times New Roman" w:hAnsi="Times New Roman" w:cs="Times New Roman"/>
          <w:b/>
          <w:sz w:val="24"/>
          <w:szCs w:val="24"/>
          <w:u w:val="single"/>
        </w:rPr>
        <w:t xml:space="preserve"> </w:t>
      </w:r>
      <w:hyperlink r:id="rId94" w:history="1">
        <w:r w:rsidRPr="00BE237A">
          <w:rPr>
            <w:rStyle w:val="Hyperlink"/>
            <w:rFonts w:ascii="Times New Roman" w:hAnsi="Times New Roman" w:cs="Times New Roman"/>
            <w:b/>
            <w:sz w:val="24"/>
            <w:szCs w:val="24"/>
          </w:rPr>
          <w:t>27-14-406</w:t>
        </w:r>
      </w:hyperlink>
      <w:r w:rsidRPr="00EB5B22">
        <w:rPr>
          <w:rFonts w:ascii="Times New Roman" w:hAnsi="Times New Roman" w:cs="Times New Roman"/>
          <w:b/>
          <w:sz w:val="24"/>
          <w:szCs w:val="24"/>
          <w:u w:val="single"/>
        </w:rPr>
        <w:t>, which permanently incapacitates the employee from performing work at any gainful occupation for which he is reasonably suited by experience or training.</w:t>
      </w:r>
      <w:r w:rsidRPr="00FC43B8">
        <w:rPr>
          <w:rFonts w:ascii="Times New Roman" w:hAnsi="Times New Roman" w:cs="Times New Roman"/>
          <w:b/>
          <w:bCs/>
          <w:sz w:val="24"/>
          <w:szCs w:val="24"/>
        </w:rPr>
        <w:t>”</w:t>
      </w:r>
      <w:r w:rsidR="009B1C8E" w:rsidRPr="004872FB">
        <w:rPr>
          <w:rStyle w:val="FootnoteReference"/>
          <w:rFonts w:ascii="Times New Roman" w:hAnsi="Times New Roman" w:cs="Times New Roman"/>
          <w:sz w:val="24"/>
          <w:szCs w:val="24"/>
        </w:rPr>
        <w:footnoteReference w:id="549"/>
      </w:r>
      <w:r>
        <w:rPr>
          <w:rFonts w:ascii="Times New Roman" w:hAnsi="Times New Roman" w:cs="Times New Roman"/>
          <w:sz w:val="24"/>
          <w:szCs w:val="24"/>
        </w:rPr>
        <w:t xml:space="preserve"> In turn, </w:t>
      </w:r>
      <w:r w:rsidRPr="006C739F">
        <w:rPr>
          <w:rFonts w:ascii="Times New Roman" w:hAnsi="Times New Roman" w:cs="Times New Roman"/>
          <w:sz w:val="24"/>
          <w:szCs w:val="24"/>
        </w:rPr>
        <w:t xml:space="preserve">W.S. § </w:t>
      </w:r>
      <w:hyperlink r:id="rId95" w:history="1">
        <w:r w:rsidRPr="006C739F">
          <w:rPr>
            <w:rStyle w:val="Hyperlink"/>
            <w:rFonts w:ascii="Times New Roman" w:hAnsi="Times New Roman" w:cs="Times New Roman"/>
            <w:sz w:val="24"/>
            <w:szCs w:val="24"/>
          </w:rPr>
          <w:t>27-14-406</w:t>
        </w:r>
      </w:hyperlink>
      <w:r>
        <w:rPr>
          <w:rFonts w:ascii="Times New Roman" w:hAnsi="Times New Roman" w:cs="Times New Roman"/>
          <w:sz w:val="24"/>
          <w:szCs w:val="24"/>
        </w:rPr>
        <w:t xml:space="preserve"> states in relevant part that “</w:t>
      </w:r>
      <w:r w:rsidRPr="00D66374">
        <w:rPr>
          <w:rFonts w:ascii="Times New Roman" w:hAnsi="Times New Roman" w:cs="Times New Roman"/>
          <w:sz w:val="24"/>
          <w:szCs w:val="24"/>
        </w:rPr>
        <w:t xml:space="preserve">upon certification by a physician licensed to practice surgery or medicine that an injury results in permanent total disability as </w:t>
      </w:r>
      <w:r w:rsidRPr="00D66374">
        <w:rPr>
          <w:rFonts w:ascii="Times New Roman" w:hAnsi="Times New Roman" w:cs="Times New Roman"/>
          <w:sz w:val="24"/>
          <w:szCs w:val="24"/>
        </w:rPr>
        <w:lastRenderedPageBreak/>
        <w:t xml:space="preserve">defined under W.S. </w:t>
      </w:r>
      <w:r>
        <w:rPr>
          <w:rFonts w:ascii="Times New Roman" w:hAnsi="Times New Roman" w:cs="Times New Roman"/>
          <w:sz w:val="24"/>
          <w:szCs w:val="24"/>
        </w:rPr>
        <w:t xml:space="preserve">§ </w:t>
      </w:r>
      <w:hyperlink r:id="rId96" w:history="1">
        <w:r w:rsidRPr="006C739F">
          <w:rPr>
            <w:rStyle w:val="Hyperlink"/>
            <w:rFonts w:ascii="Times New Roman" w:hAnsi="Times New Roman" w:cs="Times New Roman"/>
            <w:sz w:val="24"/>
            <w:szCs w:val="24"/>
          </w:rPr>
          <w:t>27-14-102</w:t>
        </w:r>
      </w:hyperlink>
      <w:r w:rsidRPr="00D66374">
        <w:rPr>
          <w:rFonts w:ascii="Times New Roman" w:hAnsi="Times New Roman" w:cs="Times New Roman"/>
          <w:sz w:val="24"/>
          <w:szCs w:val="24"/>
        </w:rPr>
        <w:t xml:space="preserve">(a)(xvi), an injured employee shall </w:t>
      </w:r>
      <w:r w:rsidRPr="00D66374">
        <w:rPr>
          <w:rFonts w:ascii="Times New Roman" w:hAnsi="Times New Roman" w:cs="Times New Roman"/>
          <w:b/>
          <w:sz w:val="24"/>
          <w:szCs w:val="24"/>
          <w:u w:val="single"/>
        </w:rPr>
        <w:t>receive for eighty (80) months</w:t>
      </w:r>
      <w:r w:rsidRPr="00D66374">
        <w:rPr>
          <w:rFonts w:ascii="Times New Roman" w:hAnsi="Times New Roman" w:cs="Times New Roman"/>
          <w:sz w:val="24"/>
          <w:szCs w:val="24"/>
        </w:rPr>
        <w:t xml:space="preserve"> a monthly payment as provided by</w:t>
      </w:r>
      <w:r>
        <w:rPr>
          <w:rFonts w:ascii="Times New Roman" w:hAnsi="Times New Roman" w:cs="Times New Roman"/>
          <w:sz w:val="24"/>
          <w:szCs w:val="24"/>
        </w:rPr>
        <w:t xml:space="preserve"> [benefit calculation provisions, </w:t>
      </w:r>
      <w:r w:rsidRPr="00D66374">
        <w:rPr>
          <w:rFonts w:ascii="Times New Roman" w:hAnsi="Times New Roman" w:cs="Times New Roman"/>
          <w:i/>
          <w:sz w:val="24"/>
          <w:szCs w:val="24"/>
        </w:rPr>
        <w:t>see infra</w:t>
      </w:r>
      <w:r>
        <w:rPr>
          <w:rFonts w:ascii="Times New Roman" w:hAnsi="Times New Roman" w:cs="Times New Roman"/>
          <w:sz w:val="24"/>
          <w:szCs w:val="24"/>
        </w:rPr>
        <w:t xml:space="preserve">.]. As written, </w:t>
      </w:r>
      <w:r w:rsidRPr="006C739F">
        <w:rPr>
          <w:rFonts w:ascii="Times New Roman" w:hAnsi="Times New Roman" w:cs="Times New Roman"/>
          <w:sz w:val="24"/>
          <w:szCs w:val="24"/>
        </w:rPr>
        <w:t xml:space="preserve">W.S  § </w:t>
      </w:r>
      <w:hyperlink r:id="rId97" w:history="1">
        <w:r w:rsidRPr="006C739F">
          <w:rPr>
            <w:rStyle w:val="Hyperlink"/>
            <w:rFonts w:ascii="Times New Roman" w:hAnsi="Times New Roman" w:cs="Times New Roman"/>
            <w:sz w:val="24"/>
            <w:szCs w:val="24"/>
          </w:rPr>
          <w:t>27-14-102</w:t>
        </w:r>
      </w:hyperlink>
      <w:r>
        <w:rPr>
          <w:rFonts w:ascii="Times New Roman" w:hAnsi="Times New Roman" w:cs="Times New Roman"/>
          <w:sz w:val="24"/>
          <w:szCs w:val="24"/>
        </w:rPr>
        <w:t xml:space="preserve">(a)(xvi) is harsh, and nothing in </w:t>
      </w:r>
      <w:r w:rsidRPr="006C739F">
        <w:rPr>
          <w:rFonts w:ascii="Times New Roman" w:hAnsi="Times New Roman" w:cs="Times New Roman"/>
          <w:sz w:val="24"/>
          <w:szCs w:val="24"/>
        </w:rPr>
        <w:t xml:space="preserve">W.S. § </w:t>
      </w:r>
      <w:hyperlink r:id="rId98" w:history="1">
        <w:r w:rsidRPr="006C739F">
          <w:rPr>
            <w:rStyle w:val="Hyperlink"/>
            <w:rFonts w:ascii="Times New Roman" w:hAnsi="Times New Roman" w:cs="Times New Roman"/>
            <w:sz w:val="24"/>
            <w:szCs w:val="24"/>
          </w:rPr>
          <w:t>27-14-406</w:t>
        </w:r>
      </w:hyperlink>
      <w:r>
        <w:rPr>
          <w:rFonts w:ascii="Times New Roman" w:hAnsi="Times New Roman" w:cs="Times New Roman"/>
          <w:sz w:val="24"/>
          <w:szCs w:val="24"/>
        </w:rPr>
        <w:t xml:space="preserve"> appears to ameliorate the harshness. </w:t>
      </w:r>
      <w:r w:rsidRPr="00176BE0">
        <w:rPr>
          <w:rFonts w:ascii="Times New Roman" w:hAnsi="Times New Roman" w:cs="Times New Roman"/>
          <w:b/>
          <w:sz w:val="24"/>
          <w:szCs w:val="24"/>
          <w:u w:val="single"/>
        </w:rPr>
        <w:t>I</w:t>
      </w:r>
      <w:r w:rsidRPr="00D66374">
        <w:rPr>
          <w:rFonts w:ascii="Times New Roman" w:hAnsi="Times New Roman" w:cs="Times New Roman"/>
          <w:b/>
          <w:sz w:val="24"/>
          <w:szCs w:val="24"/>
          <w:u w:val="single"/>
        </w:rPr>
        <w:t>t is rare for a workers’ compensation statute to require</w:t>
      </w:r>
      <w:r>
        <w:rPr>
          <w:rFonts w:ascii="Times New Roman" w:hAnsi="Times New Roman" w:cs="Times New Roman"/>
          <w:b/>
          <w:sz w:val="24"/>
          <w:szCs w:val="24"/>
          <w:u w:val="single"/>
        </w:rPr>
        <w:t xml:space="preserve"> as a condition precedent for total benefits</w:t>
      </w:r>
      <w:r w:rsidRPr="00D66374">
        <w:rPr>
          <w:rFonts w:ascii="Times New Roman" w:hAnsi="Times New Roman" w:cs="Times New Roman"/>
          <w:b/>
          <w:sz w:val="24"/>
          <w:szCs w:val="24"/>
          <w:u w:val="single"/>
        </w:rPr>
        <w:t xml:space="preserve"> loss of the use of the body as a whole</w:t>
      </w:r>
      <w:r>
        <w:rPr>
          <w:rFonts w:ascii="Times New Roman" w:hAnsi="Times New Roman" w:cs="Times New Roman"/>
          <w:sz w:val="24"/>
          <w:szCs w:val="24"/>
        </w:rPr>
        <w:t>. As the Nebraska Supreme Court has stated:</w:t>
      </w:r>
    </w:p>
    <w:p w14:paraId="5BC76647" w14:textId="0BABA017" w:rsidR="00FF7482" w:rsidRDefault="00FF7482" w:rsidP="00EB5B22">
      <w:pPr>
        <w:pStyle w:val="ListParagraph"/>
        <w:ind w:left="0"/>
        <w:jc w:val="both"/>
        <w:rPr>
          <w:rFonts w:ascii="Times New Roman" w:hAnsi="Times New Roman" w:cs="Times New Roman"/>
          <w:sz w:val="24"/>
          <w:szCs w:val="24"/>
        </w:rPr>
      </w:pPr>
    </w:p>
    <w:p w14:paraId="52295437" w14:textId="23AD14DC" w:rsidR="00FF7482" w:rsidRDefault="00FF7482" w:rsidP="00722E68">
      <w:pPr>
        <w:pStyle w:val="ListParagraph"/>
        <w:ind w:right="720"/>
        <w:jc w:val="both"/>
        <w:rPr>
          <w:rFonts w:ascii="Times New Roman" w:hAnsi="Times New Roman" w:cs="Times New Roman"/>
          <w:sz w:val="24"/>
          <w:szCs w:val="24"/>
        </w:rPr>
      </w:pPr>
      <w:r w:rsidRPr="00F47A33">
        <w:rPr>
          <w:rFonts w:ascii="Times New Roman" w:hAnsi="Times New Roman" w:cs="Times New Roman"/>
          <w:sz w:val="24"/>
          <w:szCs w:val="24"/>
        </w:rPr>
        <w:t>Total disability in the context of the workers’ compensation law does not mean a state of absolute helplessness, but means disablement of an employee to earn wages in the same kind of work, or work of similar nature, for which the employee was trained or accustomed to perform, or any other kind of work which a person of the employee’s mentality and attainments could do.</w:t>
      </w:r>
      <w:r w:rsidRPr="00910BB7">
        <w:rPr>
          <w:rFonts w:ascii="Times New Roman" w:hAnsi="Times New Roman" w:cs="Times New Roman"/>
          <w:sz w:val="24"/>
          <w:szCs w:val="24"/>
          <w:vertAlign w:val="superscript"/>
        </w:rPr>
        <w:footnoteReference w:id="550"/>
      </w:r>
    </w:p>
    <w:p w14:paraId="2ED353C4" w14:textId="79829C96" w:rsidR="00FF7482" w:rsidRDefault="00FF7482" w:rsidP="00F47A33">
      <w:pPr>
        <w:pStyle w:val="ListParagraph"/>
        <w:ind w:right="720"/>
        <w:jc w:val="both"/>
        <w:rPr>
          <w:rFonts w:ascii="Times New Roman" w:hAnsi="Times New Roman" w:cs="Times New Roman"/>
          <w:sz w:val="24"/>
          <w:szCs w:val="24"/>
        </w:rPr>
      </w:pPr>
    </w:p>
    <w:p w14:paraId="12F55E84" w14:textId="62F82E02" w:rsidR="00FF7482" w:rsidRDefault="00FF7482" w:rsidP="0016768D">
      <w:pPr>
        <w:pStyle w:val="ListParagraph"/>
        <w:ind w:left="0"/>
        <w:jc w:val="both"/>
        <w:rPr>
          <w:rFonts w:ascii="Times New Roman" w:hAnsi="Times New Roman" w:cs="Times New Roman"/>
          <w:sz w:val="24"/>
          <w:szCs w:val="24"/>
        </w:rPr>
      </w:pPr>
      <w:r w:rsidRPr="004146EE">
        <w:rPr>
          <w:rFonts w:ascii="Times New Roman" w:hAnsi="Times New Roman" w:cs="Times New Roman"/>
          <w:sz w:val="24"/>
          <w:szCs w:val="24"/>
        </w:rPr>
        <w:t>The seeming harshness of the rule</w:t>
      </w:r>
      <w:r w:rsidRPr="00910BB7">
        <w:rPr>
          <w:rFonts w:ascii="Times New Roman" w:hAnsi="Times New Roman" w:cs="Times New Roman"/>
          <w:sz w:val="24"/>
          <w:szCs w:val="24"/>
          <w:vertAlign w:val="superscript"/>
        </w:rPr>
        <w:footnoteReference w:id="551"/>
      </w:r>
      <w:r w:rsidRPr="004146EE">
        <w:rPr>
          <w:rFonts w:ascii="Times New Roman" w:hAnsi="Times New Roman" w:cs="Times New Roman"/>
          <w:sz w:val="24"/>
          <w:szCs w:val="24"/>
        </w:rPr>
        <w:t xml:space="preserve"> is perhaps ameliorated by the “odd lot doctrine,” to be discussed</w:t>
      </w:r>
      <w:r w:rsidRPr="004146EE">
        <w:rPr>
          <w:rFonts w:ascii="Times New Roman" w:hAnsi="Times New Roman" w:cs="Times New Roman"/>
          <w:i/>
          <w:sz w:val="24"/>
          <w:szCs w:val="24"/>
        </w:rPr>
        <w:t xml:space="preserve"> infra</w:t>
      </w:r>
      <w:r w:rsidRPr="004146EE">
        <w:rPr>
          <w:rFonts w:ascii="Times New Roman" w:hAnsi="Times New Roman" w:cs="Times New Roman"/>
          <w:sz w:val="24"/>
          <w:szCs w:val="24"/>
        </w:rPr>
        <w:t>.</w:t>
      </w:r>
      <w:r>
        <w:rPr>
          <w:rFonts w:ascii="Times New Roman" w:hAnsi="Times New Roman" w:cs="Times New Roman"/>
          <w:sz w:val="24"/>
          <w:szCs w:val="24"/>
        </w:rPr>
        <w:t xml:space="preserve"> </w:t>
      </w:r>
    </w:p>
    <w:p w14:paraId="03E76A42" w14:textId="5FE42224" w:rsidR="00FF7482" w:rsidRDefault="00FF7482" w:rsidP="0016768D">
      <w:pPr>
        <w:pStyle w:val="ListParagraph"/>
        <w:ind w:left="0"/>
        <w:jc w:val="both"/>
        <w:rPr>
          <w:rFonts w:ascii="Times New Roman" w:hAnsi="Times New Roman" w:cs="Times New Roman"/>
          <w:sz w:val="24"/>
          <w:szCs w:val="24"/>
        </w:rPr>
      </w:pPr>
    </w:p>
    <w:p w14:paraId="7928A22B" w14:textId="4FD7D05D" w:rsidR="00FF7482" w:rsidRDefault="00FF7482" w:rsidP="0016768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Another idiosyncratic aspect of permanent total benefits in Wyoming is their </w:t>
      </w:r>
      <w:r w:rsidRPr="00165F08">
        <w:rPr>
          <w:rFonts w:ascii="Times New Roman" w:hAnsi="Times New Roman" w:cs="Times New Roman"/>
          <w:b/>
          <w:sz w:val="24"/>
          <w:szCs w:val="24"/>
          <w:u w:val="single"/>
        </w:rPr>
        <w:t>durational limit to 80 months</w:t>
      </w:r>
      <w:r>
        <w:rPr>
          <w:rFonts w:ascii="Times New Roman" w:hAnsi="Times New Roman" w:cs="Times New Roman"/>
          <w:sz w:val="24"/>
          <w:szCs w:val="24"/>
        </w:rPr>
        <w:t xml:space="preserve">. This limitation underscores that it is permanence of the disability that is being compensated and not (in any meaningful way) the permanence of loss of earnings. One may well ask what relationship such a benefits cap bears to a foregone tort remedy which would have been constrained by no such limitation on compensatory damages. It is certainly true, however, that the worker-victim of a pure accident would have been entitled to </w:t>
      </w:r>
      <w:r w:rsidRPr="00106A48">
        <w:rPr>
          <w:rFonts w:ascii="Times New Roman" w:hAnsi="Times New Roman" w:cs="Times New Roman"/>
          <w:b/>
          <w:sz w:val="24"/>
          <w:szCs w:val="24"/>
        </w:rPr>
        <w:t>no</w:t>
      </w:r>
      <w:r>
        <w:rPr>
          <w:rFonts w:ascii="Times New Roman" w:hAnsi="Times New Roman" w:cs="Times New Roman"/>
          <w:sz w:val="24"/>
          <w:szCs w:val="24"/>
        </w:rPr>
        <w:t xml:space="preserve"> damages under the tort regime, so with respect to that hypothetical individual 80 months of benefits might be argued to be generous.</w:t>
      </w:r>
    </w:p>
    <w:p w14:paraId="4F5ED39C" w14:textId="77777777" w:rsidR="00FF7482" w:rsidRDefault="00FF7482" w:rsidP="0016768D">
      <w:pPr>
        <w:pStyle w:val="ListParagraph"/>
        <w:ind w:left="0"/>
        <w:jc w:val="both"/>
        <w:rPr>
          <w:rFonts w:ascii="Times New Roman" w:hAnsi="Times New Roman" w:cs="Times New Roman"/>
          <w:sz w:val="24"/>
          <w:szCs w:val="24"/>
        </w:rPr>
      </w:pPr>
    </w:p>
    <w:p w14:paraId="5221AB89" w14:textId="4C0F49EB" w:rsidR="00FF7482" w:rsidRDefault="00FF7482" w:rsidP="0016768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Further complicating matters is the apparent discretionary ability of the </w:t>
      </w:r>
      <w:bookmarkStart w:id="773" w:name="_Hlk24546359"/>
      <w:r>
        <w:rPr>
          <w:rFonts w:ascii="Times New Roman" w:hAnsi="Times New Roman" w:cs="Times New Roman"/>
          <w:sz w:val="24"/>
          <w:szCs w:val="24"/>
        </w:rPr>
        <w:t xml:space="preserve">Workers’ Safety and Compensation Division </w:t>
      </w:r>
      <w:bookmarkEnd w:id="773"/>
      <w:r>
        <w:rPr>
          <w:rFonts w:ascii="Times New Roman" w:hAnsi="Times New Roman" w:cs="Times New Roman"/>
          <w:sz w:val="24"/>
          <w:szCs w:val="24"/>
        </w:rPr>
        <w:t xml:space="preserve">to provide an additional award of benefits </w:t>
      </w:r>
      <w:r w:rsidRPr="00165F08">
        <w:rPr>
          <w:rFonts w:ascii="Times New Roman" w:hAnsi="Times New Roman" w:cs="Times New Roman"/>
          <w:b/>
          <w:sz w:val="24"/>
          <w:szCs w:val="24"/>
          <w:u w:val="single"/>
        </w:rPr>
        <w:t>beyond the 80-month limit</w:t>
      </w:r>
      <w:r>
        <w:rPr>
          <w:rFonts w:ascii="Times New Roman" w:hAnsi="Times New Roman" w:cs="Times New Roman"/>
          <w:sz w:val="24"/>
          <w:szCs w:val="24"/>
        </w:rPr>
        <w:t>:</w:t>
      </w:r>
    </w:p>
    <w:p w14:paraId="019390D2" w14:textId="77777777" w:rsidR="0072306D" w:rsidRDefault="0072306D" w:rsidP="0016768D">
      <w:pPr>
        <w:pStyle w:val="ListParagraph"/>
        <w:ind w:left="0"/>
        <w:jc w:val="both"/>
        <w:rPr>
          <w:rFonts w:ascii="Times New Roman" w:hAnsi="Times New Roman" w:cs="Times New Roman"/>
          <w:sz w:val="24"/>
          <w:szCs w:val="24"/>
        </w:rPr>
      </w:pPr>
    </w:p>
    <w:p w14:paraId="09D1909F" w14:textId="14E27F78" w:rsidR="00FF7482" w:rsidRPr="00E3008F" w:rsidRDefault="00FF7482" w:rsidP="00E3008F">
      <w:pPr>
        <w:pStyle w:val="ListParagraph"/>
        <w:ind w:right="720"/>
        <w:contextualSpacing w:val="0"/>
        <w:jc w:val="both"/>
        <w:rPr>
          <w:rFonts w:ascii="Times New Roman" w:hAnsi="Times New Roman" w:cs="Times New Roman"/>
          <w:sz w:val="24"/>
          <w:szCs w:val="24"/>
        </w:rPr>
      </w:pPr>
      <w:bookmarkStart w:id="774" w:name="_Hlk26188183"/>
      <w:r w:rsidRPr="00165F08">
        <w:rPr>
          <w:rFonts w:ascii="Times New Roman" w:hAnsi="Times New Roman" w:cs="Times New Roman"/>
          <w:b/>
          <w:sz w:val="24"/>
          <w:szCs w:val="24"/>
        </w:rPr>
        <w:t>Following payment in full of any award</w:t>
      </w:r>
      <w:r>
        <w:rPr>
          <w:rFonts w:ascii="Times New Roman" w:hAnsi="Times New Roman" w:cs="Times New Roman"/>
          <w:sz w:val="24"/>
          <w:szCs w:val="24"/>
        </w:rPr>
        <w:t xml:space="preserve"> . . . </w:t>
      </w:r>
      <w:r w:rsidRPr="00165F08">
        <w:rPr>
          <w:rFonts w:ascii="Times New Roman" w:hAnsi="Times New Roman" w:cs="Times New Roman"/>
          <w:sz w:val="24"/>
          <w:szCs w:val="24"/>
        </w:rPr>
        <w:t>to an employee for permanent total disability or to a surviving spouse for death of an employee, an additional award for extended benefits may be granted subject to the following requirements and limitations:</w:t>
      </w:r>
    </w:p>
    <w:p w14:paraId="2723DBC9" w14:textId="241155F1" w:rsidR="00FF7482" w:rsidRPr="00E3008F" w:rsidRDefault="003F68BD" w:rsidP="00E3008F">
      <w:pPr>
        <w:pStyle w:val="ListParagraph"/>
        <w:ind w:righ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 </w:t>
      </w:r>
      <w:r w:rsidR="00FF7482" w:rsidRPr="00165F08">
        <w:rPr>
          <w:rFonts w:ascii="Times New Roman" w:hAnsi="Times New Roman" w:cs="Times New Roman"/>
          <w:sz w:val="24"/>
          <w:szCs w:val="24"/>
        </w:rPr>
        <w:t>In the case of an employee:</w:t>
      </w:r>
    </w:p>
    <w:p w14:paraId="1BCF4BC5" w14:textId="77777777" w:rsidR="00FF7482" w:rsidRPr="00165F08" w:rsidRDefault="00FF7482" w:rsidP="00722E68">
      <w:pPr>
        <w:pStyle w:val="ListParagraph"/>
        <w:ind w:left="1440" w:right="720"/>
        <w:contextualSpacing w:val="0"/>
        <w:jc w:val="both"/>
        <w:rPr>
          <w:rFonts w:ascii="Times New Roman" w:hAnsi="Times New Roman" w:cs="Times New Roman"/>
          <w:sz w:val="24"/>
          <w:szCs w:val="24"/>
        </w:rPr>
      </w:pPr>
      <w:r w:rsidRPr="00165F08">
        <w:rPr>
          <w:rFonts w:ascii="Times New Roman" w:hAnsi="Times New Roman" w:cs="Times New Roman"/>
          <w:sz w:val="24"/>
          <w:szCs w:val="24"/>
        </w:rPr>
        <w:lastRenderedPageBreak/>
        <w:t>(A) A claim for compensation is filed by the employee or someone on his behalf;</w:t>
      </w:r>
    </w:p>
    <w:p w14:paraId="7A9A7A36" w14:textId="77777777" w:rsidR="00FF7482" w:rsidRPr="00165F08" w:rsidRDefault="00FF7482" w:rsidP="00722E68">
      <w:pPr>
        <w:pStyle w:val="ListParagraph"/>
        <w:ind w:left="1440" w:right="720"/>
        <w:contextualSpacing w:val="0"/>
        <w:jc w:val="both"/>
        <w:rPr>
          <w:rFonts w:ascii="Times New Roman" w:hAnsi="Times New Roman" w:cs="Times New Roman"/>
          <w:sz w:val="24"/>
          <w:szCs w:val="24"/>
        </w:rPr>
      </w:pPr>
      <w:r w:rsidRPr="00165F08">
        <w:rPr>
          <w:rFonts w:ascii="Times New Roman" w:hAnsi="Times New Roman" w:cs="Times New Roman"/>
          <w:sz w:val="24"/>
          <w:szCs w:val="24"/>
        </w:rPr>
        <w:t>(B) The employee establishes a reasonable effort on his behalf has been made to return to part time or full time employment including retraining and educational programs;</w:t>
      </w:r>
    </w:p>
    <w:p w14:paraId="134F6BEC" w14:textId="77777777" w:rsidR="00FF7482" w:rsidRPr="00165F08" w:rsidRDefault="00FF7482" w:rsidP="00722E68">
      <w:pPr>
        <w:pStyle w:val="ListParagraph"/>
        <w:ind w:left="1440" w:right="720"/>
        <w:contextualSpacing w:val="0"/>
        <w:jc w:val="both"/>
        <w:rPr>
          <w:rFonts w:ascii="Times New Roman" w:hAnsi="Times New Roman" w:cs="Times New Roman"/>
          <w:sz w:val="24"/>
          <w:szCs w:val="24"/>
        </w:rPr>
      </w:pPr>
      <w:r w:rsidRPr="00165F08">
        <w:rPr>
          <w:rFonts w:ascii="Times New Roman" w:hAnsi="Times New Roman" w:cs="Times New Roman"/>
          <w:sz w:val="24"/>
          <w:szCs w:val="24"/>
        </w:rPr>
        <w:t xml:space="preserve">(C) The division in determining entitlement under this paragraph shall consider the amount </w:t>
      </w:r>
      <w:bookmarkEnd w:id="774"/>
      <w:r w:rsidRPr="00165F08">
        <w:rPr>
          <w:rFonts w:ascii="Times New Roman" w:hAnsi="Times New Roman" w:cs="Times New Roman"/>
          <w:sz w:val="24"/>
          <w:szCs w:val="24"/>
        </w:rPr>
        <w:t>of the monthly award made to an injured worker pursuant to W.S. 27-14-403(a)(iv), all earned income of the injured worker, all employment based retirement income of the injured worker, all income derived by the injured worker as a result of the injury, excluding mortgage or any other loan credit insurance, or any supplemental income insurance purchased by or on behalf of the employee and any periodic payments from any other governmental entity to the injured worker. The division shall not consider any other income received by the injured worker or members of the injured worker's household;</w:t>
      </w:r>
    </w:p>
    <w:p w14:paraId="68EBEB6A" w14:textId="77777777" w:rsidR="00FF7482" w:rsidRPr="00165F08" w:rsidRDefault="00FF7482" w:rsidP="00722E68">
      <w:pPr>
        <w:pStyle w:val="ListParagraph"/>
        <w:ind w:left="1440" w:right="720"/>
        <w:contextualSpacing w:val="0"/>
        <w:jc w:val="both"/>
        <w:rPr>
          <w:rFonts w:ascii="Times New Roman" w:hAnsi="Times New Roman" w:cs="Times New Roman"/>
          <w:sz w:val="24"/>
          <w:szCs w:val="24"/>
        </w:rPr>
      </w:pPr>
      <w:r w:rsidRPr="00165F08">
        <w:rPr>
          <w:rFonts w:ascii="Times New Roman" w:hAnsi="Times New Roman" w:cs="Times New Roman"/>
          <w:sz w:val="24"/>
          <w:szCs w:val="24"/>
        </w:rPr>
        <w:t>(D) The maximum monthly amount of additional compensation shall not exceed the amount provided in subsection (c) of this section;</w:t>
      </w:r>
    </w:p>
    <w:p w14:paraId="3DB32191" w14:textId="77777777" w:rsidR="00FF7482" w:rsidRPr="00165F08" w:rsidRDefault="00FF7482" w:rsidP="00722E68">
      <w:pPr>
        <w:pStyle w:val="ListParagraph"/>
        <w:ind w:left="1440" w:right="720"/>
        <w:contextualSpacing w:val="0"/>
        <w:jc w:val="both"/>
        <w:rPr>
          <w:rFonts w:ascii="Times New Roman" w:hAnsi="Times New Roman" w:cs="Times New Roman"/>
          <w:sz w:val="24"/>
          <w:szCs w:val="24"/>
        </w:rPr>
      </w:pPr>
      <w:r w:rsidRPr="00165F08">
        <w:rPr>
          <w:rFonts w:ascii="Times New Roman" w:hAnsi="Times New Roman" w:cs="Times New Roman"/>
          <w:sz w:val="24"/>
          <w:szCs w:val="24"/>
        </w:rPr>
        <w:t xml:space="preserve">(E) </w:t>
      </w:r>
      <w:bookmarkStart w:id="775" w:name="_Hlk529172987"/>
      <w:r w:rsidRPr="00165F08">
        <w:rPr>
          <w:rFonts w:ascii="Times New Roman" w:hAnsi="Times New Roman" w:cs="Times New Roman"/>
          <w:sz w:val="24"/>
          <w:szCs w:val="24"/>
        </w:rPr>
        <w:t xml:space="preserve">The division may attach reasonable conditions to application for or receipt of awards under this subsection </w:t>
      </w:r>
      <w:bookmarkEnd w:id="775"/>
      <w:r w:rsidRPr="00165F08">
        <w:rPr>
          <w:rFonts w:ascii="Times New Roman" w:hAnsi="Times New Roman" w:cs="Times New Roman"/>
          <w:sz w:val="24"/>
          <w:szCs w:val="24"/>
        </w:rPr>
        <w:t>including retraining or educational programs and the award may be adjusted in accordance with fulfillment of the conditions;</w:t>
      </w:r>
    </w:p>
    <w:p w14:paraId="1C1B8C46" w14:textId="77777777" w:rsidR="00FF7482" w:rsidRPr="00165F08" w:rsidRDefault="00FF7482" w:rsidP="00722E68">
      <w:pPr>
        <w:pStyle w:val="ListParagraph"/>
        <w:ind w:left="1440" w:right="720"/>
        <w:contextualSpacing w:val="0"/>
        <w:jc w:val="both"/>
        <w:rPr>
          <w:rFonts w:ascii="Times New Roman" w:hAnsi="Times New Roman" w:cs="Times New Roman"/>
          <w:sz w:val="24"/>
          <w:szCs w:val="24"/>
        </w:rPr>
      </w:pPr>
      <w:r w:rsidRPr="00165F08">
        <w:rPr>
          <w:rFonts w:ascii="Times New Roman" w:hAnsi="Times New Roman" w:cs="Times New Roman"/>
          <w:sz w:val="24"/>
          <w:szCs w:val="24"/>
        </w:rPr>
        <w:t>(F) The division may decrease an award to qualify an employee eligible for maximum benefits under any other state or federal pension plan;</w:t>
      </w:r>
    </w:p>
    <w:p w14:paraId="58C5C1EB" w14:textId="309D1321" w:rsidR="00FF7482" w:rsidRDefault="00FF7482" w:rsidP="00722E68">
      <w:pPr>
        <w:pStyle w:val="ListParagraph"/>
        <w:spacing w:after="0"/>
        <w:ind w:left="1440" w:right="720"/>
        <w:contextualSpacing w:val="0"/>
        <w:jc w:val="both"/>
        <w:rPr>
          <w:rStyle w:val="Hyperlink"/>
          <w:rFonts w:ascii="Times New Roman" w:hAnsi="Times New Roman" w:cs="Times New Roman"/>
          <w:sz w:val="24"/>
          <w:szCs w:val="24"/>
          <w:vertAlign w:val="superscript"/>
        </w:rPr>
      </w:pPr>
      <w:r w:rsidRPr="00165F08">
        <w:rPr>
          <w:rFonts w:ascii="Times New Roman" w:hAnsi="Times New Roman" w:cs="Times New Roman"/>
          <w:sz w:val="24"/>
          <w:szCs w:val="24"/>
        </w:rPr>
        <w:t>(G) Any award granted under this subsection shall not exceed twelve (12) months unless the division determines an award for a period exceeding twelve (12) months but not greater than four (4) years is appropriate.</w:t>
      </w:r>
      <w:r w:rsidRPr="00910BB7">
        <w:rPr>
          <w:rFonts w:ascii="Times New Roman" w:hAnsi="Times New Roman" w:cs="Times New Roman"/>
          <w:sz w:val="24"/>
          <w:szCs w:val="24"/>
          <w:vertAlign w:val="superscript"/>
        </w:rPr>
        <w:footnoteReference w:id="552"/>
      </w:r>
    </w:p>
    <w:p w14:paraId="767BBA06" w14:textId="77777777" w:rsidR="00722E68" w:rsidRPr="00722E68" w:rsidRDefault="00722E68" w:rsidP="00722E68">
      <w:pPr>
        <w:pStyle w:val="ListParagraph"/>
        <w:spacing w:after="0"/>
        <w:ind w:left="1440" w:right="720"/>
        <w:contextualSpacing w:val="0"/>
        <w:jc w:val="both"/>
        <w:rPr>
          <w:rFonts w:ascii="Times New Roman" w:hAnsi="Times New Roman" w:cs="Times New Roman"/>
          <w:sz w:val="24"/>
          <w:szCs w:val="24"/>
        </w:rPr>
      </w:pPr>
    </w:p>
    <w:p w14:paraId="2524DBD8" w14:textId="2CACE2D0" w:rsidR="00FF7482" w:rsidRDefault="00FF7482" w:rsidP="00722E68">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provision essentially directs the Division to evaluate work-search and retraining/rehabilitation efforts and to limit benefit amounts in various ways through the use of various set-offs. With respect to </w:t>
      </w:r>
      <w:r w:rsidRPr="007912A4">
        <w:rPr>
          <w:rFonts w:ascii="Times New Roman" w:hAnsi="Times New Roman" w:cs="Times New Roman"/>
          <w:i/>
          <w:sz w:val="24"/>
          <w:szCs w:val="24"/>
        </w:rPr>
        <w:t>entitlement</w:t>
      </w:r>
      <w:r>
        <w:rPr>
          <w:rFonts w:ascii="Times New Roman" w:hAnsi="Times New Roman" w:cs="Times New Roman"/>
          <w:sz w:val="24"/>
          <w:szCs w:val="24"/>
        </w:rPr>
        <w:t xml:space="preserve"> to the additional award, however, the statutory provision says only that “[t]</w:t>
      </w:r>
      <w:r w:rsidRPr="007912A4">
        <w:rPr>
          <w:rFonts w:ascii="Times New Roman" w:hAnsi="Times New Roman" w:cs="Times New Roman"/>
          <w:sz w:val="24"/>
          <w:szCs w:val="24"/>
        </w:rPr>
        <w:t xml:space="preserve">he division may attach </w:t>
      </w:r>
      <w:r w:rsidRPr="007912A4">
        <w:rPr>
          <w:rFonts w:ascii="Times New Roman" w:hAnsi="Times New Roman" w:cs="Times New Roman"/>
          <w:sz w:val="24"/>
          <w:szCs w:val="24"/>
        </w:rPr>
        <w:lastRenderedPageBreak/>
        <w:t>reasonable conditions to application for or receipt of awards under this subsection</w:t>
      </w:r>
      <w:r>
        <w:rPr>
          <w:rFonts w:ascii="Times New Roman" w:hAnsi="Times New Roman" w:cs="Times New Roman"/>
          <w:sz w:val="24"/>
          <w:szCs w:val="24"/>
        </w:rPr>
        <w:t xml:space="preserve"> . . .”  Few standards appear provided to guide the Division’s exercise of discretion once an </w:t>
      </w:r>
      <w:r w:rsidRPr="007912A4">
        <w:rPr>
          <w:rFonts w:ascii="Times New Roman" w:hAnsi="Times New Roman" w:cs="Times New Roman"/>
          <w:sz w:val="24"/>
          <w:szCs w:val="24"/>
        </w:rPr>
        <w:t xml:space="preserve">employee </w:t>
      </w:r>
      <w:r>
        <w:rPr>
          <w:rFonts w:ascii="Times New Roman" w:hAnsi="Times New Roman" w:cs="Times New Roman"/>
          <w:sz w:val="24"/>
          <w:szCs w:val="24"/>
        </w:rPr>
        <w:t>“</w:t>
      </w:r>
      <w:r w:rsidRPr="007912A4">
        <w:rPr>
          <w:rFonts w:ascii="Times New Roman" w:hAnsi="Times New Roman" w:cs="Times New Roman"/>
          <w:sz w:val="24"/>
          <w:szCs w:val="24"/>
        </w:rPr>
        <w:t>establishes a reasonable effort on his behalf has been made to return to part time or full time employment including retraining and educational programs</w:t>
      </w:r>
      <w:r>
        <w:rPr>
          <w:rFonts w:ascii="Times New Roman" w:hAnsi="Times New Roman" w:cs="Times New Roman"/>
          <w:sz w:val="24"/>
          <w:szCs w:val="24"/>
        </w:rPr>
        <w:t xml:space="preserve">.” </w:t>
      </w:r>
    </w:p>
    <w:p w14:paraId="7935C16F" w14:textId="77777777" w:rsidR="00FF7482" w:rsidRDefault="00FF7482" w:rsidP="00F02E62">
      <w:pPr>
        <w:pStyle w:val="ListParagraph"/>
        <w:spacing w:after="0"/>
        <w:ind w:left="0"/>
        <w:jc w:val="both"/>
        <w:rPr>
          <w:rFonts w:ascii="Times New Roman" w:hAnsi="Times New Roman" w:cs="Times New Roman"/>
          <w:sz w:val="24"/>
          <w:szCs w:val="24"/>
        </w:rPr>
      </w:pPr>
    </w:p>
    <w:p w14:paraId="6344B9F6" w14:textId="3101E800" w:rsidR="00FF7482" w:rsidRPr="00A75A86" w:rsidRDefault="00FF7482" w:rsidP="001A2150">
      <w:pPr>
        <w:pStyle w:val="Heading2"/>
        <w:rPr>
          <w:rFonts w:ascii="Times New Roman" w:hAnsi="Times New Roman" w:cs="Times New Roman"/>
          <w:b/>
          <w:color w:val="auto"/>
          <w:sz w:val="28"/>
          <w:szCs w:val="28"/>
        </w:rPr>
      </w:pPr>
      <w:r w:rsidRPr="00315A5F">
        <w:rPr>
          <w:rFonts w:ascii="Times New Roman" w:hAnsi="Times New Roman" w:cs="Times New Roman"/>
          <w:sz w:val="24"/>
          <w:szCs w:val="24"/>
        </w:rPr>
        <w:t xml:space="preserve">  </w:t>
      </w:r>
      <w:bookmarkStart w:id="777" w:name="_Toc75269402"/>
      <w:r w:rsidRPr="00A75A86">
        <w:rPr>
          <w:rFonts w:ascii="Times New Roman" w:hAnsi="Times New Roman" w:cs="Times New Roman"/>
          <w:b/>
          <w:color w:val="auto"/>
          <w:sz w:val="28"/>
          <w:szCs w:val="28"/>
        </w:rPr>
        <w:t>Benefit Amount for Permanent Total Disability</w:t>
      </w:r>
      <w:bookmarkEnd w:id="777"/>
      <w:r w:rsidRPr="00A75A86">
        <w:rPr>
          <w:rFonts w:ascii="Times New Roman" w:hAnsi="Times New Roman" w:cs="Times New Roman"/>
          <w:b/>
          <w:color w:val="auto"/>
          <w:sz w:val="28"/>
          <w:szCs w:val="28"/>
        </w:rPr>
        <w:t xml:space="preserve"> </w:t>
      </w:r>
    </w:p>
    <w:p w14:paraId="2C7C8E04" w14:textId="2BAED5E9" w:rsidR="00FF7482" w:rsidRDefault="00FF7482" w:rsidP="006A1342">
      <w:pPr>
        <w:spacing w:after="0"/>
      </w:pPr>
    </w:p>
    <w:p w14:paraId="6D5121A9" w14:textId="1EB14003" w:rsidR="00FF7482" w:rsidRPr="00152D64" w:rsidRDefault="00FF7482" w:rsidP="00DD68A0">
      <w:pPr>
        <w:pStyle w:val="ListParagraph"/>
        <w:ind w:left="0"/>
        <w:jc w:val="both"/>
        <w:rPr>
          <w:rFonts w:ascii="Times New Roman" w:hAnsi="Times New Roman" w:cs="Times New Roman"/>
          <w:sz w:val="24"/>
          <w:szCs w:val="24"/>
        </w:rPr>
      </w:pPr>
      <w:r w:rsidRPr="00152D64">
        <w:rPr>
          <w:rFonts w:ascii="Times New Roman" w:hAnsi="Times New Roman" w:cs="Times New Roman"/>
          <w:sz w:val="24"/>
          <w:szCs w:val="24"/>
        </w:rPr>
        <w:t xml:space="preserve">The allowable </w:t>
      </w:r>
      <w:r>
        <w:rPr>
          <w:rFonts w:ascii="Times New Roman" w:hAnsi="Times New Roman" w:cs="Times New Roman"/>
          <w:sz w:val="24"/>
          <w:szCs w:val="24"/>
        </w:rPr>
        <w:t xml:space="preserve">indemnity </w:t>
      </w:r>
      <w:r w:rsidRPr="00152D64">
        <w:rPr>
          <w:rFonts w:ascii="Times New Roman" w:hAnsi="Times New Roman" w:cs="Times New Roman"/>
          <w:sz w:val="24"/>
          <w:szCs w:val="24"/>
        </w:rPr>
        <w:t>benefit</w:t>
      </w:r>
      <w:r>
        <w:rPr>
          <w:rFonts w:ascii="Times New Roman" w:hAnsi="Times New Roman" w:cs="Times New Roman"/>
          <w:sz w:val="24"/>
          <w:szCs w:val="24"/>
        </w:rPr>
        <w:t xml:space="preserve"> amounts</w:t>
      </w:r>
      <w:r w:rsidRPr="00152D64">
        <w:rPr>
          <w:rFonts w:ascii="Times New Roman" w:hAnsi="Times New Roman" w:cs="Times New Roman"/>
          <w:sz w:val="24"/>
          <w:szCs w:val="24"/>
        </w:rPr>
        <w:t xml:space="preserve"> for permanently</w:t>
      </w:r>
      <w:r>
        <w:rPr>
          <w:rFonts w:ascii="Times New Roman" w:hAnsi="Times New Roman" w:cs="Times New Roman"/>
          <w:sz w:val="24"/>
          <w:szCs w:val="24"/>
        </w:rPr>
        <w:t>,</w:t>
      </w:r>
      <w:r w:rsidRPr="00152D64">
        <w:rPr>
          <w:rFonts w:ascii="Times New Roman" w:hAnsi="Times New Roman" w:cs="Times New Roman"/>
          <w:sz w:val="24"/>
          <w:szCs w:val="24"/>
        </w:rPr>
        <w:t xml:space="preserve"> totally disabled injured employees derive from </w:t>
      </w:r>
      <w:bookmarkStart w:id="778" w:name="_Hlk532302393"/>
      <w:r w:rsidRPr="006C739F">
        <w:rPr>
          <w:rFonts w:ascii="Times New Roman" w:hAnsi="Times New Roman" w:cs="Times New Roman"/>
          <w:sz w:val="24"/>
          <w:szCs w:val="24"/>
        </w:rPr>
        <w:t xml:space="preserve">W.S. § </w:t>
      </w:r>
      <w:hyperlink r:id="rId99" w:history="1">
        <w:r w:rsidRPr="006C739F">
          <w:rPr>
            <w:rStyle w:val="Hyperlink"/>
            <w:rFonts w:ascii="Times New Roman" w:hAnsi="Times New Roman" w:cs="Times New Roman"/>
            <w:sz w:val="24"/>
            <w:szCs w:val="24"/>
          </w:rPr>
          <w:t>27-14-403</w:t>
        </w:r>
      </w:hyperlink>
      <w:r w:rsidRPr="00152D64">
        <w:rPr>
          <w:rFonts w:ascii="Times New Roman" w:hAnsi="Times New Roman" w:cs="Times New Roman"/>
          <w:sz w:val="24"/>
          <w:szCs w:val="24"/>
        </w:rPr>
        <w:t>(c)(</w:t>
      </w:r>
      <w:bookmarkEnd w:id="778"/>
      <w:r w:rsidRPr="00152D64">
        <w:rPr>
          <w:rFonts w:ascii="Times New Roman" w:hAnsi="Times New Roman" w:cs="Times New Roman"/>
          <w:sz w:val="24"/>
          <w:szCs w:val="24"/>
        </w:rPr>
        <w:t>i)-(iii):</w:t>
      </w:r>
    </w:p>
    <w:p w14:paraId="2B269F82" w14:textId="77777777" w:rsidR="00FF7482" w:rsidRDefault="00FF7482" w:rsidP="00315A5F">
      <w:pPr>
        <w:pStyle w:val="ListParagraph"/>
        <w:ind w:left="0"/>
        <w:jc w:val="both"/>
        <w:rPr>
          <w:b/>
          <w:bCs/>
        </w:rPr>
      </w:pPr>
    </w:p>
    <w:p w14:paraId="609EF0E0" w14:textId="51C14196" w:rsidR="00FF7482" w:rsidRPr="00010981" w:rsidRDefault="00FF7482" w:rsidP="003E298B">
      <w:pPr>
        <w:pStyle w:val="ListParagraph"/>
        <w:ind w:right="720"/>
        <w:jc w:val="both"/>
        <w:rPr>
          <w:rFonts w:ascii="Times New Roman" w:hAnsi="Times New Roman" w:cs="Times New Roman"/>
          <w:bCs/>
          <w:sz w:val="24"/>
          <w:szCs w:val="24"/>
        </w:rPr>
      </w:pPr>
      <w:r>
        <w:rPr>
          <w:rFonts w:ascii="Times New Roman" w:hAnsi="Times New Roman" w:cs="Times New Roman"/>
          <w:sz w:val="24"/>
          <w:szCs w:val="24"/>
        </w:rPr>
        <w:t>E</w:t>
      </w:r>
      <w:r w:rsidRPr="00DB64E1">
        <w:rPr>
          <w:rFonts w:ascii="Times New Roman" w:hAnsi="Times New Roman" w:cs="Times New Roman"/>
          <w:sz w:val="24"/>
          <w:szCs w:val="24"/>
        </w:rPr>
        <w:t xml:space="preserve">mployees whose </w:t>
      </w:r>
      <w:r w:rsidRPr="00A15316">
        <w:rPr>
          <w:rFonts w:ascii="Times New Roman" w:hAnsi="Times New Roman" w:cs="Times New Roman"/>
          <w:i/>
          <w:sz w:val="24"/>
          <w:szCs w:val="24"/>
        </w:rPr>
        <w:t>Actual Monthly Earnings</w:t>
      </w:r>
      <w:r>
        <w:rPr>
          <w:rFonts w:ascii="Times New Roman" w:hAnsi="Times New Roman" w:cs="Times New Roman"/>
          <w:sz w:val="24"/>
          <w:szCs w:val="24"/>
        </w:rPr>
        <w:t xml:space="preserve"> </w:t>
      </w:r>
      <w:r w:rsidRPr="0054527E">
        <w:rPr>
          <w:rFonts w:ascii="Times New Roman" w:hAnsi="Times New Roman" w:cs="Times New Roman"/>
          <w:sz w:val="24"/>
          <w:szCs w:val="24"/>
        </w:rPr>
        <w:t xml:space="preserve">(AME) </w:t>
      </w:r>
      <w:r w:rsidRPr="0054527E">
        <w:rPr>
          <w:rFonts w:ascii="Times New Roman" w:hAnsi="Times New Roman" w:cs="Times New Roman"/>
          <w:sz w:val="24"/>
          <w:szCs w:val="24"/>
          <w:u w:val="single"/>
        </w:rPr>
        <w:t>are less than 73% of the</w:t>
      </w:r>
      <w:r w:rsidRPr="00010981">
        <w:rPr>
          <w:rFonts w:ascii="Times New Roman" w:hAnsi="Times New Roman" w:cs="Times New Roman"/>
          <w:sz w:val="24"/>
          <w:szCs w:val="24"/>
        </w:rPr>
        <w:t xml:space="preserve"> </w:t>
      </w:r>
      <w:r w:rsidRPr="0054527E">
        <w:rPr>
          <w:rFonts w:ascii="Times New Roman" w:hAnsi="Times New Roman" w:cs="Times New Roman"/>
          <w:i/>
          <w:sz w:val="24"/>
          <w:szCs w:val="24"/>
        </w:rPr>
        <w:t>Statewide Average Monthly Wage</w:t>
      </w:r>
      <w:r w:rsidRPr="0054527E">
        <w:rPr>
          <w:rFonts w:ascii="Times New Roman" w:hAnsi="Times New Roman" w:cs="Times New Roman"/>
          <w:sz w:val="24"/>
          <w:szCs w:val="24"/>
        </w:rPr>
        <w:t xml:space="preserve"> (SAMW); the award =</w:t>
      </w:r>
      <w:r>
        <w:rPr>
          <w:rFonts w:ascii="Times New Roman" w:hAnsi="Times New Roman" w:cs="Times New Roman"/>
          <w:sz w:val="24"/>
          <w:szCs w:val="24"/>
        </w:rPr>
        <w:t xml:space="preserve"> </w:t>
      </w:r>
      <w:r w:rsidRPr="00DB64E1">
        <w:rPr>
          <w:rFonts w:ascii="Times New Roman" w:hAnsi="Times New Roman" w:cs="Times New Roman"/>
          <w:b/>
          <w:sz w:val="24"/>
          <w:szCs w:val="24"/>
        </w:rPr>
        <w:t>92% of the injured employee</w:t>
      </w:r>
      <w:r>
        <w:rPr>
          <w:rFonts w:ascii="Times New Roman" w:hAnsi="Times New Roman" w:cs="Times New Roman"/>
          <w:b/>
          <w:sz w:val="24"/>
          <w:szCs w:val="24"/>
        </w:rPr>
        <w:t>’</w:t>
      </w:r>
      <w:r w:rsidRPr="00DB64E1">
        <w:rPr>
          <w:rFonts w:ascii="Times New Roman" w:hAnsi="Times New Roman" w:cs="Times New Roman"/>
          <w:b/>
          <w:sz w:val="24"/>
          <w:szCs w:val="24"/>
        </w:rPr>
        <w:t xml:space="preserve">s </w:t>
      </w:r>
      <w:r>
        <w:rPr>
          <w:rFonts w:ascii="Times New Roman" w:hAnsi="Times New Roman" w:cs="Times New Roman"/>
          <w:b/>
          <w:sz w:val="24"/>
          <w:szCs w:val="24"/>
        </w:rPr>
        <w:t>AME</w:t>
      </w:r>
      <w:r w:rsidR="00010981">
        <w:rPr>
          <w:rFonts w:ascii="Times New Roman" w:hAnsi="Times New Roman" w:cs="Times New Roman"/>
          <w:bCs/>
          <w:sz w:val="24"/>
          <w:szCs w:val="24"/>
        </w:rPr>
        <w:t>.</w:t>
      </w:r>
    </w:p>
    <w:p w14:paraId="76E2DC06" w14:textId="77777777" w:rsidR="00FF7482" w:rsidRDefault="00FF7482" w:rsidP="003E298B">
      <w:pPr>
        <w:pStyle w:val="ListParagraph"/>
        <w:ind w:right="720"/>
        <w:jc w:val="both"/>
        <w:rPr>
          <w:rFonts w:ascii="Times New Roman" w:hAnsi="Times New Roman" w:cs="Times New Roman"/>
          <w:sz w:val="24"/>
          <w:szCs w:val="24"/>
        </w:rPr>
      </w:pPr>
    </w:p>
    <w:p w14:paraId="4C8BA734" w14:textId="7DFE05B5" w:rsidR="00FF7482" w:rsidRPr="00010981" w:rsidRDefault="00FF7482" w:rsidP="003E298B">
      <w:pPr>
        <w:pStyle w:val="ListParagraph"/>
        <w:ind w:right="720"/>
        <w:jc w:val="both"/>
        <w:rPr>
          <w:rFonts w:ascii="Times New Roman" w:hAnsi="Times New Roman" w:cs="Times New Roman"/>
          <w:bCs/>
          <w:sz w:val="24"/>
          <w:szCs w:val="24"/>
        </w:rPr>
      </w:pPr>
      <w:r w:rsidRPr="0054527E">
        <w:rPr>
          <w:rFonts w:ascii="Times New Roman" w:hAnsi="Times New Roman" w:cs="Times New Roman"/>
          <w:sz w:val="24"/>
          <w:szCs w:val="24"/>
        </w:rPr>
        <w:t xml:space="preserve">Employees whose AME are </w:t>
      </w:r>
      <w:r w:rsidRPr="0054527E">
        <w:rPr>
          <w:rFonts w:ascii="Times New Roman" w:hAnsi="Times New Roman" w:cs="Times New Roman"/>
          <w:sz w:val="24"/>
          <w:szCs w:val="24"/>
          <w:u w:val="single"/>
        </w:rPr>
        <w:t>equal to or greater than 73% of the SAMW, but less than the SAMW</w:t>
      </w:r>
      <w:r w:rsidRPr="0054527E">
        <w:rPr>
          <w:rFonts w:ascii="Times New Roman" w:hAnsi="Times New Roman" w:cs="Times New Roman"/>
          <w:sz w:val="24"/>
          <w:szCs w:val="24"/>
        </w:rPr>
        <w:t>; the award =</w:t>
      </w:r>
      <w:r>
        <w:rPr>
          <w:rFonts w:ascii="Times New Roman" w:hAnsi="Times New Roman" w:cs="Times New Roman"/>
          <w:sz w:val="24"/>
          <w:szCs w:val="24"/>
        </w:rPr>
        <w:t xml:space="preserve"> </w:t>
      </w:r>
      <w:r w:rsidRPr="00DB64E1">
        <w:rPr>
          <w:rFonts w:ascii="Times New Roman" w:hAnsi="Times New Roman" w:cs="Times New Roman"/>
          <w:b/>
          <w:sz w:val="24"/>
          <w:szCs w:val="24"/>
        </w:rPr>
        <w:t xml:space="preserve">⅔ of the </w:t>
      </w:r>
      <w:r>
        <w:rPr>
          <w:rFonts w:ascii="Times New Roman" w:hAnsi="Times New Roman" w:cs="Times New Roman"/>
          <w:b/>
          <w:sz w:val="24"/>
          <w:szCs w:val="24"/>
        </w:rPr>
        <w:t>SAMW</w:t>
      </w:r>
      <w:r w:rsidR="00010981">
        <w:rPr>
          <w:rFonts w:ascii="Times New Roman" w:hAnsi="Times New Roman" w:cs="Times New Roman"/>
          <w:bCs/>
          <w:sz w:val="24"/>
          <w:szCs w:val="24"/>
        </w:rPr>
        <w:t>.</w:t>
      </w:r>
    </w:p>
    <w:p w14:paraId="1815FCF6" w14:textId="77777777" w:rsidR="00FF7482" w:rsidRDefault="00FF7482" w:rsidP="003E298B">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ab/>
      </w:r>
    </w:p>
    <w:p w14:paraId="6BB9FB68" w14:textId="0EB483A8" w:rsidR="00FF7482" w:rsidRPr="00010981" w:rsidRDefault="00FF7482" w:rsidP="003E298B">
      <w:pPr>
        <w:pStyle w:val="ListParagraph"/>
        <w:ind w:right="720"/>
        <w:jc w:val="both"/>
        <w:rPr>
          <w:rFonts w:ascii="Times New Roman" w:hAnsi="Times New Roman" w:cs="Times New Roman"/>
          <w:bCs/>
          <w:sz w:val="24"/>
          <w:szCs w:val="24"/>
        </w:rPr>
      </w:pPr>
      <w:r>
        <w:rPr>
          <w:rFonts w:ascii="Times New Roman" w:hAnsi="Times New Roman" w:cs="Times New Roman"/>
          <w:sz w:val="24"/>
          <w:szCs w:val="24"/>
        </w:rPr>
        <w:t>E</w:t>
      </w:r>
      <w:r w:rsidRPr="00DB64E1">
        <w:rPr>
          <w:rFonts w:ascii="Times New Roman" w:hAnsi="Times New Roman" w:cs="Times New Roman"/>
          <w:sz w:val="24"/>
          <w:szCs w:val="24"/>
        </w:rPr>
        <w:t xml:space="preserve">mployees whose </w:t>
      </w:r>
      <w:r>
        <w:rPr>
          <w:rFonts w:ascii="Times New Roman" w:hAnsi="Times New Roman" w:cs="Times New Roman"/>
          <w:sz w:val="24"/>
          <w:szCs w:val="24"/>
        </w:rPr>
        <w:t>AME</w:t>
      </w:r>
      <w:r w:rsidRPr="00DB64E1">
        <w:rPr>
          <w:rFonts w:ascii="Times New Roman" w:hAnsi="Times New Roman" w:cs="Times New Roman"/>
          <w:sz w:val="24"/>
          <w:szCs w:val="24"/>
        </w:rPr>
        <w:t xml:space="preserve"> </w:t>
      </w:r>
      <w:r w:rsidRPr="0054527E">
        <w:rPr>
          <w:rFonts w:ascii="Times New Roman" w:hAnsi="Times New Roman" w:cs="Times New Roman"/>
          <w:sz w:val="24"/>
          <w:szCs w:val="24"/>
          <w:u w:val="single"/>
        </w:rPr>
        <w:t>are greater than or equal to the SAMW</w:t>
      </w:r>
      <w:r w:rsidRPr="0054527E">
        <w:rPr>
          <w:rFonts w:ascii="Times New Roman" w:hAnsi="Times New Roman" w:cs="Times New Roman"/>
          <w:sz w:val="24"/>
          <w:szCs w:val="24"/>
        </w:rPr>
        <w:t>; the award</w:t>
      </w:r>
      <w:r>
        <w:rPr>
          <w:rFonts w:ascii="Times New Roman" w:hAnsi="Times New Roman" w:cs="Times New Roman"/>
          <w:sz w:val="24"/>
          <w:szCs w:val="24"/>
        </w:rPr>
        <w:t xml:space="preserve"> =</w:t>
      </w:r>
      <w:r w:rsidRPr="00DB64E1">
        <w:rPr>
          <w:rFonts w:ascii="Times New Roman" w:hAnsi="Times New Roman" w:cs="Times New Roman"/>
          <w:sz w:val="24"/>
          <w:szCs w:val="24"/>
        </w:rPr>
        <w:t xml:space="preserve"> </w:t>
      </w:r>
      <w:r w:rsidRPr="003E6E31">
        <w:rPr>
          <w:rFonts w:ascii="Times New Roman" w:hAnsi="Times New Roman" w:cs="Times New Roman"/>
          <w:b/>
          <w:sz w:val="24"/>
          <w:szCs w:val="24"/>
        </w:rPr>
        <w:t>⅔ of the employee</w:t>
      </w:r>
      <w:r>
        <w:rPr>
          <w:rFonts w:ascii="Times New Roman" w:hAnsi="Times New Roman" w:cs="Times New Roman"/>
          <w:b/>
          <w:sz w:val="24"/>
          <w:szCs w:val="24"/>
        </w:rPr>
        <w:t>’</w:t>
      </w:r>
      <w:r w:rsidRPr="003E6E31">
        <w:rPr>
          <w:rFonts w:ascii="Times New Roman" w:hAnsi="Times New Roman" w:cs="Times New Roman"/>
          <w:b/>
          <w:sz w:val="24"/>
          <w:szCs w:val="24"/>
        </w:rPr>
        <w:t>s AME</w:t>
      </w:r>
      <w:r>
        <w:rPr>
          <w:rFonts w:ascii="Times New Roman" w:hAnsi="Times New Roman" w:cs="Times New Roman"/>
          <w:b/>
          <w:sz w:val="24"/>
          <w:szCs w:val="24"/>
        </w:rPr>
        <w:t>,</w:t>
      </w:r>
      <w:r w:rsidRPr="003E6E31">
        <w:rPr>
          <w:rFonts w:ascii="Times New Roman" w:hAnsi="Times New Roman" w:cs="Times New Roman"/>
          <w:b/>
          <w:sz w:val="24"/>
          <w:szCs w:val="24"/>
        </w:rPr>
        <w:t xml:space="preserve"> capped at the SAMW</w:t>
      </w:r>
      <w:r w:rsidR="00010981">
        <w:rPr>
          <w:rFonts w:ascii="Times New Roman" w:hAnsi="Times New Roman" w:cs="Times New Roman"/>
          <w:bCs/>
          <w:sz w:val="24"/>
          <w:szCs w:val="24"/>
        </w:rPr>
        <w:t>.</w:t>
      </w:r>
    </w:p>
    <w:p w14:paraId="18B38BAF" w14:textId="3B026648" w:rsidR="00FF7482" w:rsidRDefault="00FF7482" w:rsidP="00DB64E1">
      <w:pPr>
        <w:pStyle w:val="ListParagraph"/>
        <w:jc w:val="both"/>
        <w:rPr>
          <w:rFonts w:ascii="Times New Roman" w:hAnsi="Times New Roman" w:cs="Times New Roman"/>
          <w:sz w:val="24"/>
          <w:szCs w:val="24"/>
        </w:rPr>
      </w:pPr>
    </w:p>
    <w:p w14:paraId="7B2C77E4" w14:textId="28017945" w:rsidR="00FF7482" w:rsidRDefault="00FF7482" w:rsidP="001E1C3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For example, the Statewide Average Monthly Wage for Quarter 2 in 2018 was $3,757. 73% of that figure was $2,742.61 (about $632.91 per week). An employee making less than this amount on the date of injury could receive an award of 92% of what they were actually earning on the date of injury. </w:t>
      </w:r>
      <w:bookmarkStart w:id="779" w:name="_Hlk24634113"/>
      <w:r>
        <w:rPr>
          <w:rFonts w:ascii="Times New Roman" w:hAnsi="Times New Roman" w:cs="Times New Roman"/>
          <w:sz w:val="24"/>
          <w:szCs w:val="24"/>
        </w:rPr>
        <w:t xml:space="preserve">An employee making between $2,742.61 and $3,757 per month could receive an award </w:t>
      </w:r>
      <w:r w:rsidRPr="00304875">
        <w:rPr>
          <w:rFonts w:ascii="Times New Roman" w:hAnsi="Times New Roman" w:cs="Times New Roman"/>
          <w:b/>
          <w:sz w:val="24"/>
          <w:szCs w:val="24"/>
        </w:rPr>
        <w:t>66 2/3% of the Statewide Average Monthly Wage</w:t>
      </w:r>
      <w:r>
        <w:rPr>
          <w:rFonts w:ascii="Times New Roman" w:hAnsi="Times New Roman" w:cs="Times New Roman"/>
          <w:sz w:val="24"/>
          <w:szCs w:val="24"/>
        </w:rPr>
        <w:t xml:space="preserve">, or about $2,504. </w:t>
      </w:r>
      <w:bookmarkEnd w:id="779"/>
      <w:r>
        <w:rPr>
          <w:rFonts w:ascii="Times New Roman" w:hAnsi="Times New Roman" w:cs="Times New Roman"/>
          <w:sz w:val="24"/>
          <w:szCs w:val="24"/>
        </w:rPr>
        <w:t xml:space="preserve">An employee making more than $3,757 could receive </w:t>
      </w:r>
      <w:r w:rsidRPr="00304875">
        <w:rPr>
          <w:rFonts w:ascii="Times New Roman" w:hAnsi="Times New Roman" w:cs="Times New Roman"/>
          <w:b/>
          <w:sz w:val="24"/>
          <w:szCs w:val="24"/>
        </w:rPr>
        <w:t xml:space="preserve">66 2/3% of </w:t>
      </w:r>
      <w:r>
        <w:rPr>
          <w:rFonts w:ascii="Times New Roman" w:hAnsi="Times New Roman" w:cs="Times New Roman"/>
          <w:b/>
          <w:sz w:val="24"/>
          <w:szCs w:val="24"/>
        </w:rPr>
        <w:t>his or her</w:t>
      </w:r>
      <w:r w:rsidRPr="00304875">
        <w:rPr>
          <w:rFonts w:ascii="Times New Roman" w:hAnsi="Times New Roman" w:cs="Times New Roman"/>
          <w:b/>
          <w:sz w:val="24"/>
          <w:szCs w:val="24"/>
        </w:rPr>
        <w:t xml:space="preserve"> actual earnings capped at the </w:t>
      </w:r>
      <w:r>
        <w:rPr>
          <w:rFonts w:ascii="Times New Roman" w:hAnsi="Times New Roman" w:cs="Times New Roman"/>
          <w:b/>
          <w:sz w:val="24"/>
          <w:szCs w:val="24"/>
        </w:rPr>
        <w:t xml:space="preserve">same </w:t>
      </w:r>
      <w:r w:rsidRPr="00304875">
        <w:rPr>
          <w:rFonts w:ascii="Times New Roman" w:hAnsi="Times New Roman" w:cs="Times New Roman"/>
          <w:b/>
          <w:sz w:val="24"/>
          <w:szCs w:val="24"/>
        </w:rPr>
        <w:t>$3,757</w:t>
      </w:r>
      <w:r>
        <w:rPr>
          <w:rFonts w:ascii="Times New Roman" w:hAnsi="Times New Roman" w:cs="Times New Roman"/>
          <w:b/>
          <w:sz w:val="24"/>
          <w:szCs w:val="24"/>
        </w:rPr>
        <w:t xml:space="preserve"> figure</w:t>
      </w:r>
      <w:r w:rsidRPr="00EE6E2A">
        <w:rPr>
          <w:rFonts w:ascii="Times New Roman" w:hAnsi="Times New Roman" w:cs="Times New Roman"/>
          <w:bCs/>
          <w:sz w:val="24"/>
          <w:szCs w:val="24"/>
        </w:rPr>
        <w:t>.</w:t>
      </w:r>
      <w:r>
        <w:rPr>
          <w:rFonts w:ascii="Times New Roman" w:hAnsi="Times New Roman" w:cs="Times New Roman"/>
          <w:sz w:val="24"/>
          <w:szCs w:val="24"/>
        </w:rPr>
        <w:t xml:space="preserve"> </w:t>
      </w:r>
      <w:r w:rsidRPr="000F755A">
        <w:rPr>
          <w:rFonts w:ascii="Times New Roman" w:hAnsi="Times New Roman" w:cs="Times New Roman"/>
          <w:b/>
          <w:sz w:val="24"/>
          <w:szCs w:val="24"/>
          <w:u w:val="single"/>
        </w:rPr>
        <w:t>Thus, in Wyoming workers’ compensation indemnity benefits are capped at the SAMW</w:t>
      </w:r>
      <w:r w:rsidR="00EE6E2A">
        <w:rPr>
          <w:rFonts w:ascii="Times New Roman" w:hAnsi="Times New Roman" w:cs="Times New Roman"/>
          <w:sz w:val="24"/>
          <w:szCs w:val="24"/>
        </w:rPr>
        <w:t xml:space="preserve">. </w:t>
      </w:r>
    </w:p>
    <w:p w14:paraId="4FDB2145" w14:textId="77777777" w:rsidR="00FF7482" w:rsidRDefault="00FF7482" w:rsidP="000F755A">
      <w:pPr>
        <w:pStyle w:val="ListParagraph"/>
        <w:ind w:left="0"/>
        <w:jc w:val="both"/>
        <w:rPr>
          <w:rFonts w:ascii="Times New Roman" w:hAnsi="Times New Roman" w:cs="Times New Roman"/>
          <w:sz w:val="24"/>
          <w:szCs w:val="24"/>
        </w:rPr>
      </w:pPr>
    </w:p>
    <w:p w14:paraId="2F0C32B5" w14:textId="09FC6615" w:rsidR="00FF7482" w:rsidRDefault="00FF7482" w:rsidP="00185DED">
      <w:pPr>
        <w:pStyle w:val="ListParagraph"/>
        <w:ind w:left="0"/>
        <w:jc w:val="both"/>
        <w:rPr>
          <w:rFonts w:ascii="Times New Roman" w:hAnsi="Times New Roman" w:cs="Times New Roman"/>
          <w:sz w:val="24"/>
          <w:szCs w:val="24"/>
        </w:rPr>
      </w:pPr>
      <w:bookmarkStart w:id="780" w:name="_Hlk532305073"/>
      <w:r>
        <w:rPr>
          <w:rFonts w:ascii="Times New Roman" w:hAnsi="Times New Roman" w:cs="Times New Roman"/>
          <w:sz w:val="24"/>
          <w:szCs w:val="24"/>
        </w:rPr>
        <w:t xml:space="preserve">By way of further example, imagine three employees: A, B, and C. A earns (on the date of injury) $10 per hour (about $1,733 per month). B earns (on the date of injury) $15 per hour (about $2,600 per month). C earns $20 per hour (about $3,467 per month). Assume the Quarter 2 2018 figure of $3,757 from the preceding paragraph. The actual monthly earnings of both A and B </w:t>
      </w:r>
      <w:r w:rsidR="00F520D6">
        <w:rPr>
          <w:rFonts w:ascii="Times New Roman" w:hAnsi="Times New Roman" w:cs="Times New Roman"/>
          <w:sz w:val="24"/>
          <w:szCs w:val="24"/>
        </w:rPr>
        <w:t>are</w:t>
      </w:r>
      <w:r>
        <w:rPr>
          <w:rFonts w:ascii="Times New Roman" w:hAnsi="Times New Roman" w:cs="Times New Roman"/>
          <w:sz w:val="24"/>
          <w:szCs w:val="24"/>
        </w:rPr>
        <w:t xml:space="preserve"> less than the 73% figure of $2,742.61. Thus, </w:t>
      </w:r>
      <w:r w:rsidRPr="00B844D5">
        <w:rPr>
          <w:rFonts w:ascii="Times New Roman" w:hAnsi="Times New Roman" w:cs="Times New Roman"/>
          <w:b/>
          <w:sz w:val="24"/>
          <w:szCs w:val="24"/>
        </w:rPr>
        <w:t>Employee A’s monthly benefit would be</w:t>
      </w:r>
      <w:r>
        <w:rPr>
          <w:rFonts w:ascii="Times New Roman" w:hAnsi="Times New Roman" w:cs="Times New Roman"/>
          <w:sz w:val="24"/>
          <w:szCs w:val="24"/>
        </w:rPr>
        <w:t xml:space="preserve"> </w:t>
      </w:r>
      <w:r w:rsidRPr="00B844D5">
        <w:rPr>
          <w:rFonts w:ascii="Times New Roman" w:hAnsi="Times New Roman" w:cs="Times New Roman"/>
          <w:b/>
          <w:sz w:val="24"/>
          <w:szCs w:val="24"/>
        </w:rPr>
        <w:t>92% x $1,733 = $1,594.36</w:t>
      </w:r>
      <w:r>
        <w:rPr>
          <w:rFonts w:ascii="Times New Roman" w:hAnsi="Times New Roman" w:cs="Times New Roman"/>
          <w:sz w:val="24"/>
          <w:szCs w:val="24"/>
        </w:rPr>
        <w:t xml:space="preserve">. </w:t>
      </w:r>
      <w:r w:rsidRPr="00B844D5">
        <w:rPr>
          <w:rFonts w:ascii="Times New Roman" w:hAnsi="Times New Roman" w:cs="Times New Roman"/>
          <w:b/>
          <w:sz w:val="24"/>
          <w:szCs w:val="24"/>
        </w:rPr>
        <w:t>Employee B’s monthly benefit would be 92% x $2,600 = $2,392</w:t>
      </w:r>
      <w:r>
        <w:rPr>
          <w:rFonts w:ascii="Times New Roman" w:hAnsi="Times New Roman" w:cs="Times New Roman"/>
          <w:sz w:val="24"/>
          <w:szCs w:val="24"/>
        </w:rPr>
        <w:t xml:space="preserve">. Employee C’s actual monthly earnings of $3,467 is more than 73% of the State Average Monthly Wage but less than the State Average Monthly Wage itself. Thus, </w:t>
      </w:r>
      <w:r w:rsidRPr="00B844D5">
        <w:rPr>
          <w:rFonts w:ascii="Times New Roman" w:hAnsi="Times New Roman" w:cs="Times New Roman"/>
          <w:b/>
          <w:sz w:val="24"/>
          <w:szCs w:val="24"/>
        </w:rPr>
        <w:t>Employee C’s monthly benefit would be 66 2/3% of $3,757 (the SAMW) = $2,504</w:t>
      </w:r>
      <w:r>
        <w:rPr>
          <w:rFonts w:ascii="Times New Roman" w:hAnsi="Times New Roman" w:cs="Times New Roman"/>
          <w:sz w:val="24"/>
          <w:szCs w:val="24"/>
        </w:rPr>
        <w:t>.</w:t>
      </w:r>
    </w:p>
    <w:bookmarkEnd w:id="780"/>
    <w:p w14:paraId="22DDC0C7" w14:textId="77777777" w:rsidR="00FF7482" w:rsidRDefault="00FF7482" w:rsidP="000F755A">
      <w:pPr>
        <w:pStyle w:val="ListParagraph"/>
        <w:ind w:left="0"/>
        <w:jc w:val="both"/>
        <w:rPr>
          <w:rFonts w:ascii="Times New Roman" w:hAnsi="Times New Roman" w:cs="Times New Roman"/>
          <w:sz w:val="24"/>
          <w:szCs w:val="24"/>
        </w:rPr>
      </w:pPr>
    </w:p>
    <w:p w14:paraId="13CBB946" w14:textId="32E4DA11" w:rsidR="00FF7482" w:rsidRDefault="00FF7482" w:rsidP="000F755A">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Now imagine a fourth employee, D, who earns (on the date of injury) </w:t>
      </w:r>
      <w:r w:rsidRPr="00B844D5">
        <w:rPr>
          <w:rFonts w:ascii="Times New Roman" w:hAnsi="Times New Roman" w:cs="Times New Roman"/>
          <w:sz w:val="24"/>
          <w:szCs w:val="24"/>
        </w:rPr>
        <w:t xml:space="preserve">$25 per hour </w:t>
      </w:r>
      <w:r>
        <w:rPr>
          <w:rFonts w:ascii="Times New Roman" w:hAnsi="Times New Roman" w:cs="Times New Roman"/>
          <w:sz w:val="24"/>
          <w:szCs w:val="24"/>
        </w:rPr>
        <w:t xml:space="preserve">(about $4,333 per month). D, who earns more than the State Average Monthly Wage, is entitled to 66 2/3% of actual monthly earnings capped at the State Average Monthly Wage. Step one of the calculation for D’s monthly benefit is to multiply his </w:t>
      </w:r>
      <w:r w:rsidRPr="00A15316">
        <w:rPr>
          <w:rFonts w:ascii="Times New Roman" w:hAnsi="Times New Roman" w:cs="Times New Roman"/>
          <w:b/>
          <w:sz w:val="24"/>
          <w:szCs w:val="24"/>
        </w:rPr>
        <w:t>actual monthly earnings times 66 2/3% x $4,333 = about $2,886</w:t>
      </w:r>
      <w:r>
        <w:rPr>
          <w:rFonts w:ascii="Times New Roman" w:hAnsi="Times New Roman" w:cs="Times New Roman"/>
          <w:sz w:val="24"/>
          <w:szCs w:val="24"/>
        </w:rPr>
        <w:t xml:space="preserve">. Because </w:t>
      </w:r>
      <w:r w:rsidRPr="00A15316">
        <w:rPr>
          <w:rFonts w:ascii="Times New Roman" w:hAnsi="Times New Roman" w:cs="Times New Roman"/>
          <w:b/>
          <w:sz w:val="24"/>
          <w:szCs w:val="24"/>
        </w:rPr>
        <w:t>$2,886 is less than the SAMW of $3,757</w:t>
      </w:r>
      <w:r>
        <w:rPr>
          <w:rFonts w:ascii="Times New Roman" w:hAnsi="Times New Roman" w:cs="Times New Roman"/>
          <w:sz w:val="24"/>
          <w:szCs w:val="24"/>
        </w:rPr>
        <w:t xml:space="preserve">, </w:t>
      </w:r>
      <w:r w:rsidRPr="00A15316">
        <w:rPr>
          <w:rFonts w:ascii="Times New Roman" w:hAnsi="Times New Roman" w:cs="Times New Roman"/>
          <w:b/>
          <w:sz w:val="24"/>
          <w:szCs w:val="24"/>
        </w:rPr>
        <w:t>D will receive the entire benefit amount.</w:t>
      </w:r>
      <w:r>
        <w:rPr>
          <w:rFonts w:ascii="Times New Roman" w:hAnsi="Times New Roman" w:cs="Times New Roman"/>
          <w:sz w:val="24"/>
          <w:szCs w:val="24"/>
        </w:rPr>
        <w:t xml:space="preserve"> </w:t>
      </w:r>
    </w:p>
    <w:p w14:paraId="5C485255" w14:textId="77777777" w:rsidR="00FF7482" w:rsidRDefault="00FF7482" w:rsidP="000F755A">
      <w:pPr>
        <w:pStyle w:val="ListParagraph"/>
        <w:ind w:left="0"/>
        <w:jc w:val="both"/>
        <w:rPr>
          <w:rFonts w:ascii="Times New Roman" w:hAnsi="Times New Roman" w:cs="Times New Roman"/>
          <w:sz w:val="24"/>
          <w:szCs w:val="24"/>
        </w:rPr>
      </w:pPr>
    </w:p>
    <w:p w14:paraId="6E1A4F56" w14:textId="49346DB6" w:rsidR="00FF7482" w:rsidRDefault="00FF7482" w:rsidP="00E6144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Permanent total disability awards are adjusted for inflation.</w:t>
      </w:r>
      <w:r w:rsidRPr="00910BB7">
        <w:rPr>
          <w:rFonts w:ascii="Times New Roman" w:hAnsi="Times New Roman" w:cs="Times New Roman"/>
          <w:sz w:val="24"/>
          <w:szCs w:val="24"/>
          <w:vertAlign w:val="superscript"/>
        </w:rPr>
        <w:footnoteReference w:id="553"/>
      </w:r>
      <w:r>
        <w:rPr>
          <w:rFonts w:ascii="Times New Roman" w:hAnsi="Times New Roman" w:cs="Times New Roman"/>
          <w:sz w:val="24"/>
          <w:szCs w:val="24"/>
        </w:rPr>
        <w:t xml:space="preserve">  </w:t>
      </w:r>
    </w:p>
    <w:p w14:paraId="68254946" w14:textId="77777777" w:rsidR="00E61447" w:rsidRPr="000F755A" w:rsidRDefault="00E61447" w:rsidP="00E61447">
      <w:pPr>
        <w:pStyle w:val="ListParagraph"/>
        <w:spacing w:after="0"/>
        <w:ind w:left="0"/>
        <w:jc w:val="both"/>
        <w:rPr>
          <w:rFonts w:ascii="Times New Roman" w:hAnsi="Times New Roman" w:cs="Times New Roman"/>
          <w:sz w:val="24"/>
          <w:szCs w:val="24"/>
        </w:rPr>
      </w:pPr>
    </w:p>
    <w:p w14:paraId="4DFEB9CF" w14:textId="39FBD858" w:rsidR="00FF7482" w:rsidRPr="00A75A86" w:rsidRDefault="00FF7482" w:rsidP="00CC116B">
      <w:pPr>
        <w:pStyle w:val="Heading2"/>
        <w:spacing w:before="0"/>
        <w:rPr>
          <w:rFonts w:ascii="Times New Roman" w:hAnsi="Times New Roman" w:cs="Times New Roman"/>
          <w:b/>
          <w:color w:val="auto"/>
          <w:sz w:val="28"/>
          <w:szCs w:val="28"/>
        </w:rPr>
      </w:pPr>
      <w:bookmarkStart w:id="782" w:name="_Toc75269403"/>
      <w:r w:rsidRPr="00A75A86">
        <w:rPr>
          <w:rFonts w:ascii="Times New Roman" w:hAnsi="Times New Roman" w:cs="Times New Roman"/>
          <w:b/>
          <w:color w:val="auto"/>
          <w:sz w:val="28"/>
          <w:szCs w:val="28"/>
        </w:rPr>
        <w:t>The Odd Lot Doctrine Generally</w:t>
      </w:r>
      <w:bookmarkEnd w:id="782"/>
    </w:p>
    <w:p w14:paraId="2CA18FFB" w14:textId="77777777" w:rsidR="00FF7482" w:rsidRDefault="00FF7482" w:rsidP="00A344D2">
      <w:pPr>
        <w:pStyle w:val="ListParagraph"/>
        <w:ind w:left="0"/>
        <w:jc w:val="both"/>
        <w:rPr>
          <w:rFonts w:ascii="Times New Roman" w:hAnsi="Times New Roman" w:cs="Times New Roman"/>
          <w:sz w:val="24"/>
          <w:szCs w:val="24"/>
        </w:rPr>
      </w:pPr>
    </w:p>
    <w:p w14:paraId="34C40E2A" w14:textId="4BE5BF2F" w:rsidR="00FF7482" w:rsidRDefault="00FF7482" w:rsidP="00E61447">
      <w:pPr>
        <w:pStyle w:val="ListParagraph"/>
        <w:ind w:left="0"/>
        <w:jc w:val="both"/>
        <w:rPr>
          <w:rFonts w:ascii="Times New Roman" w:hAnsi="Times New Roman" w:cs="Times New Roman"/>
          <w:sz w:val="24"/>
          <w:szCs w:val="24"/>
        </w:rPr>
      </w:pPr>
      <w:r w:rsidRPr="00444911">
        <w:rPr>
          <w:rFonts w:ascii="Times New Roman" w:hAnsi="Times New Roman" w:cs="Times New Roman"/>
          <w:sz w:val="24"/>
          <w:szCs w:val="24"/>
        </w:rPr>
        <w:t xml:space="preserve">In the words of the </w:t>
      </w:r>
      <w:r w:rsidRPr="00444911">
        <w:rPr>
          <w:rFonts w:ascii="Times New Roman" w:hAnsi="Times New Roman" w:cs="Times New Roman"/>
          <w:i/>
          <w:sz w:val="24"/>
          <w:szCs w:val="24"/>
        </w:rPr>
        <w:t>Larson’s</w:t>
      </w:r>
      <w:r w:rsidRPr="00444911">
        <w:rPr>
          <w:rFonts w:ascii="Times New Roman" w:hAnsi="Times New Roman" w:cs="Times New Roman"/>
          <w:sz w:val="24"/>
          <w:szCs w:val="24"/>
        </w:rPr>
        <w:t xml:space="preserve"> treatise,</w:t>
      </w:r>
      <w:r>
        <w:rPr>
          <w:rFonts w:ascii="Times New Roman" w:hAnsi="Times New Roman" w:cs="Times New Roman"/>
          <w:sz w:val="24"/>
          <w:szCs w:val="24"/>
        </w:rPr>
        <w:t xml:space="preserve"> </w:t>
      </w:r>
      <w:r w:rsidRPr="00444911">
        <w:rPr>
          <w:rFonts w:ascii="Times New Roman" w:hAnsi="Times New Roman" w:cs="Times New Roman"/>
          <w:sz w:val="24"/>
          <w:szCs w:val="24"/>
        </w:rPr>
        <w:t xml:space="preserve"> </w:t>
      </w:r>
    </w:p>
    <w:p w14:paraId="510A503C" w14:textId="13B4F739" w:rsidR="00FF7482" w:rsidRDefault="00FF7482" w:rsidP="00A344D2">
      <w:pPr>
        <w:pStyle w:val="ListParagraph"/>
        <w:ind w:left="0"/>
        <w:jc w:val="both"/>
        <w:rPr>
          <w:rFonts w:ascii="Times New Roman" w:hAnsi="Times New Roman" w:cs="Times New Roman"/>
          <w:sz w:val="24"/>
          <w:szCs w:val="24"/>
        </w:rPr>
      </w:pPr>
    </w:p>
    <w:p w14:paraId="207D0EFD" w14:textId="03C4052F" w:rsidR="00FF7482" w:rsidRDefault="00FF7482" w:rsidP="00E61447">
      <w:pPr>
        <w:pStyle w:val="ListParagraph"/>
        <w:ind w:right="720"/>
        <w:jc w:val="both"/>
        <w:rPr>
          <w:rFonts w:ascii="Times New Roman" w:hAnsi="Times New Roman" w:cs="Times New Roman"/>
          <w:sz w:val="24"/>
          <w:szCs w:val="24"/>
        </w:rPr>
      </w:pPr>
      <w:r w:rsidRPr="00444911">
        <w:rPr>
          <w:rFonts w:ascii="Times New Roman" w:hAnsi="Times New Roman" w:cs="Times New Roman"/>
          <w:sz w:val="24"/>
          <w:szCs w:val="24"/>
        </w:rPr>
        <w:t>Under the odd-lot doctrine, which is accepted in virtually every jurisdiction,</w:t>
      </w:r>
      <w:r>
        <w:rPr>
          <w:rFonts w:ascii="Times New Roman" w:hAnsi="Times New Roman" w:cs="Times New Roman"/>
          <w:sz w:val="24"/>
          <w:szCs w:val="24"/>
        </w:rPr>
        <w:t xml:space="preserve"> </w:t>
      </w:r>
      <w:r w:rsidRPr="00357031">
        <w:rPr>
          <w:rFonts w:ascii="Times New Roman" w:hAnsi="Times New Roman" w:cs="Times New Roman"/>
          <w:b/>
          <w:bCs/>
          <w:sz w:val="24"/>
          <w:szCs w:val="24"/>
        </w:rPr>
        <w:t>total disability may be found in the case of workers who, while not altogether incapacitated for work,</w:t>
      </w:r>
      <w:r w:rsidRPr="00444911">
        <w:rPr>
          <w:rFonts w:ascii="Times New Roman" w:hAnsi="Times New Roman" w:cs="Times New Roman"/>
          <w:sz w:val="24"/>
          <w:szCs w:val="24"/>
        </w:rPr>
        <w:t xml:space="preserve"> </w:t>
      </w:r>
      <w:r w:rsidRPr="004226D3">
        <w:rPr>
          <w:rFonts w:ascii="Times New Roman" w:hAnsi="Times New Roman" w:cs="Times New Roman"/>
          <w:b/>
          <w:sz w:val="24"/>
          <w:szCs w:val="24"/>
        </w:rPr>
        <w:t>are so handicapped that they will not be employed regularly in any well-known branch of the labor market</w:t>
      </w:r>
      <w:r w:rsidRPr="00444911">
        <w:rPr>
          <w:rFonts w:ascii="Times New Roman" w:hAnsi="Times New Roman" w:cs="Times New Roman"/>
          <w:sz w:val="24"/>
          <w:szCs w:val="24"/>
        </w:rPr>
        <w:t>.</w:t>
      </w:r>
      <w:r>
        <w:rPr>
          <w:rFonts w:ascii="Times New Roman" w:hAnsi="Times New Roman" w:cs="Times New Roman"/>
          <w:sz w:val="24"/>
          <w:szCs w:val="24"/>
        </w:rPr>
        <w:t xml:space="preserve"> </w:t>
      </w:r>
      <w:r w:rsidRPr="00444911">
        <w:rPr>
          <w:rFonts w:ascii="Times New Roman" w:hAnsi="Times New Roman" w:cs="Times New Roman"/>
          <w:sz w:val="24"/>
          <w:szCs w:val="24"/>
        </w:rPr>
        <w:t>The essence of the test is the probable dependability with which claimant can sell his or her services in a competitive labor market, undistorted by such factors as business booms, sympathy of a particular employer or friends, temporary good luck, or the superhuman efforts of the claimant to rise above crippling handicaps.</w:t>
      </w:r>
      <w:r w:rsidRPr="00910BB7">
        <w:rPr>
          <w:rFonts w:ascii="Times New Roman" w:hAnsi="Times New Roman" w:cs="Times New Roman"/>
          <w:sz w:val="24"/>
          <w:szCs w:val="24"/>
          <w:vertAlign w:val="superscript"/>
        </w:rPr>
        <w:footnoteReference w:id="554"/>
      </w:r>
    </w:p>
    <w:p w14:paraId="23DAF28E" w14:textId="4CD50FEE" w:rsidR="00FF7482" w:rsidRDefault="00FF7482" w:rsidP="00444911">
      <w:pPr>
        <w:pStyle w:val="ListParagraph"/>
        <w:ind w:right="720"/>
        <w:jc w:val="both"/>
        <w:rPr>
          <w:rFonts w:ascii="Times New Roman" w:hAnsi="Times New Roman" w:cs="Times New Roman"/>
          <w:sz w:val="24"/>
          <w:szCs w:val="24"/>
        </w:rPr>
      </w:pPr>
    </w:p>
    <w:p w14:paraId="24D0F56E" w14:textId="550DCA03" w:rsidR="00FF7482" w:rsidRDefault="00FF7482" w:rsidP="0044491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rule goes back at least to the early English Acts, and </w:t>
      </w:r>
      <w:r w:rsidRPr="00444911">
        <w:rPr>
          <w:rFonts w:ascii="Times New Roman" w:hAnsi="Times New Roman" w:cs="Times New Roman"/>
          <w:i/>
          <w:sz w:val="24"/>
          <w:szCs w:val="24"/>
        </w:rPr>
        <w:t xml:space="preserve">Larson’s </w:t>
      </w:r>
      <w:r>
        <w:rPr>
          <w:rFonts w:ascii="Times New Roman" w:hAnsi="Times New Roman" w:cs="Times New Roman"/>
          <w:sz w:val="24"/>
          <w:szCs w:val="24"/>
        </w:rPr>
        <w:t>quotes an ancient, English King’s Bench case for the same proposition. The language of the quote reveals that very little of the original principle has changed in the modern American cases:</w:t>
      </w:r>
    </w:p>
    <w:p w14:paraId="49A86A48" w14:textId="77777777" w:rsidR="00FF7482" w:rsidRDefault="00FF7482" w:rsidP="00444911">
      <w:pPr>
        <w:pStyle w:val="ListParagraph"/>
        <w:ind w:right="720"/>
        <w:jc w:val="both"/>
        <w:rPr>
          <w:rFonts w:ascii="Times New Roman" w:hAnsi="Times New Roman" w:cs="Times New Roman"/>
          <w:sz w:val="24"/>
          <w:szCs w:val="24"/>
        </w:rPr>
      </w:pPr>
    </w:p>
    <w:p w14:paraId="4F029C7D" w14:textId="6802C0D2" w:rsidR="00FF7482" w:rsidRDefault="00FF7482" w:rsidP="00444911">
      <w:pPr>
        <w:pStyle w:val="ListParagraph"/>
        <w:ind w:right="720"/>
        <w:jc w:val="both"/>
        <w:rPr>
          <w:rFonts w:ascii="Times New Roman" w:hAnsi="Times New Roman" w:cs="Times New Roman"/>
          <w:sz w:val="24"/>
          <w:szCs w:val="24"/>
        </w:rPr>
      </w:pPr>
      <w:r w:rsidRPr="00444911">
        <w:rPr>
          <w:rFonts w:ascii="Times New Roman" w:hAnsi="Times New Roman" w:cs="Times New Roman"/>
          <w:sz w:val="24"/>
          <w:szCs w:val="24"/>
        </w:rPr>
        <w:t xml:space="preserve">[T]here are cases in which the </w:t>
      </w:r>
      <w:r w:rsidRPr="004833B7">
        <w:rPr>
          <w:rFonts w:ascii="Times New Roman" w:hAnsi="Times New Roman" w:cs="Times New Roman"/>
          <w:b/>
          <w:sz w:val="24"/>
          <w:szCs w:val="24"/>
        </w:rPr>
        <w:t>onus</w:t>
      </w:r>
      <w:r w:rsidRPr="00444911">
        <w:rPr>
          <w:rFonts w:ascii="Times New Roman" w:hAnsi="Times New Roman" w:cs="Times New Roman"/>
          <w:sz w:val="24"/>
          <w:szCs w:val="24"/>
        </w:rPr>
        <w:t xml:space="preserve"> of shewing that suitable work can in fact be obtained </w:t>
      </w:r>
      <w:r w:rsidRPr="004833B7">
        <w:rPr>
          <w:rFonts w:ascii="Times New Roman" w:hAnsi="Times New Roman" w:cs="Times New Roman"/>
          <w:b/>
          <w:sz w:val="24"/>
          <w:szCs w:val="24"/>
        </w:rPr>
        <w:t>does fall upon the employer</w:t>
      </w:r>
      <w:r w:rsidRPr="00444911">
        <w:rPr>
          <w:rFonts w:ascii="Times New Roman" w:hAnsi="Times New Roman" w:cs="Times New Roman"/>
          <w:sz w:val="24"/>
          <w:szCs w:val="24"/>
        </w:rPr>
        <w:t xml:space="preserve"> who claims that the incapacity of the workman is only partial. If the accident has left the workman so injured that he is incapable of becoming an ordinary workman of average capacity in any well known branch of the labour market—if in other words </w:t>
      </w:r>
      <w:r w:rsidRPr="004833B7">
        <w:rPr>
          <w:rFonts w:ascii="Times New Roman" w:hAnsi="Times New Roman" w:cs="Times New Roman"/>
          <w:b/>
          <w:sz w:val="24"/>
          <w:szCs w:val="24"/>
        </w:rPr>
        <w:t>the capacities for work left to him fit him only for special uses and do not, so to speak, make his powers of labour a merchantable article in some of the well known lines of the labour market</w:t>
      </w:r>
      <w:r w:rsidRPr="00444911">
        <w:rPr>
          <w:rFonts w:ascii="Times New Roman" w:hAnsi="Times New Roman" w:cs="Times New Roman"/>
          <w:sz w:val="24"/>
          <w:szCs w:val="24"/>
        </w:rPr>
        <w:t xml:space="preserve">, I think </w:t>
      </w:r>
      <w:r w:rsidRPr="004833B7">
        <w:rPr>
          <w:rFonts w:ascii="Times New Roman" w:hAnsi="Times New Roman" w:cs="Times New Roman"/>
          <w:b/>
          <w:sz w:val="24"/>
          <w:szCs w:val="24"/>
        </w:rPr>
        <w:t xml:space="preserve">it is incumbent upon the employer to shew that such special employment can in fact </w:t>
      </w:r>
      <w:r w:rsidRPr="004833B7">
        <w:rPr>
          <w:rFonts w:ascii="Times New Roman" w:hAnsi="Times New Roman" w:cs="Times New Roman"/>
          <w:b/>
          <w:sz w:val="24"/>
          <w:szCs w:val="24"/>
        </w:rPr>
        <w:lastRenderedPageBreak/>
        <w:t>be obtained by him</w:t>
      </w:r>
      <w:r w:rsidRPr="00444911">
        <w:rPr>
          <w:rFonts w:ascii="Times New Roman" w:hAnsi="Times New Roman" w:cs="Times New Roman"/>
          <w:sz w:val="24"/>
          <w:szCs w:val="24"/>
        </w:rPr>
        <w:t xml:space="preserve">. If I might be allowed to use such an undignified phrase, I should say that if the accident leaves the workman’s labour in the position of an </w:t>
      </w:r>
      <w:r w:rsidRPr="004833B7">
        <w:rPr>
          <w:rFonts w:ascii="Times New Roman" w:hAnsi="Times New Roman" w:cs="Times New Roman"/>
          <w:b/>
          <w:sz w:val="24"/>
          <w:szCs w:val="24"/>
        </w:rPr>
        <w:t>“odd lot”</w:t>
      </w:r>
      <w:r w:rsidRPr="00444911">
        <w:rPr>
          <w:rFonts w:ascii="Times New Roman" w:hAnsi="Times New Roman" w:cs="Times New Roman"/>
          <w:sz w:val="24"/>
          <w:szCs w:val="24"/>
        </w:rPr>
        <w:t xml:space="preserve"> in the labour market, the employer must shew that a customer can be found who will take i</w:t>
      </w:r>
      <w:r>
        <w:rPr>
          <w:rFonts w:ascii="Times New Roman" w:hAnsi="Times New Roman" w:cs="Times New Roman"/>
          <w:sz w:val="24"/>
          <w:szCs w:val="24"/>
        </w:rPr>
        <w:t>t . . .</w:t>
      </w:r>
      <w:r w:rsidRPr="00910BB7">
        <w:rPr>
          <w:rFonts w:ascii="Times New Roman" w:hAnsi="Times New Roman" w:cs="Times New Roman"/>
          <w:sz w:val="24"/>
          <w:szCs w:val="24"/>
          <w:vertAlign w:val="superscript"/>
        </w:rPr>
        <w:footnoteReference w:id="555"/>
      </w:r>
      <w:r w:rsidRPr="00444911">
        <w:rPr>
          <w:rFonts w:ascii="Times New Roman" w:hAnsi="Times New Roman" w:cs="Times New Roman"/>
          <w:sz w:val="24"/>
          <w:szCs w:val="24"/>
        </w:rPr>
        <w:t> </w:t>
      </w:r>
    </w:p>
    <w:p w14:paraId="06EFCEAD" w14:textId="38D87B92" w:rsidR="00FF7482" w:rsidRDefault="00FF7482" w:rsidP="00444911">
      <w:pPr>
        <w:pStyle w:val="ListParagraph"/>
        <w:ind w:right="720"/>
        <w:jc w:val="both"/>
        <w:rPr>
          <w:rFonts w:ascii="Times New Roman" w:hAnsi="Times New Roman" w:cs="Times New Roman"/>
          <w:sz w:val="24"/>
          <w:szCs w:val="24"/>
        </w:rPr>
      </w:pPr>
    </w:p>
    <w:p w14:paraId="64096DC3" w14:textId="2A4C4189" w:rsidR="00FF7482" w:rsidRDefault="00FF7482" w:rsidP="000F0A1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Despite the apparent straightforwardness of the odd lot principle there is some potential for confusion of (1) a partial incapacity for which total benefits are paid because no work can be located within an injured worker’s physical (and perhaps assorted personal) limitations; with (2) a worker who, </w:t>
      </w:r>
      <w:r w:rsidRPr="004833B7">
        <w:rPr>
          <w:rFonts w:ascii="Times New Roman" w:hAnsi="Times New Roman" w:cs="Times New Roman"/>
          <w:b/>
          <w:sz w:val="24"/>
          <w:szCs w:val="24"/>
        </w:rPr>
        <w:t>though not physically helpless</w:t>
      </w:r>
      <w:r>
        <w:rPr>
          <w:rFonts w:ascii="Times New Roman" w:hAnsi="Times New Roman" w:cs="Times New Roman"/>
          <w:sz w:val="24"/>
          <w:szCs w:val="24"/>
        </w:rPr>
        <w:t xml:space="preserve">, is adjudged </w:t>
      </w:r>
      <w:r w:rsidRPr="004833B7">
        <w:rPr>
          <w:rFonts w:ascii="Times New Roman" w:hAnsi="Times New Roman" w:cs="Times New Roman"/>
          <w:b/>
          <w:sz w:val="24"/>
          <w:szCs w:val="24"/>
        </w:rPr>
        <w:t>at the outset</w:t>
      </w:r>
      <w:r>
        <w:rPr>
          <w:rFonts w:ascii="Times New Roman" w:hAnsi="Times New Roman" w:cs="Times New Roman"/>
          <w:sz w:val="24"/>
          <w:szCs w:val="24"/>
        </w:rPr>
        <w:t xml:space="preserve"> of a compensation proceeding to be </w:t>
      </w:r>
      <w:r w:rsidRPr="000F0A19">
        <w:rPr>
          <w:rFonts w:ascii="Times New Roman" w:hAnsi="Times New Roman" w:cs="Times New Roman"/>
          <w:b/>
          <w:sz w:val="24"/>
          <w:szCs w:val="24"/>
        </w:rPr>
        <w:t>permanently</w:t>
      </w:r>
      <w:r w:rsidRPr="003722D4">
        <w:rPr>
          <w:rFonts w:ascii="Times New Roman" w:hAnsi="Times New Roman" w:cs="Times New Roman"/>
          <w:bCs/>
          <w:sz w:val="24"/>
          <w:szCs w:val="24"/>
        </w:rPr>
        <w:t>,</w:t>
      </w:r>
      <w:r>
        <w:rPr>
          <w:rFonts w:ascii="Times New Roman" w:hAnsi="Times New Roman" w:cs="Times New Roman"/>
          <w:sz w:val="24"/>
          <w:szCs w:val="24"/>
        </w:rPr>
        <w:t xml:space="preserve"> totally incapacitated. The first situation might be conceived as a partially incapacitated worker (whether permanently or temporarily) who is </w:t>
      </w:r>
      <w:r>
        <w:rPr>
          <w:rFonts w:ascii="Times New Roman" w:hAnsi="Times New Roman" w:cs="Times New Roman"/>
          <w:b/>
          <w:sz w:val="24"/>
          <w:szCs w:val="24"/>
        </w:rPr>
        <w:t>provisionally</w:t>
      </w:r>
      <w:r>
        <w:rPr>
          <w:rFonts w:ascii="Times New Roman" w:hAnsi="Times New Roman" w:cs="Times New Roman"/>
          <w:sz w:val="24"/>
          <w:szCs w:val="24"/>
        </w:rPr>
        <w:t xml:space="preserve"> found entitled to total benefits. A distinction between the two may be that in the first scenario the employer’s burden of proof showing a regaining of work capacity in the injured worker is likely to be lower than in the second.</w:t>
      </w:r>
      <w:r w:rsidRPr="00910BB7">
        <w:rPr>
          <w:rFonts w:ascii="Times New Roman" w:hAnsi="Times New Roman" w:cs="Times New Roman"/>
          <w:sz w:val="24"/>
          <w:szCs w:val="24"/>
          <w:vertAlign w:val="superscript"/>
        </w:rPr>
        <w:footnoteReference w:id="556"/>
      </w:r>
      <w:r>
        <w:rPr>
          <w:rFonts w:ascii="Times New Roman" w:hAnsi="Times New Roman" w:cs="Times New Roman"/>
          <w:sz w:val="24"/>
          <w:szCs w:val="24"/>
        </w:rPr>
        <w:t xml:space="preserve"> Furthermore, the “100% partial” claimant (category (1) typically possesses </w:t>
      </w:r>
      <w:r w:rsidRPr="0095690F">
        <w:rPr>
          <w:rFonts w:ascii="Times New Roman" w:hAnsi="Times New Roman" w:cs="Times New Roman"/>
          <w:i/>
          <w:iCs/>
          <w:sz w:val="24"/>
          <w:szCs w:val="24"/>
        </w:rPr>
        <w:t>some</w:t>
      </w:r>
      <w:r>
        <w:rPr>
          <w:rFonts w:ascii="Times New Roman" w:hAnsi="Times New Roman" w:cs="Times New Roman"/>
          <w:sz w:val="24"/>
          <w:szCs w:val="24"/>
        </w:rPr>
        <w:t xml:space="preserve"> </w:t>
      </w:r>
      <w:r w:rsidRPr="004226D3">
        <w:rPr>
          <w:rFonts w:ascii="Times New Roman" w:hAnsi="Times New Roman" w:cs="Times New Roman"/>
          <w:b/>
          <w:sz w:val="24"/>
          <w:szCs w:val="24"/>
        </w:rPr>
        <w:t>work search</w:t>
      </w:r>
      <w:r>
        <w:rPr>
          <w:rFonts w:ascii="Times New Roman" w:hAnsi="Times New Roman" w:cs="Times New Roman"/>
          <w:sz w:val="24"/>
          <w:szCs w:val="24"/>
        </w:rPr>
        <w:t xml:space="preserve"> obligation to affirmatively demonstrate a </w:t>
      </w:r>
      <w:r w:rsidRPr="0095690F">
        <w:rPr>
          <w:rFonts w:ascii="Times New Roman" w:hAnsi="Times New Roman" w:cs="Times New Roman"/>
          <w:i/>
          <w:iCs/>
          <w:sz w:val="24"/>
          <w:szCs w:val="24"/>
        </w:rPr>
        <w:t xml:space="preserve">continuing </w:t>
      </w:r>
      <w:r>
        <w:rPr>
          <w:rFonts w:ascii="Times New Roman" w:hAnsi="Times New Roman" w:cs="Times New Roman"/>
          <w:sz w:val="24"/>
          <w:szCs w:val="24"/>
        </w:rPr>
        <w:t xml:space="preserve">inability to locate work. </w:t>
      </w:r>
    </w:p>
    <w:p w14:paraId="29C32154" w14:textId="3DE269C2" w:rsidR="00FF7482" w:rsidRDefault="00FF7482" w:rsidP="000F0A19">
      <w:pPr>
        <w:pStyle w:val="ListParagraph"/>
        <w:ind w:left="0"/>
        <w:jc w:val="both"/>
        <w:rPr>
          <w:rFonts w:ascii="Times New Roman" w:hAnsi="Times New Roman" w:cs="Times New Roman"/>
          <w:sz w:val="24"/>
          <w:szCs w:val="24"/>
        </w:rPr>
      </w:pPr>
    </w:p>
    <w:p w14:paraId="70541DB6" w14:textId="71D8E0E7" w:rsidR="00FF7482" w:rsidRDefault="00FF7482" w:rsidP="00F02E62">
      <w:pPr>
        <w:pStyle w:val="ListParagraph"/>
        <w:spacing w:after="0"/>
        <w:ind w:left="0"/>
        <w:jc w:val="both"/>
        <w:rPr>
          <w:rFonts w:ascii="Times New Roman" w:hAnsi="Times New Roman" w:cs="Times New Roman"/>
          <w:sz w:val="24"/>
          <w:szCs w:val="24"/>
        </w:rPr>
      </w:pPr>
      <w:r w:rsidRPr="005E0E03">
        <w:rPr>
          <w:rFonts w:ascii="Times New Roman" w:hAnsi="Times New Roman" w:cs="Times New Roman"/>
          <w:i/>
          <w:sz w:val="24"/>
          <w:szCs w:val="24"/>
        </w:rPr>
        <w:t>Larson’s</w:t>
      </w:r>
      <w:r>
        <w:rPr>
          <w:rFonts w:ascii="Times New Roman" w:hAnsi="Times New Roman" w:cs="Times New Roman"/>
          <w:sz w:val="24"/>
          <w:szCs w:val="24"/>
        </w:rPr>
        <w:t xml:space="preserve"> proposed formulation is that, “[i]</w:t>
      </w:r>
      <w:r w:rsidRPr="005E0E03">
        <w:rPr>
          <w:rFonts w:ascii="Times New Roman" w:hAnsi="Times New Roman" w:cs="Times New Roman"/>
          <w:sz w:val="24"/>
          <w:szCs w:val="24"/>
        </w:rPr>
        <w:t>f the evidence of degree of obvious physical impairment, coupled with other facts such as claimant’s mental capacity, education, training,</w:t>
      </w:r>
      <w:r>
        <w:rPr>
          <w:rFonts w:ascii="Times New Roman" w:hAnsi="Times New Roman" w:cs="Times New Roman"/>
          <w:sz w:val="24"/>
          <w:szCs w:val="24"/>
        </w:rPr>
        <w:t xml:space="preserve"> </w:t>
      </w:r>
      <w:r w:rsidRPr="005E0E03">
        <w:rPr>
          <w:rFonts w:ascii="Times New Roman" w:hAnsi="Times New Roman" w:cs="Times New Roman"/>
          <w:sz w:val="24"/>
          <w:szCs w:val="24"/>
        </w:rPr>
        <w:t>or age,</w:t>
      </w:r>
      <w:r>
        <w:rPr>
          <w:rFonts w:ascii="Times New Roman" w:hAnsi="Times New Roman" w:cs="Times New Roman"/>
          <w:sz w:val="24"/>
          <w:szCs w:val="24"/>
        </w:rPr>
        <w:t xml:space="preserve"> </w:t>
      </w:r>
      <w:r w:rsidRPr="005E0E03">
        <w:rPr>
          <w:rFonts w:ascii="Times New Roman" w:hAnsi="Times New Roman" w:cs="Times New Roman"/>
          <w:sz w:val="24"/>
          <w:szCs w:val="24"/>
        </w:rPr>
        <w:t>places claimant prima facie in the odd-lot category, the burden should be on the employer</w:t>
      </w:r>
      <w:r>
        <w:rPr>
          <w:rFonts w:ascii="Times New Roman" w:hAnsi="Times New Roman" w:cs="Times New Roman"/>
          <w:sz w:val="24"/>
          <w:szCs w:val="24"/>
        </w:rPr>
        <w:t xml:space="preserve"> </w:t>
      </w:r>
      <w:r w:rsidRPr="005E0E03">
        <w:rPr>
          <w:rFonts w:ascii="Times New Roman" w:hAnsi="Times New Roman" w:cs="Times New Roman"/>
          <w:sz w:val="24"/>
          <w:szCs w:val="24"/>
        </w:rPr>
        <w:t>to show that some kind of suitable work is regularly and continuously available to the claimant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57"/>
      </w:r>
      <w:r>
        <w:rPr>
          <w:rFonts w:ascii="Times New Roman" w:hAnsi="Times New Roman" w:cs="Times New Roman"/>
          <w:sz w:val="24"/>
          <w:szCs w:val="24"/>
        </w:rPr>
        <w:t xml:space="preserve"> Note that there is no requirement in this proposed standard that the claimant have the </w:t>
      </w:r>
      <w:r w:rsidRPr="0095690F">
        <w:rPr>
          <w:rFonts w:ascii="Times New Roman" w:hAnsi="Times New Roman" w:cs="Times New Roman"/>
          <w:i/>
          <w:iCs/>
          <w:sz w:val="24"/>
          <w:szCs w:val="24"/>
        </w:rPr>
        <w:t>initial</w:t>
      </w:r>
      <w:r>
        <w:rPr>
          <w:rFonts w:ascii="Times New Roman" w:hAnsi="Times New Roman" w:cs="Times New Roman"/>
          <w:sz w:val="24"/>
          <w:szCs w:val="24"/>
        </w:rPr>
        <w:t xml:space="preserve"> burden of providing evidence of a failed work search, and some courts have concluded that such a preliminary showing is not consistent with the rule.</w:t>
      </w:r>
      <w:r w:rsidRPr="00910BB7">
        <w:rPr>
          <w:rFonts w:ascii="Times New Roman" w:hAnsi="Times New Roman" w:cs="Times New Roman"/>
          <w:sz w:val="24"/>
          <w:szCs w:val="24"/>
          <w:vertAlign w:val="superscript"/>
        </w:rPr>
        <w:footnoteReference w:id="558"/>
      </w:r>
      <w:r>
        <w:rPr>
          <w:rFonts w:ascii="Times New Roman" w:hAnsi="Times New Roman" w:cs="Times New Roman"/>
          <w:sz w:val="24"/>
          <w:szCs w:val="24"/>
        </w:rPr>
        <w:t xml:space="preserve">  </w:t>
      </w:r>
    </w:p>
    <w:p w14:paraId="3F1F10DF" w14:textId="77777777" w:rsidR="00FF7482" w:rsidRDefault="00FF7482" w:rsidP="00F02E62">
      <w:pPr>
        <w:pStyle w:val="ListParagraph"/>
        <w:spacing w:after="0"/>
        <w:ind w:left="0"/>
        <w:jc w:val="both"/>
        <w:rPr>
          <w:rFonts w:ascii="Times New Roman" w:hAnsi="Times New Roman" w:cs="Times New Roman"/>
          <w:sz w:val="24"/>
          <w:szCs w:val="24"/>
        </w:rPr>
      </w:pPr>
    </w:p>
    <w:p w14:paraId="6647AA13" w14:textId="3BA54BD5" w:rsidR="00FF7482" w:rsidRPr="00A75A86" w:rsidRDefault="00FF7482" w:rsidP="003722D4">
      <w:pPr>
        <w:pStyle w:val="Heading2"/>
        <w:spacing w:before="0"/>
        <w:rPr>
          <w:rFonts w:ascii="Times New Roman" w:hAnsi="Times New Roman" w:cs="Times New Roman"/>
          <w:b/>
          <w:color w:val="auto"/>
          <w:sz w:val="28"/>
          <w:szCs w:val="28"/>
        </w:rPr>
      </w:pPr>
      <w:bookmarkStart w:id="791" w:name="_Toc75269404"/>
      <w:r w:rsidRPr="00A75A86">
        <w:rPr>
          <w:rFonts w:ascii="Times New Roman" w:hAnsi="Times New Roman" w:cs="Times New Roman"/>
          <w:b/>
          <w:color w:val="auto"/>
          <w:sz w:val="28"/>
          <w:szCs w:val="28"/>
        </w:rPr>
        <w:t>The Odd Lot Doctrine in Wyoming</w:t>
      </w:r>
      <w:bookmarkEnd w:id="791"/>
    </w:p>
    <w:p w14:paraId="6CB18899" w14:textId="77777777" w:rsidR="00FF7482" w:rsidRDefault="00FF7482" w:rsidP="00CF645C">
      <w:pPr>
        <w:pStyle w:val="ListParagraph"/>
        <w:spacing w:after="0"/>
        <w:ind w:left="0"/>
        <w:jc w:val="both"/>
        <w:rPr>
          <w:rFonts w:ascii="Times New Roman" w:hAnsi="Times New Roman" w:cs="Times New Roman"/>
          <w:sz w:val="24"/>
          <w:szCs w:val="24"/>
        </w:rPr>
      </w:pPr>
    </w:p>
    <w:p w14:paraId="5E8CCF20" w14:textId="6ECE23D2" w:rsidR="00FF7482" w:rsidRDefault="00FF7482" w:rsidP="00021EF4">
      <w:pPr>
        <w:pStyle w:val="ListParagraph"/>
        <w:ind w:left="0"/>
        <w:jc w:val="both"/>
        <w:rPr>
          <w:rFonts w:ascii="Times New Roman" w:hAnsi="Times New Roman" w:cs="Times New Roman"/>
          <w:sz w:val="24"/>
          <w:szCs w:val="24"/>
        </w:rPr>
      </w:pPr>
      <w:r w:rsidRPr="00021EF4">
        <w:rPr>
          <w:rFonts w:ascii="Times New Roman" w:hAnsi="Times New Roman" w:cs="Times New Roman"/>
          <w:sz w:val="24"/>
          <w:szCs w:val="24"/>
        </w:rPr>
        <w:t>Given the</w:t>
      </w:r>
      <w:r>
        <w:rPr>
          <w:rFonts w:ascii="Times New Roman" w:hAnsi="Times New Roman" w:cs="Times New Roman"/>
          <w:sz w:val="24"/>
          <w:szCs w:val="24"/>
        </w:rPr>
        <w:t xml:space="preserve"> textual</w:t>
      </w:r>
      <w:r w:rsidRPr="00021EF4">
        <w:rPr>
          <w:rFonts w:ascii="Times New Roman" w:hAnsi="Times New Roman" w:cs="Times New Roman"/>
          <w:sz w:val="24"/>
          <w:szCs w:val="24"/>
        </w:rPr>
        <w:t xml:space="preserve"> harshness of the total disability (</w:t>
      </w:r>
      <w:r w:rsidRPr="00CF645C">
        <w:rPr>
          <w:rFonts w:ascii="Times New Roman" w:hAnsi="Times New Roman" w:cs="Times New Roman"/>
          <w:b/>
          <w:i/>
          <w:sz w:val="24"/>
          <w:szCs w:val="24"/>
        </w:rPr>
        <w:t>loss of use of the body as a whole</w:t>
      </w:r>
      <w:r w:rsidRPr="00021EF4">
        <w:rPr>
          <w:rFonts w:ascii="Times New Roman" w:hAnsi="Times New Roman" w:cs="Times New Roman"/>
          <w:sz w:val="24"/>
          <w:szCs w:val="24"/>
        </w:rPr>
        <w:t>) standard described above in Section 5.5</w:t>
      </w:r>
      <w:r>
        <w:rPr>
          <w:rFonts w:ascii="Times New Roman" w:hAnsi="Times New Roman" w:cs="Times New Roman"/>
          <w:sz w:val="24"/>
          <w:szCs w:val="24"/>
        </w:rPr>
        <w:t xml:space="preserve">, the odd lot doctrine would seem to take on heightened importance in Wyoming. </w:t>
      </w:r>
      <w:bookmarkStart w:id="792" w:name="_Hlk24634233"/>
      <w:r>
        <w:rPr>
          <w:rFonts w:ascii="Times New Roman" w:hAnsi="Times New Roman" w:cs="Times New Roman"/>
          <w:sz w:val="24"/>
          <w:szCs w:val="24"/>
        </w:rPr>
        <w:t>Strictly read, few claimants could meet a “loss of use of the body as a whole”</w:t>
      </w:r>
      <w:r w:rsidR="009B1C8E">
        <w:rPr>
          <w:rFonts w:ascii="Times New Roman" w:hAnsi="Times New Roman" w:cs="Times New Roman"/>
          <w:sz w:val="24"/>
          <w:szCs w:val="24"/>
        </w:rPr>
        <w:t xml:space="preserve"> standard</w:t>
      </w:r>
      <w:r>
        <w:rPr>
          <w:rFonts w:ascii="Times New Roman" w:hAnsi="Times New Roman" w:cs="Times New Roman"/>
          <w:sz w:val="24"/>
          <w:szCs w:val="24"/>
        </w:rPr>
        <w:t xml:space="preserve"> even though they were </w:t>
      </w:r>
      <w:r>
        <w:rPr>
          <w:rFonts w:ascii="Times New Roman" w:hAnsi="Times New Roman" w:cs="Times New Roman"/>
          <w:sz w:val="24"/>
          <w:szCs w:val="24"/>
        </w:rPr>
        <w:lastRenderedPageBreak/>
        <w:t xml:space="preserve">functionally unemployable. </w:t>
      </w:r>
      <w:bookmarkEnd w:id="792"/>
      <w:r>
        <w:rPr>
          <w:rFonts w:ascii="Times New Roman" w:hAnsi="Times New Roman" w:cs="Times New Roman"/>
          <w:sz w:val="24"/>
          <w:szCs w:val="24"/>
        </w:rPr>
        <w:t xml:space="preserve">Relatedly, the odd lot doctrine in Wyoming, as in some other jurisdictions, makes it unnecessary for a “partially incapacitated” employee to look for work </w:t>
      </w:r>
      <w:r w:rsidRPr="00CF645C">
        <w:rPr>
          <w:rFonts w:ascii="Times New Roman" w:hAnsi="Times New Roman" w:cs="Times New Roman"/>
          <w:b/>
          <w:sz w:val="24"/>
          <w:szCs w:val="24"/>
        </w:rPr>
        <w:t>where such a search would be futile</w:t>
      </w:r>
      <w:r>
        <w:rPr>
          <w:rFonts w:ascii="Times New Roman" w:hAnsi="Times New Roman" w:cs="Times New Roman"/>
          <w:sz w:val="24"/>
          <w:szCs w:val="24"/>
        </w:rPr>
        <w:t>. The letter of the odd lot doctrine holds that,</w:t>
      </w:r>
    </w:p>
    <w:p w14:paraId="345DFCC3" w14:textId="77777777" w:rsidR="00FF7482" w:rsidRDefault="00FF7482" w:rsidP="00021EF4">
      <w:pPr>
        <w:pStyle w:val="ListParagraph"/>
        <w:ind w:left="0"/>
        <w:jc w:val="both"/>
        <w:rPr>
          <w:rFonts w:ascii="Times New Roman" w:hAnsi="Times New Roman" w:cs="Times New Roman"/>
          <w:sz w:val="24"/>
          <w:szCs w:val="24"/>
        </w:rPr>
      </w:pPr>
    </w:p>
    <w:p w14:paraId="2F1133A9" w14:textId="6F101E9A" w:rsidR="00FF7482" w:rsidRDefault="00FF7482" w:rsidP="004226D3">
      <w:pPr>
        <w:pStyle w:val="ListParagraph"/>
        <w:ind w:right="720"/>
        <w:jc w:val="both"/>
        <w:rPr>
          <w:rFonts w:ascii="Times New Roman" w:hAnsi="Times New Roman" w:cs="Times New Roman"/>
          <w:sz w:val="24"/>
          <w:szCs w:val="24"/>
        </w:rPr>
      </w:pPr>
      <w:r w:rsidRPr="004226D3">
        <w:rPr>
          <w:rFonts w:ascii="Times New Roman" w:hAnsi="Times New Roman" w:cs="Times New Roman"/>
          <w:sz w:val="24"/>
          <w:szCs w:val="24"/>
        </w:rPr>
        <w:t xml:space="preserve">To be entitled to an award of benefits under the odd lot doctrine, an employee must prove: 1) </w:t>
      </w:r>
      <w:r w:rsidRPr="004226D3">
        <w:rPr>
          <w:rFonts w:ascii="Times New Roman" w:hAnsi="Times New Roman" w:cs="Times New Roman"/>
          <w:b/>
          <w:sz w:val="24"/>
          <w:szCs w:val="24"/>
        </w:rPr>
        <w:t>he is no longer capable of performing the job he had at the time of his injury</w:t>
      </w:r>
      <w:r w:rsidRPr="004226D3">
        <w:rPr>
          <w:rFonts w:ascii="Times New Roman" w:hAnsi="Times New Roman" w:cs="Times New Roman"/>
          <w:sz w:val="24"/>
          <w:szCs w:val="24"/>
        </w:rPr>
        <w:t xml:space="preserve"> and 2) </w:t>
      </w:r>
      <w:r w:rsidRPr="004226D3">
        <w:rPr>
          <w:rFonts w:ascii="Times New Roman" w:hAnsi="Times New Roman" w:cs="Times New Roman"/>
          <w:b/>
          <w:sz w:val="24"/>
          <w:szCs w:val="24"/>
        </w:rPr>
        <w:t>the degree of his physical impairment coupled with other factors such as his mental capacity, education, training and age make him eligible for PTD benefits even though he is not totally incapacitated</w:t>
      </w:r>
      <w:r w:rsidRPr="004226D3">
        <w:rPr>
          <w:rFonts w:ascii="Times New Roman" w:hAnsi="Times New Roman" w:cs="Times New Roman"/>
          <w:sz w:val="24"/>
          <w:szCs w:val="24"/>
        </w:rPr>
        <w:t xml:space="preserve">. To satisfy this burden, an employee </w:t>
      </w:r>
      <w:r w:rsidRPr="004226D3">
        <w:rPr>
          <w:rFonts w:ascii="Times New Roman" w:hAnsi="Times New Roman" w:cs="Times New Roman"/>
          <w:b/>
          <w:sz w:val="24"/>
          <w:szCs w:val="24"/>
        </w:rPr>
        <w:t>must also demonstrate he made reasonable efforts to find work in his community after reaching maximum medical improvement or, alternatively, that he was so completely disabled by his work-related injury that any effort to find employment would have been futile</w:t>
      </w:r>
      <w:r w:rsidRPr="004226D3">
        <w:rPr>
          <w:rFonts w:ascii="Times New Roman" w:hAnsi="Times New Roman" w:cs="Times New Roman"/>
          <w:sz w:val="24"/>
          <w:szCs w:val="24"/>
        </w:rPr>
        <w:t xml:space="preserve">. If the employee meets his burden, </w:t>
      </w:r>
      <w:r w:rsidRPr="004226D3">
        <w:rPr>
          <w:rFonts w:ascii="Times New Roman" w:hAnsi="Times New Roman" w:cs="Times New Roman"/>
          <w:b/>
          <w:sz w:val="24"/>
          <w:szCs w:val="24"/>
        </w:rPr>
        <w:t>the employer</w:t>
      </w:r>
      <w:r w:rsidRPr="004226D3">
        <w:rPr>
          <w:rFonts w:ascii="Times New Roman" w:hAnsi="Times New Roman" w:cs="Times New Roman"/>
          <w:sz w:val="24"/>
          <w:szCs w:val="24"/>
        </w:rPr>
        <w:t xml:space="preserve"> must then prove that light work of a special nature which the employee could perform but which is not generally available </w:t>
      </w:r>
      <w:r w:rsidRPr="004226D3">
        <w:rPr>
          <w:rFonts w:ascii="Times New Roman" w:hAnsi="Times New Roman" w:cs="Times New Roman"/>
          <w:b/>
          <w:sz w:val="24"/>
          <w:szCs w:val="24"/>
        </w:rPr>
        <w:t>in fact is available</w:t>
      </w:r>
      <w:r w:rsidRPr="004226D3">
        <w:rPr>
          <w:rFonts w:ascii="Times New Roman" w:hAnsi="Times New Roman" w:cs="Times New Roman"/>
          <w:sz w:val="24"/>
          <w:szCs w:val="24"/>
        </w:rPr>
        <w:t xml:space="preserve"> to the employee.</w:t>
      </w:r>
      <w:r w:rsidRPr="00910BB7">
        <w:rPr>
          <w:rFonts w:ascii="Times New Roman" w:hAnsi="Times New Roman" w:cs="Times New Roman"/>
          <w:sz w:val="24"/>
          <w:szCs w:val="24"/>
          <w:vertAlign w:val="superscript"/>
        </w:rPr>
        <w:footnoteReference w:id="559"/>
      </w:r>
    </w:p>
    <w:p w14:paraId="229EC877" w14:textId="407D3713" w:rsidR="00FF7482" w:rsidRDefault="00FF7482" w:rsidP="004226D3">
      <w:pPr>
        <w:pStyle w:val="ListParagraph"/>
        <w:ind w:right="720"/>
        <w:jc w:val="both"/>
        <w:rPr>
          <w:rFonts w:ascii="Times New Roman" w:hAnsi="Times New Roman" w:cs="Times New Roman"/>
          <w:sz w:val="24"/>
          <w:szCs w:val="24"/>
        </w:rPr>
      </w:pPr>
    </w:p>
    <w:p w14:paraId="0C0DDFA7" w14:textId="67F07D07" w:rsidR="00FF7482" w:rsidRDefault="00FF7482" w:rsidP="00F02E6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futility proviso suggests that an employee </w:t>
      </w:r>
      <w:r w:rsidRPr="000F7EF7">
        <w:rPr>
          <w:rFonts w:ascii="Times New Roman" w:hAnsi="Times New Roman" w:cs="Times New Roman"/>
          <w:i/>
          <w:sz w:val="24"/>
          <w:szCs w:val="24"/>
        </w:rPr>
        <w:t>may</w:t>
      </w:r>
      <w:r>
        <w:rPr>
          <w:rFonts w:ascii="Times New Roman" w:hAnsi="Times New Roman" w:cs="Times New Roman"/>
          <w:sz w:val="24"/>
          <w:szCs w:val="24"/>
        </w:rPr>
        <w:t xml:space="preserve"> be determined </w:t>
      </w:r>
      <w:r w:rsidRPr="00CF645C">
        <w:rPr>
          <w:rFonts w:ascii="Times New Roman" w:hAnsi="Times New Roman" w:cs="Times New Roman"/>
          <w:i/>
          <w:sz w:val="24"/>
          <w:szCs w:val="24"/>
        </w:rPr>
        <w:t>de facto</w:t>
      </w:r>
      <w:r>
        <w:rPr>
          <w:rFonts w:ascii="Times New Roman" w:hAnsi="Times New Roman" w:cs="Times New Roman"/>
          <w:sz w:val="24"/>
          <w:szCs w:val="24"/>
        </w:rPr>
        <w:t xml:space="preserve"> totally disabled even if he or she has </w:t>
      </w:r>
      <w:r w:rsidRPr="00CF645C">
        <w:rPr>
          <w:rFonts w:ascii="Times New Roman" w:hAnsi="Times New Roman" w:cs="Times New Roman"/>
          <w:i/>
          <w:sz w:val="24"/>
          <w:szCs w:val="24"/>
        </w:rPr>
        <w:t>not</w:t>
      </w:r>
      <w:r>
        <w:rPr>
          <w:rFonts w:ascii="Times New Roman" w:hAnsi="Times New Roman" w:cs="Times New Roman"/>
          <w:sz w:val="24"/>
          <w:szCs w:val="24"/>
        </w:rPr>
        <w:t xml:space="preserve"> lost the use of the body as a whole </w:t>
      </w:r>
      <w:r w:rsidRPr="000F7EF7">
        <w:rPr>
          <w:rFonts w:ascii="Times New Roman" w:hAnsi="Times New Roman" w:cs="Times New Roman"/>
          <w:b/>
          <w:sz w:val="24"/>
          <w:szCs w:val="24"/>
        </w:rPr>
        <w:t>and</w:t>
      </w:r>
      <w:r>
        <w:rPr>
          <w:rFonts w:ascii="Times New Roman" w:hAnsi="Times New Roman" w:cs="Times New Roman"/>
          <w:sz w:val="24"/>
          <w:szCs w:val="24"/>
        </w:rPr>
        <w:t xml:space="preserve"> has </w:t>
      </w:r>
      <w:r w:rsidRPr="00BA65C0">
        <w:rPr>
          <w:rFonts w:ascii="Times New Roman" w:hAnsi="Times New Roman" w:cs="Times New Roman"/>
          <w:i/>
          <w:sz w:val="24"/>
          <w:szCs w:val="24"/>
        </w:rPr>
        <w:t>not</w:t>
      </w:r>
      <w:r>
        <w:rPr>
          <w:rFonts w:ascii="Times New Roman" w:hAnsi="Times New Roman" w:cs="Times New Roman"/>
          <w:sz w:val="24"/>
          <w:szCs w:val="24"/>
        </w:rPr>
        <w:t xml:space="preserve"> performed a search for work, though there is limited authority in Wyoming for this proposition.</w:t>
      </w:r>
      <w:r w:rsidRPr="00910BB7">
        <w:rPr>
          <w:rFonts w:ascii="Times New Roman" w:hAnsi="Times New Roman" w:cs="Times New Roman"/>
          <w:sz w:val="24"/>
          <w:szCs w:val="24"/>
          <w:vertAlign w:val="superscript"/>
        </w:rPr>
        <w:footnoteReference w:id="560"/>
      </w:r>
      <w:r w:rsidRPr="001E515B">
        <w:rPr>
          <w:rStyle w:val="Hyperlink"/>
          <w:rFonts w:ascii="Times New Roman" w:hAnsi="Times New Roman" w:cs="Times New Roman"/>
          <w:sz w:val="24"/>
          <w:szCs w:val="24"/>
          <w:u w:val="none"/>
        </w:rPr>
        <w:t xml:space="preserve"> </w:t>
      </w:r>
      <w:r>
        <w:rPr>
          <w:rFonts w:ascii="Times New Roman" w:hAnsi="Times New Roman" w:cs="Times New Roman"/>
          <w:sz w:val="24"/>
          <w:szCs w:val="24"/>
        </w:rPr>
        <w:t>It has, however, become clearer that an employee need not search long distances from her home to find alternative employment, no small matter in a large rural state like Wyoming, though she may have to search a “reasonable” distance. Furthermore, an employee is not required to retrain or engage in vocational rehabilitation under the odd lot doctrine.</w:t>
      </w:r>
      <w:r w:rsidR="009B1C8E">
        <w:rPr>
          <w:rStyle w:val="FootnoteReference"/>
          <w:rFonts w:ascii="Times New Roman" w:hAnsi="Times New Roman" w:cs="Times New Roman"/>
          <w:sz w:val="24"/>
          <w:szCs w:val="24"/>
        </w:rPr>
        <w:footnoteReference w:id="561"/>
      </w:r>
      <w:bookmarkStart w:id="795" w:name="_Hlk24634277"/>
    </w:p>
    <w:bookmarkEnd w:id="795"/>
    <w:p w14:paraId="225B254B" w14:textId="65FBE85B" w:rsidR="00FF7482" w:rsidRPr="001E515B" w:rsidRDefault="00FF7482" w:rsidP="00F02E62">
      <w:pPr>
        <w:pStyle w:val="ListParagraph"/>
        <w:spacing w:after="0"/>
        <w:ind w:left="0"/>
        <w:jc w:val="both"/>
        <w:rPr>
          <w:rFonts w:ascii="Times New Roman" w:hAnsi="Times New Roman" w:cs="Times New Roman"/>
          <w:color w:val="0563C1" w:themeColor="hyperlink"/>
          <w:sz w:val="24"/>
          <w:szCs w:val="24"/>
        </w:rPr>
      </w:pPr>
      <w:r>
        <w:rPr>
          <w:rFonts w:ascii="Times New Roman" w:hAnsi="Times New Roman" w:cs="Times New Roman"/>
          <w:sz w:val="24"/>
          <w:szCs w:val="24"/>
        </w:rPr>
        <w:t xml:space="preserve"> </w:t>
      </w:r>
    </w:p>
    <w:p w14:paraId="60B0E871" w14:textId="53376FB1" w:rsidR="00FF7482" w:rsidRDefault="00FF7482" w:rsidP="00F02E6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A problem with the odd lot doctrine in Wyoming concerns what, precisely, the Division must show once the employee-claimant has come forward with evidence sufficient to show that he or she is not able to perform the job held at the time of injury; and that the work-related disability combined with the statutory factors </w:t>
      </w:r>
      <w:r w:rsidR="004C735B">
        <w:rPr>
          <w:rFonts w:ascii="Times New Roman" w:hAnsi="Times New Roman" w:cs="Times New Roman"/>
          <w:sz w:val="24"/>
          <w:szCs w:val="24"/>
        </w:rPr>
        <w:lastRenderedPageBreak/>
        <w:t>r</w:t>
      </w:r>
      <w:r>
        <w:rPr>
          <w:rFonts w:ascii="Times New Roman" w:hAnsi="Times New Roman" w:cs="Times New Roman"/>
          <w:sz w:val="24"/>
          <w:szCs w:val="24"/>
        </w:rPr>
        <w:t xml:space="preserve">enders him/her </w:t>
      </w:r>
      <w:r w:rsidRPr="004221D0">
        <w:rPr>
          <w:rFonts w:ascii="Times New Roman" w:hAnsi="Times New Roman" w:cs="Times New Roman"/>
          <w:i/>
          <w:sz w:val="24"/>
          <w:szCs w:val="24"/>
        </w:rPr>
        <w:t>de facto</w:t>
      </w:r>
      <w:r>
        <w:rPr>
          <w:rFonts w:ascii="Times New Roman" w:hAnsi="Times New Roman" w:cs="Times New Roman"/>
          <w:sz w:val="24"/>
          <w:szCs w:val="24"/>
        </w:rPr>
        <w:t xml:space="preserve"> unemployable. In </w:t>
      </w:r>
      <w:r w:rsidRPr="004221D0">
        <w:rPr>
          <w:rFonts w:ascii="Times New Roman" w:hAnsi="Times New Roman" w:cs="Times New Roman"/>
          <w:i/>
          <w:sz w:val="24"/>
          <w:szCs w:val="24"/>
        </w:rPr>
        <w:t xml:space="preserve">Moss v. Workers’ Safety </w:t>
      </w:r>
      <w:r>
        <w:rPr>
          <w:rFonts w:ascii="Times New Roman" w:hAnsi="Times New Roman" w:cs="Times New Roman"/>
          <w:i/>
          <w:sz w:val="24"/>
          <w:szCs w:val="24"/>
        </w:rPr>
        <w:t>&amp;</w:t>
      </w:r>
      <w:r w:rsidRPr="004221D0">
        <w:rPr>
          <w:rFonts w:ascii="Times New Roman" w:hAnsi="Times New Roman" w:cs="Times New Roman"/>
          <w:i/>
          <w:sz w:val="24"/>
          <w:szCs w:val="24"/>
        </w:rPr>
        <w:t xml:space="preserve"> Compensation Div</w:t>
      </w:r>
      <w:r>
        <w:rPr>
          <w:rFonts w:ascii="Times New Roman" w:hAnsi="Times New Roman" w:cs="Times New Roman"/>
          <w:i/>
          <w:sz w:val="24"/>
          <w:szCs w:val="24"/>
        </w:rPr>
        <w: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62"/>
      </w:r>
      <w:r>
        <w:rPr>
          <w:rFonts w:ascii="Times New Roman" w:hAnsi="Times New Roman" w:cs="Times New Roman"/>
          <w:sz w:val="24"/>
          <w:szCs w:val="24"/>
        </w:rPr>
        <w:t xml:space="preserve"> for example, the Wyoming Supreme Court (after faulting the Medical Commission severely for the Commission’s fact finding deficiencies)</w:t>
      </w:r>
      <w:r w:rsidRPr="00910BB7">
        <w:rPr>
          <w:rFonts w:ascii="Times New Roman" w:hAnsi="Times New Roman" w:cs="Times New Roman"/>
          <w:sz w:val="24"/>
          <w:szCs w:val="24"/>
          <w:vertAlign w:val="superscript"/>
        </w:rPr>
        <w:footnoteReference w:id="563"/>
      </w:r>
      <w:r>
        <w:rPr>
          <w:rFonts w:ascii="Times New Roman" w:hAnsi="Times New Roman" w:cs="Times New Roman"/>
          <w:sz w:val="24"/>
          <w:szCs w:val="24"/>
        </w:rPr>
        <w:t xml:space="preserve"> independently found that the claimant (Moss) had prima facie satisfied odd lot doctrine requirements.</w:t>
      </w:r>
      <w:r w:rsidRPr="00910BB7">
        <w:rPr>
          <w:rFonts w:ascii="Times New Roman" w:hAnsi="Times New Roman" w:cs="Times New Roman"/>
          <w:sz w:val="24"/>
          <w:szCs w:val="24"/>
          <w:vertAlign w:val="superscript"/>
        </w:rPr>
        <w:footnoteReference w:id="564"/>
      </w:r>
      <w:r>
        <w:rPr>
          <w:rFonts w:ascii="Times New Roman" w:hAnsi="Times New Roman" w:cs="Times New Roman"/>
          <w:sz w:val="24"/>
          <w:szCs w:val="24"/>
        </w:rPr>
        <w:t xml:space="preserve"> Moving on with its analysis, the Court said “</w:t>
      </w:r>
      <w:r w:rsidRPr="00B74F85">
        <w:rPr>
          <w:rFonts w:ascii="Times New Roman" w:hAnsi="Times New Roman" w:cs="Times New Roman"/>
          <w:sz w:val="24"/>
          <w:szCs w:val="24"/>
        </w:rPr>
        <w:t>we consider whether the Division came forward with suffici</w:t>
      </w:r>
      <w:r>
        <w:rPr>
          <w:rFonts w:ascii="Times New Roman" w:hAnsi="Times New Roman" w:cs="Times New Roman"/>
          <w:sz w:val="24"/>
          <w:szCs w:val="24"/>
        </w:rPr>
        <w:t>ent evidence to refute Mr. Moss’</w:t>
      </w:r>
      <w:r w:rsidRPr="00B74F85">
        <w:rPr>
          <w:rFonts w:ascii="Times New Roman" w:hAnsi="Times New Roman" w:cs="Times New Roman"/>
          <w:sz w:val="24"/>
          <w:szCs w:val="24"/>
        </w:rPr>
        <w:t>s evidence and to prove work within his limitations was available.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65"/>
      </w:r>
      <w:r>
        <w:rPr>
          <w:rFonts w:ascii="Times New Roman" w:hAnsi="Times New Roman" w:cs="Times New Roman"/>
          <w:sz w:val="24"/>
          <w:szCs w:val="24"/>
        </w:rPr>
        <w:t xml:space="preserve"> The Court stated that the Division had refuted Moss’s evidence based on the following factors</w:t>
      </w:r>
      <w:r w:rsidRPr="00910BB7">
        <w:rPr>
          <w:rFonts w:ascii="Times New Roman" w:hAnsi="Times New Roman" w:cs="Times New Roman"/>
          <w:sz w:val="24"/>
          <w:szCs w:val="24"/>
          <w:vertAlign w:val="superscript"/>
        </w:rPr>
        <w:footnoteReference w:id="566"/>
      </w:r>
      <w:r>
        <w:rPr>
          <w:rFonts w:ascii="Times New Roman" w:hAnsi="Times New Roman" w:cs="Times New Roman"/>
          <w:sz w:val="24"/>
          <w:szCs w:val="24"/>
        </w:rPr>
        <w:t>:</w:t>
      </w:r>
    </w:p>
    <w:p w14:paraId="2BAAE0C2" w14:textId="77777777" w:rsidR="00FF7482" w:rsidRDefault="00FF7482" w:rsidP="00F02E62">
      <w:pPr>
        <w:pStyle w:val="ListParagraph"/>
        <w:spacing w:after="0"/>
        <w:ind w:left="0"/>
        <w:jc w:val="both"/>
        <w:rPr>
          <w:rFonts w:ascii="Times New Roman" w:hAnsi="Times New Roman" w:cs="Times New Roman"/>
          <w:sz w:val="24"/>
          <w:szCs w:val="24"/>
        </w:rPr>
      </w:pPr>
    </w:p>
    <w:p w14:paraId="7D9E6F45" w14:textId="6A6B1257" w:rsidR="00FF7482" w:rsidRDefault="00FF7482" w:rsidP="004C735B">
      <w:pPr>
        <w:pStyle w:val="ListParagraph"/>
        <w:numPr>
          <w:ilvl w:val="0"/>
          <w:numId w:val="8"/>
        </w:numPr>
        <w:ind w:left="1080" w:right="720"/>
        <w:contextualSpacing w:val="0"/>
        <w:jc w:val="both"/>
        <w:rPr>
          <w:rFonts w:ascii="Times New Roman" w:hAnsi="Times New Roman" w:cs="Times New Roman"/>
          <w:sz w:val="24"/>
          <w:szCs w:val="24"/>
        </w:rPr>
      </w:pPr>
      <w:r>
        <w:rPr>
          <w:rFonts w:ascii="Times New Roman" w:hAnsi="Times New Roman" w:cs="Times New Roman"/>
          <w:sz w:val="24"/>
          <w:szCs w:val="24"/>
        </w:rPr>
        <w:t>T</w:t>
      </w:r>
      <w:r w:rsidRPr="00EF3F95">
        <w:rPr>
          <w:rFonts w:ascii="Times New Roman" w:hAnsi="Times New Roman" w:cs="Times New Roman"/>
          <w:sz w:val="24"/>
          <w:szCs w:val="24"/>
        </w:rPr>
        <w:t>he opinion of three doctors that Mr. Moss was capable of gainful employment with restrictions</w:t>
      </w:r>
    </w:p>
    <w:p w14:paraId="4FBEC9CE" w14:textId="32A151CD" w:rsidR="00FF7482" w:rsidRDefault="00FF7482" w:rsidP="004C735B">
      <w:pPr>
        <w:pStyle w:val="ListParagraph"/>
        <w:numPr>
          <w:ilvl w:val="0"/>
          <w:numId w:val="8"/>
        </w:numPr>
        <w:spacing w:after="0"/>
        <w:ind w:left="1080" w:right="720"/>
        <w:contextualSpacing w:val="0"/>
        <w:jc w:val="both"/>
        <w:rPr>
          <w:rFonts w:ascii="Times New Roman" w:hAnsi="Times New Roman" w:cs="Times New Roman"/>
          <w:sz w:val="24"/>
          <w:szCs w:val="24"/>
        </w:rPr>
      </w:pPr>
      <w:r>
        <w:rPr>
          <w:rFonts w:ascii="Times New Roman" w:hAnsi="Times New Roman" w:cs="Times New Roman"/>
          <w:sz w:val="24"/>
          <w:szCs w:val="24"/>
        </w:rPr>
        <w:t>“. . . [E]</w:t>
      </w:r>
      <w:r w:rsidRPr="00EF3F95">
        <w:rPr>
          <w:rFonts w:ascii="Times New Roman" w:hAnsi="Times New Roman" w:cs="Times New Roman"/>
          <w:sz w:val="24"/>
          <w:szCs w:val="24"/>
        </w:rPr>
        <w:t>vidence that light duty work was available to Mr. Moss. Relying on a vocational evaluation performed at the request of Mr. Moss's attorney, the Division pointed out that the evaluator concluded Mr. Moss could find work in his geographic area in jobs such as cashier, rental clerk, telemarketer, desk clerk and customer representative.</w:t>
      </w:r>
      <w:r>
        <w:rPr>
          <w:rFonts w:ascii="Times New Roman" w:hAnsi="Times New Roman" w:cs="Times New Roman"/>
          <w:sz w:val="24"/>
          <w:szCs w:val="24"/>
        </w:rPr>
        <w:t>”</w:t>
      </w:r>
    </w:p>
    <w:p w14:paraId="71CC0288" w14:textId="77777777" w:rsidR="004C735B" w:rsidRPr="004C735B" w:rsidRDefault="004C735B" w:rsidP="004C735B">
      <w:pPr>
        <w:pStyle w:val="ListParagraph"/>
        <w:spacing w:after="0"/>
        <w:ind w:left="1080" w:right="720"/>
        <w:contextualSpacing w:val="0"/>
        <w:jc w:val="both"/>
        <w:rPr>
          <w:rFonts w:ascii="Times New Roman" w:hAnsi="Times New Roman" w:cs="Times New Roman"/>
          <w:sz w:val="24"/>
          <w:szCs w:val="24"/>
        </w:rPr>
      </w:pPr>
    </w:p>
    <w:p w14:paraId="10D92C0B" w14:textId="38D40D8D" w:rsidR="00FF7482" w:rsidRDefault="00FF7482" w:rsidP="004C735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Justice Hill’s dissent in </w:t>
      </w:r>
      <w:r w:rsidRPr="007B5887">
        <w:rPr>
          <w:rFonts w:ascii="Times New Roman" w:hAnsi="Times New Roman" w:cs="Times New Roman"/>
          <w:i/>
          <w:sz w:val="24"/>
          <w:szCs w:val="24"/>
        </w:rPr>
        <w:t>Moss</w:t>
      </w:r>
      <w:r>
        <w:rPr>
          <w:rFonts w:ascii="Times New Roman" w:hAnsi="Times New Roman" w:cs="Times New Roman"/>
          <w:sz w:val="24"/>
          <w:szCs w:val="24"/>
        </w:rPr>
        <w:t xml:space="preserve"> took issue with the notion that the Division’s evidence could be credited in any respect in light of the irregular fact finding in the case.</w:t>
      </w:r>
      <w:r w:rsidRPr="00910BB7">
        <w:rPr>
          <w:rFonts w:ascii="Times New Roman" w:hAnsi="Times New Roman" w:cs="Times New Roman"/>
          <w:sz w:val="24"/>
          <w:szCs w:val="24"/>
          <w:vertAlign w:val="superscript"/>
        </w:rPr>
        <w:footnoteReference w:id="567"/>
      </w:r>
      <w:r>
        <w:rPr>
          <w:rFonts w:ascii="Times New Roman" w:hAnsi="Times New Roman" w:cs="Times New Roman"/>
          <w:sz w:val="24"/>
          <w:szCs w:val="24"/>
        </w:rPr>
        <w:t xml:space="preserve"> This seems a supportable contention given the record. But there is an additional question concerning whether the Court’s majority opinion may also be read to suggest that, even if Moss had satisfied his initial odd-lot burden the</w:t>
      </w:r>
      <w:r w:rsidRPr="007B5887">
        <w:rPr>
          <w:rFonts w:ascii="Times New Roman" w:hAnsi="Times New Roman" w:cs="Times New Roman"/>
          <w:sz w:val="24"/>
          <w:szCs w:val="24"/>
        </w:rPr>
        <w:t xml:space="preserve"> employer</w:t>
      </w:r>
      <w:r>
        <w:rPr>
          <w:rFonts w:ascii="Times New Roman" w:hAnsi="Times New Roman" w:cs="Times New Roman"/>
          <w:sz w:val="24"/>
          <w:szCs w:val="24"/>
        </w:rPr>
        <w:t xml:space="preserve"> (or Division) </w:t>
      </w:r>
      <w:r w:rsidRPr="007B5887">
        <w:rPr>
          <w:rFonts w:ascii="Times New Roman" w:hAnsi="Times New Roman" w:cs="Times New Roman"/>
          <w:sz w:val="24"/>
          <w:szCs w:val="24"/>
        </w:rPr>
        <w:t>prove</w:t>
      </w:r>
      <w:r>
        <w:rPr>
          <w:rFonts w:ascii="Times New Roman" w:hAnsi="Times New Roman" w:cs="Times New Roman"/>
          <w:sz w:val="24"/>
          <w:szCs w:val="24"/>
        </w:rPr>
        <w:t>d</w:t>
      </w:r>
      <w:r w:rsidRPr="007B5887">
        <w:rPr>
          <w:rFonts w:ascii="Times New Roman" w:hAnsi="Times New Roman" w:cs="Times New Roman"/>
          <w:sz w:val="24"/>
          <w:szCs w:val="24"/>
        </w:rPr>
        <w:t xml:space="preserve"> </w:t>
      </w:r>
      <w:r>
        <w:rPr>
          <w:rFonts w:ascii="Times New Roman" w:hAnsi="Times New Roman" w:cs="Times New Roman"/>
          <w:sz w:val="24"/>
          <w:szCs w:val="24"/>
        </w:rPr>
        <w:t>“</w:t>
      </w:r>
      <w:r w:rsidRPr="007B5887">
        <w:rPr>
          <w:rFonts w:ascii="Times New Roman" w:hAnsi="Times New Roman" w:cs="Times New Roman"/>
          <w:sz w:val="24"/>
          <w:szCs w:val="24"/>
        </w:rPr>
        <w:t>that light work of a special nature which the employee could perform but which is no</w:t>
      </w:r>
      <w:r>
        <w:rPr>
          <w:rFonts w:ascii="Times New Roman" w:hAnsi="Times New Roman" w:cs="Times New Roman"/>
          <w:sz w:val="24"/>
          <w:szCs w:val="24"/>
        </w:rPr>
        <w:t xml:space="preserve">t generally available </w:t>
      </w:r>
      <w:r w:rsidRPr="007B5887">
        <w:rPr>
          <w:rFonts w:ascii="Times New Roman" w:hAnsi="Times New Roman" w:cs="Times New Roman"/>
          <w:b/>
          <w:sz w:val="24"/>
          <w:szCs w:val="24"/>
        </w:rPr>
        <w:t>in fact</w:t>
      </w:r>
      <w:r>
        <w:rPr>
          <w:rFonts w:ascii="Times New Roman" w:hAnsi="Times New Roman" w:cs="Times New Roman"/>
          <w:sz w:val="24"/>
          <w:szCs w:val="24"/>
        </w:rPr>
        <w:t xml:space="preserve"> [was]</w:t>
      </w:r>
      <w:r w:rsidRPr="007B5887">
        <w:rPr>
          <w:rFonts w:ascii="Times New Roman" w:hAnsi="Times New Roman" w:cs="Times New Roman"/>
          <w:sz w:val="24"/>
          <w:szCs w:val="24"/>
        </w:rPr>
        <w:t xml:space="preserve"> available to the employee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68"/>
      </w:r>
      <w:r>
        <w:rPr>
          <w:rFonts w:ascii="Times New Roman" w:hAnsi="Times New Roman" w:cs="Times New Roman"/>
          <w:sz w:val="24"/>
          <w:szCs w:val="24"/>
        </w:rPr>
        <w:t xml:space="preserve"> In this regard, Justice Hill quoted an important passage from </w:t>
      </w:r>
      <w:r w:rsidRPr="00B02DD3">
        <w:rPr>
          <w:rFonts w:ascii="Times New Roman" w:hAnsi="Times New Roman" w:cs="Times New Roman"/>
          <w:i/>
          <w:sz w:val="24"/>
          <w:szCs w:val="24"/>
        </w:rPr>
        <w:t>Schepanovich v. United States Steel Corp</w:t>
      </w:r>
      <w:r w:rsidRPr="008F5436">
        <w:rPr>
          <w:rFonts w:ascii="Times New Roman" w:hAnsi="Times New Roman" w:cs="Times New Roman"/>
          <w:sz w:val="24"/>
          <w:szCs w:val="24"/>
        </w:rPr>
        <w: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69"/>
      </w:r>
    </w:p>
    <w:p w14:paraId="34987259" w14:textId="77777777" w:rsidR="00FF7482" w:rsidRDefault="00FF7482" w:rsidP="006D3E92">
      <w:pPr>
        <w:pStyle w:val="ListParagraph"/>
        <w:ind w:left="0" w:firstLine="720"/>
        <w:jc w:val="both"/>
        <w:rPr>
          <w:rFonts w:ascii="Times New Roman" w:hAnsi="Times New Roman" w:cs="Times New Roman"/>
          <w:sz w:val="24"/>
          <w:szCs w:val="24"/>
        </w:rPr>
      </w:pPr>
    </w:p>
    <w:p w14:paraId="7FF40676" w14:textId="53ACC3F6" w:rsidR="00FF7482" w:rsidRDefault="00FF7482" w:rsidP="004C735B">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 xml:space="preserve"> </w:t>
      </w:r>
      <w:r w:rsidRPr="008F5436">
        <w:rPr>
          <w:rFonts w:ascii="Times New Roman" w:hAnsi="Times New Roman" w:cs="Times New Roman"/>
          <w:sz w:val="24"/>
          <w:szCs w:val="24"/>
        </w:rPr>
        <w:t xml:space="preserve">... If the evidence of degree of obvious physical impairment, coupled with other facts such as the claimant's mental capacity, education, training, or age, places claimant prima facie in the odd-lot category, the burden should be on the employer to show that some kind of suitable work is regularly and continuously available to the claimant. Certainly in such a case it should not be enough to </w:t>
      </w:r>
      <w:r w:rsidRPr="008F5436">
        <w:rPr>
          <w:rFonts w:ascii="Times New Roman" w:hAnsi="Times New Roman" w:cs="Times New Roman"/>
          <w:sz w:val="24"/>
          <w:szCs w:val="24"/>
        </w:rPr>
        <w:lastRenderedPageBreak/>
        <w:t>show that claimant is physically capable of performing light work, and then round out the case for noncompensability by adding a presumption t</w:t>
      </w:r>
      <w:r>
        <w:rPr>
          <w:rFonts w:ascii="Times New Roman" w:hAnsi="Times New Roman" w:cs="Times New Roman"/>
          <w:sz w:val="24"/>
          <w:szCs w:val="24"/>
        </w:rPr>
        <w:t xml:space="preserve">hat light work is available. . . </w:t>
      </w:r>
      <w:r w:rsidRPr="00910BB7">
        <w:rPr>
          <w:rFonts w:ascii="Times New Roman" w:hAnsi="Times New Roman" w:cs="Times New Roman"/>
          <w:sz w:val="24"/>
          <w:szCs w:val="24"/>
          <w:vertAlign w:val="superscript"/>
        </w:rPr>
        <w:footnoteReference w:id="570"/>
      </w:r>
    </w:p>
    <w:p w14:paraId="18F432CB" w14:textId="77777777" w:rsidR="00FF7482" w:rsidRDefault="00FF7482" w:rsidP="007B5887">
      <w:pPr>
        <w:pStyle w:val="ListParagraph"/>
        <w:ind w:left="0"/>
        <w:jc w:val="both"/>
        <w:rPr>
          <w:rFonts w:ascii="Times New Roman" w:hAnsi="Times New Roman" w:cs="Times New Roman"/>
          <w:sz w:val="24"/>
          <w:szCs w:val="24"/>
        </w:rPr>
      </w:pPr>
    </w:p>
    <w:p w14:paraId="64BD50B3" w14:textId="2F4178B5" w:rsidR="00FF7482" w:rsidRDefault="00FF7482" w:rsidP="004C735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There was certainly no evidence in </w:t>
      </w:r>
      <w:r w:rsidRPr="00D95F8A">
        <w:rPr>
          <w:rFonts w:ascii="Times New Roman" w:hAnsi="Times New Roman" w:cs="Times New Roman"/>
          <w:i/>
          <w:sz w:val="24"/>
          <w:szCs w:val="24"/>
        </w:rPr>
        <w:t>Moss</w:t>
      </w:r>
      <w:r>
        <w:rPr>
          <w:rFonts w:ascii="Times New Roman" w:hAnsi="Times New Roman" w:cs="Times New Roman"/>
          <w:sz w:val="24"/>
          <w:szCs w:val="24"/>
        </w:rPr>
        <w:t xml:space="preserve"> that suitable work was “regularly and continuously available to the claimant.” One can only assume that the Court concluded Moss had not satisfied his odd lot prima facie case, though the record does not seem to support the conclusion.</w:t>
      </w:r>
    </w:p>
    <w:p w14:paraId="6CDB6A03" w14:textId="387EE2DC" w:rsidR="00FF7482" w:rsidRDefault="00FF7482" w:rsidP="007B5887">
      <w:pPr>
        <w:pStyle w:val="ListParagraph"/>
        <w:ind w:left="0"/>
        <w:jc w:val="both"/>
        <w:rPr>
          <w:rFonts w:ascii="Times New Roman" w:hAnsi="Times New Roman" w:cs="Times New Roman"/>
          <w:sz w:val="24"/>
          <w:szCs w:val="24"/>
        </w:rPr>
      </w:pPr>
    </w:p>
    <w:p w14:paraId="50BF3808" w14:textId="4B359F79" w:rsidR="00FF7482" w:rsidRDefault="00FF7482" w:rsidP="007B588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Whatever the basis for the decision in </w:t>
      </w:r>
      <w:r w:rsidRPr="00113DC2">
        <w:rPr>
          <w:rFonts w:ascii="Times New Roman" w:hAnsi="Times New Roman" w:cs="Times New Roman"/>
          <w:i/>
          <w:sz w:val="24"/>
          <w:szCs w:val="24"/>
        </w:rPr>
        <w:t>Moss</w:t>
      </w:r>
      <w:r>
        <w:rPr>
          <w:rFonts w:ascii="Times New Roman" w:hAnsi="Times New Roman" w:cs="Times New Roman"/>
          <w:sz w:val="24"/>
          <w:szCs w:val="24"/>
        </w:rPr>
        <w:t xml:space="preserve">, a case seeming to hew more directly to the letter of the odd lot doctrine was the Wyoming Supreme Court’s opinion in </w:t>
      </w:r>
      <w:r w:rsidRPr="003920BC">
        <w:rPr>
          <w:rFonts w:ascii="Times New Roman" w:hAnsi="Times New Roman" w:cs="Times New Roman"/>
          <w:i/>
          <w:sz w:val="24"/>
          <w:szCs w:val="24"/>
        </w:rPr>
        <w:t xml:space="preserve">McMasters v. Workers’ Safety </w:t>
      </w:r>
      <w:r>
        <w:rPr>
          <w:rFonts w:ascii="Times New Roman" w:hAnsi="Times New Roman" w:cs="Times New Roman"/>
          <w:i/>
          <w:sz w:val="24"/>
          <w:szCs w:val="24"/>
        </w:rPr>
        <w:t>&amp;</w:t>
      </w:r>
      <w:r w:rsidRPr="003920BC">
        <w:rPr>
          <w:rFonts w:ascii="Times New Roman" w:hAnsi="Times New Roman" w:cs="Times New Roman"/>
          <w:i/>
          <w:sz w:val="24"/>
          <w:szCs w:val="24"/>
        </w:rPr>
        <w:t xml:space="preserve"> Compensation Div</w:t>
      </w:r>
      <w:r>
        <w:rPr>
          <w:rFonts w:ascii="Times New Roman" w:hAnsi="Times New Roman" w:cs="Times New Roman"/>
          <w:sz w:val="24"/>
          <w:szCs w:val="24"/>
        </w:rPr>
        <w:t xml:space="preserve">. In </w:t>
      </w:r>
      <w:r w:rsidRPr="00113DC2">
        <w:rPr>
          <w:rFonts w:ascii="Times New Roman" w:hAnsi="Times New Roman" w:cs="Times New Roman"/>
          <w:i/>
          <w:sz w:val="24"/>
          <w:szCs w:val="24"/>
        </w:rPr>
        <w:t>McMasters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71"/>
      </w:r>
      <w:r>
        <w:rPr>
          <w:rFonts w:ascii="Times New Roman" w:hAnsi="Times New Roman" w:cs="Times New Roman"/>
          <w:sz w:val="24"/>
          <w:szCs w:val="24"/>
        </w:rPr>
        <w:t xml:space="preserve"> </w:t>
      </w:r>
      <w:r w:rsidRPr="00113DC2">
        <w:rPr>
          <w:rFonts w:ascii="Times New Roman" w:hAnsi="Times New Roman" w:cs="Times New Roman"/>
          <w:sz w:val="24"/>
          <w:szCs w:val="24"/>
        </w:rPr>
        <w:t>a heating, ventilation and air conditioning (HVAC) journeyman wh</w:t>
      </w:r>
      <w:r>
        <w:rPr>
          <w:rFonts w:ascii="Times New Roman" w:hAnsi="Times New Roman" w:cs="Times New Roman"/>
          <w:sz w:val="24"/>
          <w:szCs w:val="24"/>
        </w:rPr>
        <w:t>o</w:t>
      </w:r>
      <w:r w:rsidRPr="00113DC2">
        <w:rPr>
          <w:rFonts w:ascii="Times New Roman" w:hAnsi="Times New Roman" w:cs="Times New Roman"/>
          <w:sz w:val="24"/>
          <w:szCs w:val="24"/>
        </w:rPr>
        <w:t xml:space="preserve"> fell nine feet from a beam to a concrete floor</w:t>
      </w:r>
      <w:r>
        <w:rPr>
          <w:rFonts w:ascii="Times New Roman" w:hAnsi="Times New Roman" w:cs="Times New Roman"/>
          <w:sz w:val="24"/>
          <w:szCs w:val="24"/>
        </w:rPr>
        <w:t>,</w:t>
      </w:r>
      <w:r w:rsidRPr="00113DC2">
        <w:rPr>
          <w:rFonts w:ascii="Times New Roman" w:hAnsi="Times New Roman" w:cs="Times New Roman"/>
          <w:sz w:val="24"/>
          <w:szCs w:val="24"/>
        </w:rPr>
        <w:t xml:space="preserve"> suffer</w:t>
      </w:r>
      <w:r>
        <w:rPr>
          <w:rFonts w:ascii="Times New Roman" w:hAnsi="Times New Roman" w:cs="Times New Roman"/>
          <w:sz w:val="24"/>
          <w:szCs w:val="24"/>
        </w:rPr>
        <w:t xml:space="preserve">ing a broken vertebrae in the process applied </w:t>
      </w:r>
      <w:r w:rsidRPr="00113DC2">
        <w:rPr>
          <w:rFonts w:ascii="Times New Roman" w:hAnsi="Times New Roman" w:cs="Times New Roman"/>
          <w:sz w:val="24"/>
          <w:szCs w:val="24"/>
        </w:rPr>
        <w:t>for</w:t>
      </w:r>
      <w:r>
        <w:rPr>
          <w:rFonts w:ascii="Times New Roman" w:hAnsi="Times New Roman" w:cs="Times New Roman"/>
          <w:sz w:val="24"/>
          <w:szCs w:val="24"/>
        </w:rPr>
        <w:t xml:space="preserve"> but was denied</w:t>
      </w:r>
      <w:r w:rsidRPr="00113DC2">
        <w:rPr>
          <w:rFonts w:ascii="Times New Roman" w:hAnsi="Times New Roman" w:cs="Times New Roman"/>
          <w:sz w:val="24"/>
          <w:szCs w:val="24"/>
        </w:rPr>
        <w:t xml:space="preserve"> permanent total disability benefits under the “odd lot” doctrine.</w:t>
      </w:r>
      <w:r w:rsidRPr="00910BB7">
        <w:rPr>
          <w:rFonts w:ascii="Times New Roman" w:hAnsi="Times New Roman" w:cs="Times New Roman"/>
          <w:sz w:val="24"/>
          <w:szCs w:val="24"/>
          <w:vertAlign w:val="superscript"/>
        </w:rPr>
        <w:footnoteReference w:id="572"/>
      </w:r>
      <w:r w:rsidRPr="00113DC2">
        <w:rPr>
          <w:rFonts w:ascii="Times New Roman" w:hAnsi="Times New Roman" w:cs="Times New Roman"/>
          <w:sz w:val="24"/>
          <w:szCs w:val="24"/>
        </w:rPr>
        <w:t xml:space="preserve"> </w:t>
      </w:r>
      <w:r>
        <w:rPr>
          <w:rFonts w:ascii="Times New Roman" w:hAnsi="Times New Roman" w:cs="Times New Roman"/>
          <w:sz w:val="24"/>
          <w:szCs w:val="24"/>
        </w:rPr>
        <w:t>Finding that McMasters was obviously not capable of working at the job in which he was employed at the time of injury,</w:t>
      </w:r>
      <w:r w:rsidRPr="00910BB7">
        <w:rPr>
          <w:rFonts w:ascii="Times New Roman" w:hAnsi="Times New Roman" w:cs="Times New Roman"/>
          <w:sz w:val="24"/>
          <w:szCs w:val="24"/>
          <w:vertAlign w:val="superscript"/>
        </w:rPr>
        <w:footnoteReference w:id="573"/>
      </w:r>
      <w:r>
        <w:rPr>
          <w:rFonts w:ascii="Times New Roman" w:hAnsi="Times New Roman" w:cs="Times New Roman"/>
          <w:sz w:val="24"/>
          <w:szCs w:val="24"/>
        </w:rPr>
        <w:t xml:space="preserve"> the Court went on to consider “</w:t>
      </w:r>
      <w:r w:rsidRPr="00C34F2E">
        <w:rPr>
          <w:rFonts w:ascii="Times New Roman" w:hAnsi="Times New Roman" w:cs="Times New Roman"/>
          <w:sz w:val="24"/>
          <w:szCs w:val="24"/>
        </w:rPr>
        <w:t>the requirement that McMasters show that his physical impairment, coupled with other facts, such as mental capacity, education, training, or age qualify him for treatment under the odd lot doctrine.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74"/>
      </w:r>
      <w:r>
        <w:rPr>
          <w:rFonts w:ascii="Times New Roman" w:hAnsi="Times New Roman" w:cs="Times New Roman"/>
          <w:sz w:val="24"/>
          <w:szCs w:val="24"/>
        </w:rPr>
        <w:t xml:space="preserve"> Reciting voluminous evidence in the record satisfying this second prong of the odd lot claim (and contrary to the Medical Commission), the Court said, </w:t>
      </w:r>
    </w:p>
    <w:p w14:paraId="5DB23A23" w14:textId="77777777" w:rsidR="00FF7482" w:rsidRDefault="00FF7482" w:rsidP="007B5887">
      <w:pPr>
        <w:pStyle w:val="ListParagraph"/>
        <w:ind w:left="0"/>
        <w:jc w:val="both"/>
        <w:rPr>
          <w:rFonts w:ascii="Times New Roman" w:hAnsi="Times New Roman" w:cs="Times New Roman"/>
          <w:sz w:val="24"/>
          <w:szCs w:val="24"/>
        </w:rPr>
      </w:pPr>
    </w:p>
    <w:p w14:paraId="76D1EFCE" w14:textId="4E18E9EC" w:rsidR="00FF7482" w:rsidRDefault="00FF7482" w:rsidP="00D31DD3">
      <w:pPr>
        <w:pStyle w:val="ListParagraph"/>
        <w:ind w:right="720"/>
        <w:jc w:val="both"/>
        <w:rPr>
          <w:rFonts w:ascii="Times New Roman" w:hAnsi="Times New Roman" w:cs="Times New Roman"/>
          <w:sz w:val="24"/>
          <w:szCs w:val="24"/>
        </w:rPr>
      </w:pPr>
      <w:r w:rsidRPr="00C34F2E">
        <w:rPr>
          <w:rFonts w:ascii="Times New Roman" w:hAnsi="Times New Roman" w:cs="Times New Roman"/>
          <w:sz w:val="24"/>
          <w:szCs w:val="24"/>
        </w:rPr>
        <w:t>we find there can be no question that McMasters met his burden of showing that the degree of his physical impairment combined with his mental capacity, education, training, and age make him eligible for permanent total disability benefits. Four separate professionals evaluated McMasters and concluded that the combination of his physical restrictions, pain and psychological condition has rendered him unemployable.</w:t>
      </w:r>
      <w:r w:rsidRPr="00910BB7">
        <w:rPr>
          <w:rFonts w:ascii="Times New Roman" w:hAnsi="Times New Roman" w:cs="Times New Roman"/>
          <w:sz w:val="24"/>
          <w:szCs w:val="24"/>
          <w:vertAlign w:val="superscript"/>
        </w:rPr>
        <w:footnoteReference w:id="575"/>
      </w:r>
    </w:p>
    <w:p w14:paraId="2E3427CB" w14:textId="76D995AB" w:rsidR="00FF7482" w:rsidRDefault="00FF7482" w:rsidP="00C34F2E">
      <w:pPr>
        <w:pStyle w:val="ListParagraph"/>
        <w:ind w:right="720"/>
        <w:jc w:val="both"/>
        <w:rPr>
          <w:rFonts w:ascii="Times New Roman" w:hAnsi="Times New Roman" w:cs="Times New Roman"/>
          <w:sz w:val="24"/>
          <w:szCs w:val="24"/>
        </w:rPr>
      </w:pPr>
    </w:p>
    <w:p w14:paraId="144FB0EB" w14:textId="3DDD32D5" w:rsidR="00FF7482" w:rsidRDefault="00FF7482" w:rsidP="00FF5D62">
      <w:pPr>
        <w:pStyle w:val="ListParagraph"/>
        <w:ind w:left="0"/>
        <w:jc w:val="both"/>
        <w:rPr>
          <w:rFonts w:ascii="Times New Roman" w:hAnsi="Times New Roman" w:cs="Times New Roman"/>
          <w:sz w:val="24"/>
          <w:szCs w:val="24"/>
        </w:rPr>
      </w:pPr>
      <w:r>
        <w:rPr>
          <w:rFonts w:ascii="Times New Roman" w:hAnsi="Times New Roman" w:cs="Times New Roman"/>
          <w:sz w:val="24"/>
          <w:szCs w:val="24"/>
        </w:rPr>
        <w:t>Having thus concluded that McMasters had satisfied the odd lot prima facie case, the Court went on to consider whether “</w:t>
      </w:r>
      <w:r w:rsidRPr="003C00FB">
        <w:rPr>
          <w:rFonts w:ascii="Times New Roman" w:hAnsi="Times New Roman" w:cs="Times New Roman"/>
          <w:sz w:val="24"/>
          <w:szCs w:val="24"/>
        </w:rPr>
        <w:t>the Division met its burden of showing that light work of a special nature that McMasters could perform was available.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76"/>
      </w:r>
      <w:r>
        <w:rPr>
          <w:rFonts w:ascii="Times New Roman" w:hAnsi="Times New Roman" w:cs="Times New Roman"/>
          <w:sz w:val="24"/>
          <w:szCs w:val="24"/>
        </w:rPr>
        <w:t xml:space="preserve"> Finding the Division had not met its burden, the Court stated,</w:t>
      </w:r>
    </w:p>
    <w:p w14:paraId="4A022F8A" w14:textId="50E69CB2" w:rsidR="00FF7482" w:rsidRDefault="00FF7482" w:rsidP="003C00FB">
      <w:pPr>
        <w:pStyle w:val="ListParagraph"/>
        <w:ind w:left="0"/>
        <w:jc w:val="both"/>
        <w:rPr>
          <w:rFonts w:ascii="Times New Roman" w:hAnsi="Times New Roman" w:cs="Times New Roman"/>
          <w:sz w:val="24"/>
          <w:szCs w:val="24"/>
        </w:rPr>
      </w:pPr>
    </w:p>
    <w:p w14:paraId="3A163128" w14:textId="0C841529" w:rsidR="00FF7482" w:rsidRDefault="00FF7482" w:rsidP="00FF5D62">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[The Vocational Expert]’</w:t>
      </w:r>
      <w:r w:rsidRPr="003C00FB">
        <w:rPr>
          <w:rFonts w:ascii="Times New Roman" w:hAnsi="Times New Roman" w:cs="Times New Roman"/>
          <w:sz w:val="24"/>
          <w:szCs w:val="24"/>
        </w:rPr>
        <w:t xml:space="preserve">s report identified potential positions for McMasters in Casper, Wyoming, subject to the caveat that the physical demands of the jobs were not known and </w:t>
      </w:r>
      <w:r>
        <w:rPr>
          <w:rFonts w:ascii="Times New Roman" w:hAnsi="Times New Roman" w:cs="Times New Roman"/>
          <w:sz w:val="24"/>
          <w:szCs w:val="24"/>
        </w:rPr>
        <w:t>‘</w:t>
      </w:r>
      <w:r w:rsidRPr="003C00FB">
        <w:rPr>
          <w:rFonts w:ascii="Times New Roman" w:hAnsi="Times New Roman" w:cs="Times New Roman"/>
          <w:sz w:val="24"/>
          <w:szCs w:val="24"/>
        </w:rPr>
        <w:t>[t]here is some question as to [McMasters'] emotional state and how it is affecting his return to work.</w:t>
      </w:r>
      <w:r>
        <w:rPr>
          <w:rFonts w:ascii="Times New Roman" w:hAnsi="Times New Roman" w:cs="Times New Roman"/>
          <w:sz w:val="24"/>
          <w:szCs w:val="24"/>
        </w:rPr>
        <w:t>’</w:t>
      </w:r>
      <w:r w:rsidRPr="003C00FB">
        <w:rPr>
          <w:rFonts w:ascii="Times New Roman" w:hAnsi="Times New Roman" w:cs="Times New Roman"/>
          <w:sz w:val="24"/>
          <w:szCs w:val="24"/>
        </w:rPr>
        <w:t xml:space="preserve"> In other words, </w:t>
      </w:r>
      <w:r>
        <w:rPr>
          <w:rFonts w:ascii="Times New Roman" w:hAnsi="Times New Roman" w:cs="Times New Roman"/>
          <w:sz w:val="24"/>
          <w:szCs w:val="24"/>
        </w:rPr>
        <w:t>[the expert]’</w:t>
      </w:r>
      <w:r w:rsidRPr="003C00FB">
        <w:rPr>
          <w:rFonts w:ascii="Times New Roman" w:hAnsi="Times New Roman" w:cs="Times New Roman"/>
          <w:sz w:val="24"/>
          <w:szCs w:val="24"/>
        </w:rPr>
        <w:t xml:space="preserve">s report did not identify even a single available position that McMasters could perform. The most the report did was identify positions that, as </w:t>
      </w:r>
      <w:r>
        <w:rPr>
          <w:rFonts w:ascii="Times New Roman" w:hAnsi="Times New Roman" w:cs="Times New Roman"/>
          <w:sz w:val="24"/>
          <w:szCs w:val="24"/>
        </w:rPr>
        <w:t>[the expert]</w:t>
      </w:r>
      <w:r w:rsidRPr="003C00FB">
        <w:rPr>
          <w:rFonts w:ascii="Times New Roman" w:hAnsi="Times New Roman" w:cs="Times New Roman"/>
          <w:sz w:val="24"/>
          <w:szCs w:val="24"/>
        </w:rPr>
        <w:t xml:space="preserve"> phrased it, McMasters “may want to consider researching further.”</w:t>
      </w:r>
      <w:r w:rsidRPr="00910BB7">
        <w:rPr>
          <w:rFonts w:ascii="Times New Roman" w:hAnsi="Times New Roman" w:cs="Times New Roman"/>
          <w:sz w:val="24"/>
          <w:szCs w:val="24"/>
          <w:vertAlign w:val="superscript"/>
        </w:rPr>
        <w:footnoteReference w:id="577"/>
      </w:r>
    </w:p>
    <w:p w14:paraId="500317DA" w14:textId="21B6E98D" w:rsidR="00FF7482" w:rsidRDefault="00FF7482" w:rsidP="003C00FB">
      <w:pPr>
        <w:pStyle w:val="ListParagraph"/>
        <w:ind w:right="720"/>
        <w:jc w:val="both"/>
        <w:rPr>
          <w:rFonts w:ascii="Times New Roman" w:hAnsi="Times New Roman" w:cs="Times New Roman"/>
          <w:sz w:val="24"/>
          <w:szCs w:val="24"/>
        </w:rPr>
      </w:pPr>
    </w:p>
    <w:p w14:paraId="012A9A85" w14:textId="70CEB1DD" w:rsidR="00FF7482" w:rsidRDefault="00FF7482" w:rsidP="008217D0">
      <w:pPr>
        <w:pStyle w:val="ListParagraph"/>
        <w:ind w:left="0"/>
        <w:jc w:val="both"/>
        <w:rPr>
          <w:rFonts w:ascii="Times New Roman" w:hAnsi="Times New Roman" w:cs="Times New Roman"/>
          <w:sz w:val="24"/>
          <w:szCs w:val="24"/>
        </w:rPr>
      </w:pPr>
      <w:r>
        <w:rPr>
          <w:rFonts w:ascii="Times New Roman" w:hAnsi="Times New Roman" w:cs="Times New Roman"/>
          <w:sz w:val="24"/>
          <w:szCs w:val="24"/>
        </w:rPr>
        <w:t>It is worth taking a moment to consider the vocational evidence the Division presented, as described by the Court</w:t>
      </w:r>
      <w:r w:rsidRPr="00910BB7">
        <w:rPr>
          <w:rFonts w:ascii="Times New Roman" w:hAnsi="Times New Roman" w:cs="Times New Roman"/>
          <w:sz w:val="24"/>
          <w:szCs w:val="24"/>
          <w:vertAlign w:val="superscript"/>
        </w:rPr>
        <w:footnoteReference w:id="578"/>
      </w:r>
      <w:r>
        <w:rPr>
          <w:rFonts w:ascii="Times New Roman" w:hAnsi="Times New Roman" w:cs="Times New Roman"/>
          <w:sz w:val="24"/>
          <w:szCs w:val="24"/>
        </w:rPr>
        <w:t>:</w:t>
      </w:r>
    </w:p>
    <w:p w14:paraId="2C52D43D" w14:textId="00A50227" w:rsidR="00FF7482" w:rsidRDefault="00FF7482" w:rsidP="008217D0">
      <w:pPr>
        <w:pStyle w:val="ListParagraph"/>
        <w:ind w:left="0"/>
        <w:jc w:val="both"/>
        <w:rPr>
          <w:rFonts w:ascii="Times New Roman" w:hAnsi="Times New Roman" w:cs="Times New Roman"/>
          <w:sz w:val="24"/>
          <w:szCs w:val="24"/>
        </w:rPr>
      </w:pPr>
    </w:p>
    <w:p w14:paraId="171F7DDB" w14:textId="2D324695" w:rsidR="00FF7482" w:rsidRPr="00AB6A9D" w:rsidRDefault="00FF7482" w:rsidP="00772BC8">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[The Vocational Expert]</w:t>
      </w:r>
      <w:r w:rsidRPr="00AB6A9D">
        <w:rPr>
          <w:rFonts w:ascii="Times New Roman" w:hAnsi="Times New Roman" w:cs="Times New Roman"/>
          <w:sz w:val="24"/>
          <w:szCs w:val="24"/>
        </w:rPr>
        <w:t xml:space="preserve"> concluded that McMasters could return to employment and identified </w:t>
      </w:r>
      <w:r w:rsidRPr="00AB6A9D">
        <w:rPr>
          <w:rFonts w:ascii="Times New Roman" w:hAnsi="Times New Roman" w:cs="Times New Roman"/>
          <w:b/>
          <w:sz w:val="24"/>
          <w:szCs w:val="24"/>
        </w:rPr>
        <w:t>potential positions</w:t>
      </w:r>
      <w:r w:rsidRPr="00AB6A9D">
        <w:rPr>
          <w:rFonts w:ascii="Times New Roman" w:hAnsi="Times New Roman" w:cs="Times New Roman"/>
          <w:sz w:val="24"/>
          <w:szCs w:val="24"/>
        </w:rPr>
        <w:t xml:space="preserve">. The potential positions </w:t>
      </w:r>
      <w:r>
        <w:rPr>
          <w:rFonts w:ascii="Times New Roman" w:hAnsi="Times New Roman" w:cs="Times New Roman"/>
          <w:sz w:val="24"/>
          <w:szCs w:val="24"/>
        </w:rPr>
        <w:t>[the expert]</w:t>
      </w:r>
      <w:r w:rsidRPr="00AB6A9D">
        <w:rPr>
          <w:rFonts w:ascii="Times New Roman" w:hAnsi="Times New Roman" w:cs="Times New Roman"/>
          <w:sz w:val="24"/>
          <w:szCs w:val="24"/>
        </w:rPr>
        <w:t xml:space="preserve"> specified as meeting McMasters</w:t>
      </w:r>
      <w:r>
        <w:rPr>
          <w:rFonts w:ascii="Times New Roman" w:hAnsi="Times New Roman" w:cs="Times New Roman"/>
          <w:sz w:val="24"/>
          <w:szCs w:val="24"/>
        </w:rPr>
        <w:t>’</w:t>
      </w:r>
      <w:r w:rsidRPr="00AB6A9D">
        <w:rPr>
          <w:rFonts w:ascii="Times New Roman" w:hAnsi="Times New Roman" w:cs="Times New Roman"/>
          <w:sz w:val="24"/>
          <w:szCs w:val="24"/>
        </w:rPr>
        <w:t xml:space="preserve"> transferable skills and physical capacity were: Assembler, Small Products; Order Clerk; Tutor; and Bill and Account Collector. For each of these positions, </w:t>
      </w:r>
      <w:r>
        <w:rPr>
          <w:rFonts w:ascii="Times New Roman" w:hAnsi="Times New Roman" w:cs="Times New Roman"/>
          <w:sz w:val="24"/>
          <w:szCs w:val="24"/>
        </w:rPr>
        <w:t>[the expert]</w:t>
      </w:r>
      <w:r w:rsidRPr="00AB6A9D">
        <w:rPr>
          <w:rFonts w:ascii="Times New Roman" w:hAnsi="Times New Roman" w:cs="Times New Roman"/>
          <w:sz w:val="24"/>
          <w:szCs w:val="24"/>
        </w:rPr>
        <w:t xml:space="preserve"> </w:t>
      </w:r>
      <w:r w:rsidRPr="00AB6A9D">
        <w:rPr>
          <w:rFonts w:ascii="Times New Roman" w:hAnsi="Times New Roman" w:cs="Times New Roman"/>
          <w:b/>
          <w:sz w:val="24"/>
          <w:szCs w:val="24"/>
        </w:rPr>
        <w:t>did not identify an available opening</w:t>
      </w:r>
      <w:r w:rsidRPr="00AB6A9D">
        <w:rPr>
          <w:rFonts w:ascii="Times New Roman" w:hAnsi="Times New Roman" w:cs="Times New Roman"/>
          <w:sz w:val="24"/>
          <w:szCs w:val="24"/>
        </w:rPr>
        <w:t xml:space="preserve">, but instead indicated “[t]here have been openings in the last six months and there are expected openings.” Regarding these positions, </w:t>
      </w:r>
      <w:r>
        <w:rPr>
          <w:rFonts w:ascii="Times New Roman" w:hAnsi="Times New Roman" w:cs="Times New Roman"/>
          <w:sz w:val="24"/>
          <w:szCs w:val="24"/>
        </w:rPr>
        <w:t>[the expert]</w:t>
      </w:r>
      <w:r w:rsidRPr="00AB6A9D">
        <w:rPr>
          <w:rFonts w:ascii="Times New Roman" w:hAnsi="Times New Roman" w:cs="Times New Roman"/>
          <w:sz w:val="24"/>
          <w:szCs w:val="24"/>
        </w:rPr>
        <w:t xml:space="preserve"> made the following observations:</w:t>
      </w:r>
    </w:p>
    <w:p w14:paraId="552A996C" w14:textId="77777777" w:rsidR="00FF7482" w:rsidRDefault="00FF7482" w:rsidP="00AB6A9D">
      <w:pPr>
        <w:pStyle w:val="ListParagraph"/>
        <w:ind w:right="720"/>
        <w:jc w:val="both"/>
        <w:rPr>
          <w:rFonts w:ascii="Times New Roman" w:hAnsi="Times New Roman" w:cs="Times New Roman"/>
          <w:sz w:val="24"/>
          <w:szCs w:val="24"/>
        </w:rPr>
      </w:pPr>
    </w:p>
    <w:p w14:paraId="2E2BEE56" w14:textId="14F73DCB" w:rsidR="00FF7482" w:rsidRDefault="00FF7482" w:rsidP="00AB6A9D">
      <w:pPr>
        <w:pStyle w:val="ListParagraph"/>
        <w:ind w:right="720"/>
        <w:jc w:val="both"/>
        <w:rPr>
          <w:rFonts w:ascii="Times New Roman" w:hAnsi="Times New Roman" w:cs="Times New Roman"/>
          <w:sz w:val="24"/>
          <w:szCs w:val="24"/>
        </w:rPr>
      </w:pPr>
      <w:r w:rsidRPr="00AB6A9D">
        <w:rPr>
          <w:rFonts w:ascii="Times New Roman" w:hAnsi="Times New Roman" w:cs="Times New Roman"/>
          <w:sz w:val="24"/>
          <w:szCs w:val="24"/>
        </w:rPr>
        <w:t>The above jobs were identified based on Mr. McMasters</w:t>
      </w:r>
      <w:r>
        <w:rPr>
          <w:rFonts w:ascii="Times New Roman" w:hAnsi="Times New Roman" w:cs="Times New Roman"/>
          <w:sz w:val="24"/>
          <w:szCs w:val="24"/>
        </w:rPr>
        <w:t>[’]</w:t>
      </w:r>
      <w:r w:rsidRPr="00AB6A9D">
        <w:rPr>
          <w:rFonts w:ascii="Times New Roman" w:hAnsi="Times New Roman" w:cs="Times New Roman"/>
          <w:sz w:val="24"/>
          <w:szCs w:val="24"/>
        </w:rPr>
        <w:t xml:space="preserve"> physical limitations. There is some question as to his emotional state and how it is affecting his return to work. However, Mr. McMasters has demonstrated an ability to return to one semester of college and according to his self-report, he passed all but one class. He would increase his vocational success if he:</w:t>
      </w:r>
    </w:p>
    <w:p w14:paraId="6C0A4539" w14:textId="77777777" w:rsidR="00772BC8" w:rsidRPr="00AB6A9D" w:rsidRDefault="00772BC8" w:rsidP="00AB6A9D">
      <w:pPr>
        <w:pStyle w:val="ListParagraph"/>
        <w:ind w:right="720"/>
        <w:jc w:val="both"/>
        <w:rPr>
          <w:rFonts w:ascii="Times New Roman" w:hAnsi="Times New Roman" w:cs="Times New Roman"/>
          <w:sz w:val="24"/>
          <w:szCs w:val="24"/>
        </w:rPr>
      </w:pPr>
    </w:p>
    <w:p w14:paraId="6663206C" w14:textId="7CCA9A17" w:rsidR="00FF7482" w:rsidRPr="00AB6A9D" w:rsidRDefault="00FF7482" w:rsidP="00AB6A9D">
      <w:pPr>
        <w:pStyle w:val="ListParagraph"/>
        <w:ind w:right="720"/>
        <w:jc w:val="both"/>
        <w:rPr>
          <w:rFonts w:ascii="Times New Roman" w:hAnsi="Times New Roman" w:cs="Times New Roman"/>
          <w:sz w:val="24"/>
          <w:szCs w:val="24"/>
        </w:rPr>
      </w:pPr>
      <w:r w:rsidRPr="00AB6A9D">
        <w:rPr>
          <w:rFonts w:ascii="Times New Roman" w:hAnsi="Times New Roman" w:cs="Times New Roman"/>
          <w:sz w:val="24"/>
          <w:szCs w:val="24"/>
        </w:rPr>
        <w:t xml:space="preserve">1. Return [sic] to work with a therapist on depression, anxiety, somatization and anger (these conditions </w:t>
      </w:r>
      <w:r w:rsidRPr="00AB6A9D">
        <w:rPr>
          <w:rFonts w:ascii="Times New Roman" w:hAnsi="Times New Roman" w:cs="Times New Roman"/>
          <w:b/>
          <w:sz w:val="24"/>
          <w:szCs w:val="24"/>
        </w:rPr>
        <w:t>have been known to</w:t>
      </w:r>
      <w:r w:rsidRPr="00AB6A9D">
        <w:rPr>
          <w:rFonts w:ascii="Times New Roman" w:hAnsi="Times New Roman" w:cs="Times New Roman"/>
          <w:sz w:val="24"/>
          <w:szCs w:val="24"/>
        </w:rPr>
        <w:t xml:space="preserve"> improve with treatment). There was also reference to a personality disorder. This condition </w:t>
      </w:r>
      <w:r w:rsidRPr="00AB6A9D">
        <w:rPr>
          <w:rFonts w:ascii="Times New Roman" w:hAnsi="Times New Roman" w:cs="Times New Roman"/>
          <w:b/>
          <w:sz w:val="24"/>
          <w:szCs w:val="24"/>
        </w:rPr>
        <w:t>would have</w:t>
      </w:r>
      <w:r w:rsidRPr="00AB6A9D">
        <w:rPr>
          <w:rFonts w:ascii="Times New Roman" w:hAnsi="Times New Roman" w:cs="Times New Roman"/>
          <w:sz w:val="24"/>
          <w:szCs w:val="24"/>
        </w:rPr>
        <w:t xml:space="preserve"> existed long before his injury and Mr. McMasters has demonstrated and [sic] ability to be in the work force with the affects [sic] of the personality disorder. Counseling support would be helpful.</w:t>
      </w:r>
    </w:p>
    <w:p w14:paraId="3854A1E5" w14:textId="77777777" w:rsidR="00FF7482" w:rsidRDefault="00FF7482" w:rsidP="00AB6A9D">
      <w:pPr>
        <w:pStyle w:val="ListParagraph"/>
        <w:ind w:right="720"/>
        <w:jc w:val="both"/>
        <w:rPr>
          <w:rFonts w:ascii="Times New Roman" w:hAnsi="Times New Roman" w:cs="Times New Roman"/>
          <w:sz w:val="24"/>
          <w:szCs w:val="24"/>
        </w:rPr>
      </w:pPr>
    </w:p>
    <w:p w14:paraId="03DFBE82" w14:textId="4DC9231B" w:rsidR="00FF7482" w:rsidRPr="00AB6A9D" w:rsidRDefault="00FF7482" w:rsidP="00AB6A9D">
      <w:pPr>
        <w:pStyle w:val="ListParagraph"/>
        <w:ind w:right="720"/>
        <w:jc w:val="both"/>
        <w:rPr>
          <w:rFonts w:ascii="Times New Roman" w:hAnsi="Times New Roman" w:cs="Times New Roman"/>
          <w:sz w:val="24"/>
          <w:szCs w:val="24"/>
        </w:rPr>
      </w:pPr>
      <w:r w:rsidRPr="00AB6A9D">
        <w:rPr>
          <w:rFonts w:ascii="Times New Roman" w:hAnsi="Times New Roman" w:cs="Times New Roman"/>
          <w:sz w:val="24"/>
          <w:szCs w:val="24"/>
        </w:rPr>
        <w:t xml:space="preserve">2. Work [sic] with his doctors to ensure his pain medication is compatible with a work environment. He will also need to ensure </w:t>
      </w:r>
      <w:r w:rsidRPr="00AB6A9D">
        <w:rPr>
          <w:rFonts w:ascii="Times New Roman" w:hAnsi="Times New Roman" w:cs="Times New Roman"/>
          <w:sz w:val="24"/>
          <w:szCs w:val="24"/>
        </w:rPr>
        <w:lastRenderedPageBreak/>
        <w:t>his pain medication is appropriate for some one [sic] with “a long term history of alcohol, amphetamine</w:t>
      </w:r>
      <w:r>
        <w:rPr>
          <w:rFonts w:ascii="Times New Roman" w:hAnsi="Times New Roman" w:cs="Times New Roman"/>
          <w:sz w:val="24"/>
          <w:szCs w:val="24"/>
        </w:rPr>
        <w:t xml:space="preserve"> </w:t>
      </w:r>
      <w:r w:rsidRPr="00AB6A9D">
        <w:rPr>
          <w:rFonts w:ascii="Times New Roman" w:hAnsi="Times New Roman" w:cs="Times New Roman"/>
          <w:sz w:val="24"/>
          <w:szCs w:val="24"/>
        </w:rPr>
        <w:t>and cannabis abuse in full time remission” (from 8/30/2007 Dr. Kaplan's impairment rating)</w:t>
      </w:r>
    </w:p>
    <w:p w14:paraId="1734B37C" w14:textId="77777777" w:rsidR="00FF7482" w:rsidRDefault="00FF7482" w:rsidP="00AB6A9D">
      <w:pPr>
        <w:pStyle w:val="ListParagraph"/>
        <w:ind w:right="720"/>
        <w:jc w:val="both"/>
        <w:rPr>
          <w:rFonts w:ascii="Times New Roman" w:hAnsi="Times New Roman" w:cs="Times New Roman"/>
          <w:sz w:val="24"/>
          <w:szCs w:val="24"/>
        </w:rPr>
      </w:pPr>
    </w:p>
    <w:p w14:paraId="399C2A96" w14:textId="6BA0E9C2" w:rsidR="00FF7482" w:rsidRPr="00AB6A9D" w:rsidRDefault="00FF7482" w:rsidP="00AB6A9D">
      <w:pPr>
        <w:pStyle w:val="ListParagraph"/>
        <w:ind w:right="720"/>
        <w:jc w:val="both"/>
        <w:rPr>
          <w:rFonts w:ascii="Times New Roman" w:hAnsi="Times New Roman" w:cs="Times New Roman"/>
          <w:sz w:val="24"/>
          <w:szCs w:val="24"/>
        </w:rPr>
      </w:pPr>
      <w:r w:rsidRPr="00AB6A9D">
        <w:rPr>
          <w:rFonts w:ascii="Times New Roman" w:hAnsi="Times New Roman" w:cs="Times New Roman"/>
          <w:sz w:val="24"/>
          <w:szCs w:val="24"/>
        </w:rPr>
        <w:t>The job of newspaper delivery route driver was also researched but it did not demonstrate any availability[.]</w:t>
      </w:r>
    </w:p>
    <w:p w14:paraId="682D4B02" w14:textId="77777777" w:rsidR="00FF7482" w:rsidRDefault="00FF7482" w:rsidP="00AB6A9D">
      <w:pPr>
        <w:pStyle w:val="ListParagraph"/>
        <w:ind w:right="720"/>
        <w:jc w:val="both"/>
        <w:rPr>
          <w:rFonts w:ascii="Times New Roman" w:hAnsi="Times New Roman" w:cs="Times New Roman"/>
          <w:sz w:val="24"/>
          <w:szCs w:val="24"/>
        </w:rPr>
      </w:pPr>
    </w:p>
    <w:p w14:paraId="371AA086" w14:textId="150E78BC" w:rsidR="00FF7482" w:rsidRPr="00AB6A9D" w:rsidRDefault="00FF7482" w:rsidP="00AB6A9D">
      <w:pPr>
        <w:pStyle w:val="ListParagraph"/>
        <w:ind w:right="720"/>
        <w:jc w:val="both"/>
        <w:rPr>
          <w:rFonts w:ascii="Times New Roman" w:hAnsi="Times New Roman" w:cs="Times New Roman"/>
          <w:sz w:val="24"/>
          <w:szCs w:val="24"/>
        </w:rPr>
      </w:pPr>
      <w:r>
        <w:rPr>
          <w:rFonts w:ascii="Times New Roman" w:hAnsi="Times New Roman" w:cs="Times New Roman"/>
          <w:sz w:val="24"/>
          <w:szCs w:val="24"/>
        </w:rPr>
        <w:t>[The expert]</w:t>
      </w:r>
      <w:r w:rsidRPr="00AB6A9D">
        <w:rPr>
          <w:rFonts w:ascii="Times New Roman" w:hAnsi="Times New Roman" w:cs="Times New Roman"/>
          <w:sz w:val="24"/>
          <w:szCs w:val="24"/>
        </w:rPr>
        <w:t xml:space="preserve"> additionally identified the following </w:t>
      </w:r>
      <w:r w:rsidRPr="00AB6A9D">
        <w:rPr>
          <w:rFonts w:ascii="Times New Roman" w:hAnsi="Times New Roman" w:cs="Times New Roman"/>
          <w:b/>
          <w:sz w:val="24"/>
          <w:szCs w:val="24"/>
        </w:rPr>
        <w:t>potential</w:t>
      </w:r>
      <w:r w:rsidRPr="00AB6A9D">
        <w:rPr>
          <w:rFonts w:ascii="Times New Roman" w:hAnsi="Times New Roman" w:cs="Times New Roman"/>
          <w:sz w:val="24"/>
          <w:szCs w:val="24"/>
        </w:rPr>
        <w:t xml:space="preserve"> positions specific to Casper, Wyoming: Call Center Sales; Collections Agent; and Gas Station Attendant. Regarding these positions, </w:t>
      </w:r>
      <w:r>
        <w:rPr>
          <w:rFonts w:ascii="Times New Roman" w:hAnsi="Times New Roman" w:cs="Times New Roman"/>
          <w:sz w:val="24"/>
          <w:szCs w:val="24"/>
        </w:rPr>
        <w:t>[the expert]</w:t>
      </w:r>
      <w:r w:rsidRPr="00AB6A9D">
        <w:rPr>
          <w:rFonts w:ascii="Times New Roman" w:hAnsi="Times New Roman" w:cs="Times New Roman"/>
          <w:sz w:val="24"/>
          <w:szCs w:val="24"/>
        </w:rPr>
        <w:t xml:space="preserve"> provided the following prefatory comment:</w:t>
      </w:r>
    </w:p>
    <w:p w14:paraId="7C35151C" w14:textId="77777777" w:rsidR="00FF7482" w:rsidRDefault="00FF7482" w:rsidP="00AB6A9D">
      <w:pPr>
        <w:pStyle w:val="ListParagraph"/>
        <w:ind w:right="720"/>
        <w:jc w:val="both"/>
        <w:rPr>
          <w:rFonts w:ascii="Times New Roman" w:hAnsi="Times New Roman" w:cs="Times New Roman"/>
          <w:sz w:val="24"/>
          <w:szCs w:val="24"/>
        </w:rPr>
      </w:pPr>
    </w:p>
    <w:p w14:paraId="138CFAF7" w14:textId="055A81E0" w:rsidR="00FF7482" w:rsidRPr="00AB6A9D" w:rsidRDefault="00FF7482" w:rsidP="00AB6A9D">
      <w:pPr>
        <w:pStyle w:val="ListParagraph"/>
        <w:ind w:right="720"/>
        <w:jc w:val="both"/>
        <w:rPr>
          <w:rFonts w:ascii="Times New Roman" w:hAnsi="Times New Roman" w:cs="Times New Roman"/>
          <w:b/>
          <w:sz w:val="24"/>
          <w:szCs w:val="24"/>
        </w:rPr>
      </w:pPr>
      <w:r w:rsidRPr="00AB6A9D">
        <w:rPr>
          <w:rFonts w:ascii="Times New Roman" w:hAnsi="Times New Roman" w:cs="Times New Roman"/>
          <w:sz w:val="24"/>
          <w:szCs w:val="24"/>
        </w:rPr>
        <w:t xml:space="preserve">An Internet job search was performed for Casper Wyoming 5/13/2010. The following jobs appear to meet his transferable skill level. Physical demands of the jobs are not always delineated on the Internet sight [sic] and it is not known if these jobs would meet his limitations. </w:t>
      </w:r>
      <w:r w:rsidRPr="00AB6A9D">
        <w:rPr>
          <w:rFonts w:ascii="Times New Roman" w:hAnsi="Times New Roman" w:cs="Times New Roman"/>
          <w:b/>
          <w:sz w:val="24"/>
          <w:szCs w:val="24"/>
        </w:rPr>
        <w:t>However, these are positions he may want to consider researching further[.]</w:t>
      </w:r>
    </w:p>
    <w:p w14:paraId="55504B6A" w14:textId="76230763" w:rsidR="00FF7482" w:rsidRDefault="00FF7482" w:rsidP="00AB6A9D">
      <w:pPr>
        <w:pStyle w:val="ListParagraph"/>
        <w:ind w:right="720"/>
        <w:jc w:val="both"/>
        <w:rPr>
          <w:rFonts w:ascii="Times New Roman" w:hAnsi="Times New Roman" w:cs="Times New Roman"/>
          <w:sz w:val="24"/>
          <w:szCs w:val="24"/>
        </w:rPr>
      </w:pPr>
    </w:p>
    <w:p w14:paraId="226C4841" w14:textId="5D5325FD" w:rsidR="00FF7482" w:rsidRDefault="00FF7482" w:rsidP="00F02E6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That a workers’ compensation administrative body (and a district court) may have accepted such transparently inadequate evidence as sufficient to satisfy the Division’s burden under the odd lot doctrine is troubling because it evinces a thorough misunderstanding of the burden shifting mechanism.</w:t>
      </w:r>
      <w:r w:rsidRPr="00910BB7">
        <w:rPr>
          <w:rFonts w:ascii="Times New Roman" w:hAnsi="Times New Roman" w:cs="Times New Roman"/>
          <w:sz w:val="24"/>
          <w:szCs w:val="24"/>
          <w:vertAlign w:val="superscript"/>
        </w:rPr>
        <w:footnoteReference w:id="579"/>
      </w:r>
      <w:r>
        <w:rPr>
          <w:rFonts w:ascii="Times New Roman" w:hAnsi="Times New Roman" w:cs="Times New Roman"/>
          <w:sz w:val="24"/>
          <w:szCs w:val="24"/>
        </w:rPr>
        <w:t xml:space="preserve"> One possibility is that factfinders are confusing the work search requirements of </w:t>
      </w:r>
      <w:r w:rsidRPr="006C739F">
        <w:rPr>
          <w:rFonts w:ascii="Times New Roman" w:hAnsi="Times New Roman" w:cs="Times New Roman"/>
          <w:sz w:val="24"/>
          <w:szCs w:val="24"/>
        </w:rPr>
        <w:t xml:space="preserve">W.S. § </w:t>
      </w:r>
      <w:hyperlink r:id="rId100" w:history="1">
        <w:r w:rsidRPr="006C739F">
          <w:rPr>
            <w:rStyle w:val="Hyperlink"/>
            <w:rFonts w:ascii="Times New Roman" w:hAnsi="Times New Roman" w:cs="Times New Roman"/>
            <w:sz w:val="24"/>
            <w:szCs w:val="24"/>
          </w:rPr>
          <w:t>27-14-405</w:t>
        </w:r>
      </w:hyperlink>
      <w:r>
        <w:rPr>
          <w:rFonts w:ascii="Times New Roman" w:hAnsi="Times New Roman" w:cs="Times New Roman"/>
          <w:sz w:val="24"/>
          <w:szCs w:val="24"/>
        </w:rPr>
        <w:t>(h)(iii) applicable to qualification for permanent partial impairment benefits—concerning which the employee has the unambiguous burden of production and persuasion</w:t>
      </w:r>
      <w:r w:rsidRPr="00910BB7">
        <w:rPr>
          <w:rFonts w:ascii="Times New Roman" w:hAnsi="Times New Roman" w:cs="Times New Roman"/>
          <w:sz w:val="24"/>
          <w:szCs w:val="24"/>
          <w:vertAlign w:val="superscript"/>
        </w:rPr>
        <w:footnoteReference w:id="580"/>
      </w:r>
      <w:r>
        <w:rPr>
          <w:rFonts w:ascii="Times New Roman" w:hAnsi="Times New Roman" w:cs="Times New Roman"/>
          <w:sz w:val="24"/>
          <w:szCs w:val="24"/>
        </w:rPr>
        <w:t>—with the odd-lot burden shifting mechanism.</w:t>
      </w:r>
    </w:p>
    <w:p w14:paraId="592E18AC" w14:textId="77777777" w:rsidR="00FF7482" w:rsidRDefault="00FF7482" w:rsidP="00F02E62">
      <w:pPr>
        <w:pStyle w:val="ListParagraph"/>
        <w:spacing w:after="0"/>
        <w:ind w:left="0"/>
        <w:jc w:val="both"/>
        <w:rPr>
          <w:rFonts w:ascii="Times New Roman" w:hAnsi="Times New Roman" w:cs="Times New Roman"/>
          <w:sz w:val="24"/>
          <w:szCs w:val="24"/>
        </w:rPr>
      </w:pPr>
    </w:p>
    <w:p w14:paraId="78CA37A6" w14:textId="12279019" w:rsidR="00FF7482" w:rsidRPr="00A75A86" w:rsidRDefault="00FF7482" w:rsidP="00A12C7B">
      <w:pPr>
        <w:pStyle w:val="Heading2"/>
        <w:rPr>
          <w:rFonts w:ascii="Times New Roman" w:hAnsi="Times New Roman" w:cs="Times New Roman"/>
          <w:b/>
          <w:color w:val="auto"/>
          <w:sz w:val="28"/>
          <w:szCs w:val="28"/>
        </w:rPr>
      </w:pPr>
      <w:bookmarkStart w:id="817" w:name="_Toc75269405"/>
      <w:bookmarkStart w:id="818" w:name="_Hlk1411761"/>
      <w:r w:rsidRPr="00A75A86">
        <w:rPr>
          <w:rFonts w:ascii="Times New Roman" w:hAnsi="Times New Roman" w:cs="Times New Roman"/>
          <w:b/>
          <w:color w:val="auto"/>
          <w:sz w:val="28"/>
          <w:szCs w:val="28"/>
        </w:rPr>
        <w:t>Permanent Partial Workers’ Compensation Benefits in Wyoming</w:t>
      </w:r>
      <w:bookmarkEnd w:id="817"/>
    </w:p>
    <w:bookmarkEnd w:id="818"/>
    <w:p w14:paraId="57DA08BF" w14:textId="77777777" w:rsidR="00FF7482" w:rsidRDefault="00FF7482" w:rsidP="003231BA">
      <w:pPr>
        <w:pStyle w:val="ListParagraph"/>
        <w:ind w:left="0" w:firstLine="720"/>
        <w:jc w:val="both"/>
        <w:rPr>
          <w:rFonts w:ascii="Times New Roman" w:hAnsi="Times New Roman" w:cs="Times New Roman"/>
          <w:sz w:val="24"/>
          <w:szCs w:val="24"/>
        </w:rPr>
      </w:pPr>
    </w:p>
    <w:p w14:paraId="7F20A6B7" w14:textId="500DE259" w:rsidR="00FF7482" w:rsidRDefault="00FF7482" w:rsidP="00A12C7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As mentioned above in Section 5.2, Wyoming utilizes a </w:t>
      </w:r>
      <w:r w:rsidRPr="00230F04">
        <w:rPr>
          <w:rFonts w:ascii="Times New Roman" w:hAnsi="Times New Roman" w:cs="Times New Roman"/>
          <w:b/>
          <w:sz w:val="24"/>
          <w:szCs w:val="24"/>
        </w:rPr>
        <w:t>“mixed”</w:t>
      </w:r>
      <w:r>
        <w:rPr>
          <w:rFonts w:ascii="Times New Roman" w:hAnsi="Times New Roman" w:cs="Times New Roman"/>
          <w:sz w:val="24"/>
          <w:szCs w:val="24"/>
        </w:rPr>
        <w:t xml:space="preserve"> approach to provision of partial benefits. Essentially, the Wyoming scheme involves payment (when statutory predicates are satisfied) of a </w:t>
      </w:r>
      <w:r w:rsidRPr="00FE5C4F">
        <w:rPr>
          <w:rFonts w:ascii="Times New Roman" w:hAnsi="Times New Roman" w:cs="Times New Roman"/>
          <w:b/>
          <w:sz w:val="24"/>
          <w:szCs w:val="24"/>
        </w:rPr>
        <w:t xml:space="preserve">“permanent partial </w:t>
      </w:r>
      <w:r w:rsidRPr="00FE5C4F">
        <w:rPr>
          <w:rFonts w:ascii="Times New Roman" w:hAnsi="Times New Roman" w:cs="Times New Roman"/>
          <w:b/>
          <w:i/>
          <w:sz w:val="24"/>
          <w:szCs w:val="24"/>
        </w:rPr>
        <w:t>impairment</w:t>
      </w:r>
      <w:r w:rsidRPr="00FE5C4F">
        <w:rPr>
          <w:rFonts w:ascii="Times New Roman" w:hAnsi="Times New Roman" w:cs="Times New Roman"/>
          <w:b/>
          <w:sz w:val="24"/>
          <w:szCs w:val="24"/>
        </w:rPr>
        <w:t xml:space="preserve"> award”</w:t>
      </w:r>
      <w:r>
        <w:rPr>
          <w:rFonts w:ascii="Times New Roman" w:hAnsi="Times New Roman" w:cs="Times New Roman"/>
          <w:sz w:val="24"/>
          <w:szCs w:val="24"/>
        </w:rPr>
        <w:t xml:space="preserve"> </w:t>
      </w:r>
      <w:r w:rsidRPr="00FE5C4F">
        <w:rPr>
          <w:rFonts w:ascii="Times New Roman" w:hAnsi="Times New Roman" w:cs="Times New Roman"/>
          <w:b/>
          <w:sz w:val="24"/>
          <w:szCs w:val="24"/>
          <w:u w:val="single"/>
        </w:rPr>
        <w:t>followed by</w:t>
      </w:r>
      <w:r w:rsidRPr="00FE5C4F">
        <w:rPr>
          <w:rFonts w:ascii="Times New Roman" w:hAnsi="Times New Roman" w:cs="Times New Roman"/>
          <w:sz w:val="24"/>
          <w:szCs w:val="24"/>
        </w:rPr>
        <w:t xml:space="preserve"> </w:t>
      </w:r>
      <w:r>
        <w:rPr>
          <w:rFonts w:ascii="Times New Roman" w:hAnsi="Times New Roman" w:cs="Times New Roman"/>
          <w:sz w:val="24"/>
          <w:szCs w:val="24"/>
        </w:rPr>
        <w:t xml:space="preserve">payment of a </w:t>
      </w:r>
      <w:r w:rsidRPr="00FE5C4F">
        <w:rPr>
          <w:rFonts w:ascii="Times New Roman" w:hAnsi="Times New Roman" w:cs="Times New Roman"/>
          <w:b/>
          <w:sz w:val="24"/>
          <w:szCs w:val="24"/>
        </w:rPr>
        <w:t xml:space="preserve">“permanent </w:t>
      </w:r>
      <w:r w:rsidRPr="00FE5C4F">
        <w:rPr>
          <w:rFonts w:ascii="Times New Roman" w:hAnsi="Times New Roman" w:cs="Times New Roman"/>
          <w:b/>
          <w:i/>
          <w:sz w:val="24"/>
          <w:szCs w:val="24"/>
        </w:rPr>
        <w:t>disability</w:t>
      </w:r>
      <w:r w:rsidRPr="00FE5C4F">
        <w:rPr>
          <w:rFonts w:ascii="Times New Roman" w:hAnsi="Times New Roman" w:cs="Times New Roman"/>
          <w:b/>
          <w:sz w:val="24"/>
          <w:szCs w:val="24"/>
        </w:rPr>
        <w:t xml:space="preserve"> award.”</w:t>
      </w:r>
      <w:r>
        <w:rPr>
          <w:rFonts w:ascii="Times New Roman" w:hAnsi="Times New Roman" w:cs="Times New Roman"/>
          <w:b/>
          <w:sz w:val="24"/>
          <w:szCs w:val="24"/>
        </w:rPr>
        <w:t xml:space="preserve"> Each of these concepts will be explored in Section 5.9</w:t>
      </w:r>
      <w:r w:rsidRPr="00C73FBE">
        <w:rPr>
          <w:rFonts w:ascii="Times New Roman" w:hAnsi="Times New Roman" w:cs="Times New Roman"/>
          <w:bCs/>
          <w:sz w:val="24"/>
          <w:szCs w:val="24"/>
        </w:rPr>
        <w:t xml:space="preserve">. </w:t>
      </w:r>
    </w:p>
    <w:p w14:paraId="3FB13EB5" w14:textId="0DBF7F72" w:rsidR="00FF7482" w:rsidRDefault="00FF7482" w:rsidP="003231BA">
      <w:pPr>
        <w:pStyle w:val="ListParagraph"/>
        <w:ind w:left="0" w:firstLine="720"/>
        <w:jc w:val="both"/>
        <w:rPr>
          <w:rFonts w:ascii="Times New Roman" w:hAnsi="Times New Roman" w:cs="Times New Roman"/>
          <w:b/>
          <w:sz w:val="24"/>
          <w:szCs w:val="24"/>
        </w:rPr>
      </w:pPr>
    </w:p>
    <w:p w14:paraId="7BB39FF8" w14:textId="280892E1" w:rsidR="00FF7482" w:rsidRDefault="00FF7482" w:rsidP="00C73FBE">
      <w:pPr>
        <w:pStyle w:val="ListParagraph"/>
        <w:ind w:left="0"/>
        <w:jc w:val="both"/>
        <w:rPr>
          <w:rFonts w:ascii="Times New Roman" w:hAnsi="Times New Roman" w:cs="Times New Roman"/>
          <w:sz w:val="24"/>
          <w:szCs w:val="24"/>
        </w:rPr>
      </w:pPr>
      <w:r w:rsidRPr="00CB3361">
        <w:rPr>
          <w:rFonts w:ascii="Times New Roman" w:hAnsi="Times New Roman" w:cs="Times New Roman"/>
          <w:sz w:val="24"/>
          <w:szCs w:val="24"/>
        </w:rPr>
        <w:t xml:space="preserve">As the Wyoming Supreme </w:t>
      </w:r>
      <w:r w:rsidR="00C73FBE">
        <w:rPr>
          <w:rFonts w:ascii="Times New Roman" w:hAnsi="Times New Roman" w:cs="Times New Roman"/>
          <w:sz w:val="24"/>
          <w:szCs w:val="24"/>
        </w:rPr>
        <w:t>C</w:t>
      </w:r>
      <w:r w:rsidRPr="00CB3361">
        <w:rPr>
          <w:rFonts w:ascii="Times New Roman" w:hAnsi="Times New Roman" w:cs="Times New Roman"/>
          <w:sz w:val="24"/>
          <w:szCs w:val="24"/>
        </w:rPr>
        <w:t>ourt has explained</w:t>
      </w:r>
      <w:r>
        <w:rPr>
          <w:rFonts w:ascii="Times New Roman" w:hAnsi="Times New Roman" w:cs="Times New Roman"/>
          <w:sz w:val="24"/>
          <w:szCs w:val="24"/>
        </w:rPr>
        <w:t xml:space="preserve">, </w:t>
      </w:r>
    </w:p>
    <w:p w14:paraId="4C402B0C" w14:textId="77777777" w:rsidR="00FF7482" w:rsidRDefault="00FF7482" w:rsidP="003231BA">
      <w:pPr>
        <w:pStyle w:val="ListParagraph"/>
        <w:ind w:left="0" w:firstLine="720"/>
        <w:jc w:val="both"/>
        <w:rPr>
          <w:rFonts w:ascii="Times New Roman" w:hAnsi="Times New Roman" w:cs="Times New Roman"/>
          <w:sz w:val="24"/>
          <w:szCs w:val="24"/>
        </w:rPr>
      </w:pPr>
    </w:p>
    <w:p w14:paraId="0688FC27" w14:textId="6E6EC745" w:rsidR="00FF7482" w:rsidRPr="00CB3361" w:rsidRDefault="00FF7482" w:rsidP="00C73FBE">
      <w:pPr>
        <w:pStyle w:val="ListParagraph"/>
        <w:ind w:right="720"/>
        <w:jc w:val="both"/>
        <w:rPr>
          <w:rFonts w:ascii="Times New Roman" w:hAnsi="Times New Roman" w:cs="Times New Roman"/>
          <w:sz w:val="24"/>
          <w:szCs w:val="24"/>
        </w:rPr>
      </w:pPr>
      <w:r w:rsidRPr="00CB3361">
        <w:rPr>
          <w:rFonts w:ascii="Times New Roman" w:hAnsi="Times New Roman" w:cs="Times New Roman"/>
          <w:sz w:val="24"/>
          <w:szCs w:val="24"/>
        </w:rPr>
        <w:lastRenderedPageBreak/>
        <w:t xml:space="preserve">There is a distinction between the concepts of impairment and disability. This distinction is indicated by the Worker's Compensation Act itself, our precedent, and the AMA Guides to the Evaluation of Permanent Impairment (Guides), which are used to rate an injured worker's impairment pursuant to Wyo. Stat. Ann. § 27-14-405(g). Each of these authorities indicates that "impairment" connotes physical loss associated with an injury, whereas </w:t>
      </w:r>
      <w:r>
        <w:rPr>
          <w:rFonts w:ascii="Times New Roman" w:hAnsi="Times New Roman" w:cs="Times New Roman"/>
          <w:sz w:val="24"/>
          <w:szCs w:val="24"/>
        </w:rPr>
        <w:t>“</w:t>
      </w:r>
      <w:r w:rsidRPr="00CB3361">
        <w:rPr>
          <w:rFonts w:ascii="Times New Roman" w:hAnsi="Times New Roman" w:cs="Times New Roman"/>
          <w:sz w:val="24"/>
          <w:szCs w:val="24"/>
        </w:rPr>
        <w:t>disability</w:t>
      </w:r>
      <w:r>
        <w:rPr>
          <w:rFonts w:ascii="Times New Roman" w:hAnsi="Times New Roman" w:cs="Times New Roman"/>
          <w:sz w:val="24"/>
          <w:szCs w:val="24"/>
        </w:rPr>
        <w:t>”</w:t>
      </w:r>
      <w:r w:rsidRPr="00CB3361">
        <w:rPr>
          <w:rFonts w:ascii="Times New Roman" w:hAnsi="Times New Roman" w:cs="Times New Roman"/>
          <w:sz w:val="24"/>
          <w:szCs w:val="24"/>
        </w:rPr>
        <w:t xml:space="preserve"> connotes economic loss associated with an injury</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81"/>
      </w:r>
    </w:p>
    <w:p w14:paraId="4047C3B7" w14:textId="77777777" w:rsidR="00FF7482" w:rsidRDefault="00FF7482" w:rsidP="003231BA">
      <w:pPr>
        <w:pStyle w:val="ListParagraph"/>
        <w:ind w:left="0" w:firstLine="720"/>
        <w:jc w:val="both"/>
        <w:rPr>
          <w:rFonts w:ascii="Times New Roman" w:hAnsi="Times New Roman" w:cs="Times New Roman"/>
          <w:sz w:val="24"/>
          <w:szCs w:val="24"/>
        </w:rPr>
      </w:pPr>
    </w:p>
    <w:p w14:paraId="5FF22FC2" w14:textId="4B6181B0" w:rsidR="00FF7482" w:rsidRPr="00C73FBE" w:rsidRDefault="00FF7482" w:rsidP="00C73FBE">
      <w:pPr>
        <w:pStyle w:val="ListParagraph"/>
        <w:ind w:left="0"/>
        <w:jc w:val="both"/>
        <w:rPr>
          <w:rFonts w:ascii="Times New Roman" w:hAnsi="Times New Roman" w:cs="Times New Roman"/>
          <w:bCs/>
          <w:sz w:val="24"/>
          <w:szCs w:val="24"/>
        </w:rPr>
      </w:pPr>
      <w:r w:rsidRPr="002C3EB5">
        <w:rPr>
          <w:rFonts w:ascii="Times New Roman" w:hAnsi="Times New Roman" w:cs="Times New Roman"/>
          <w:b/>
          <w:sz w:val="24"/>
          <w:szCs w:val="24"/>
        </w:rPr>
        <w:t>A.</w:t>
      </w:r>
      <w:r w:rsidRPr="002C3EB5">
        <w:rPr>
          <w:rFonts w:ascii="Times New Roman" w:hAnsi="Times New Roman" w:cs="Times New Roman"/>
          <w:b/>
          <w:sz w:val="24"/>
          <w:szCs w:val="24"/>
        </w:rPr>
        <w:tab/>
      </w:r>
      <w:r w:rsidRPr="008F241B">
        <w:rPr>
          <w:rFonts w:ascii="Times New Roman" w:hAnsi="Times New Roman" w:cs="Times New Roman"/>
          <w:b/>
          <w:sz w:val="24"/>
          <w:szCs w:val="24"/>
          <w:u w:val="single"/>
        </w:rPr>
        <w:t>Pe</w:t>
      </w:r>
      <w:r w:rsidRPr="00D6482A">
        <w:rPr>
          <w:rFonts w:ascii="Times New Roman" w:hAnsi="Times New Roman" w:cs="Times New Roman"/>
          <w:b/>
          <w:sz w:val="24"/>
          <w:szCs w:val="24"/>
          <w:u w:val="single"/>
        </w:rPr>
        <w:t xml:space="preserve">rmanent </w:t>
      </w:r>
      <w:r>
        <w:rPr>
          <w:rFonts w:ascii="Times New Roman" w:hAnsi="Times New Roman" w:cs="Times New Roman"/>
          <w:b/>
          <w:sz w:val="24"/>
          <w:szCs w:val="24"/>
          <w:u w:val="single"/>
        </w:rPr>
        <w:t>P</w:t>
      </w:r>
      <w:r w:rsidRPr="00D6482A">
        <w:rPr>
          <w:rFonts w:ascii="Times New Roman" w:hAnsi="Times New Roman" w:cs="Times New Roman"/>
          <w:b/>
          <w:sz w:val="24"/>
          <w:szCs w:val="24"/>
          <w:u w:val="single"/>
        </w:rPr>
        <w:t xml:space="preserve">artial </w:t>
      </w:r>
      <w:r>
        <w:rPr>
          <w:rFonts w:ascii="Times New Roman" w:hAnsi="Times New Roman" w:cs="Times New Roman"/>
          <w:b/>
          <w:sz w:val="24"/>
          <w:szCs w:val="24"/>
          <w:u w:val="single"/>
        </w:rPr>
        <w:t>I</w:t>
      </w:r>
      <w:r w:rsidRPr="00D6482A">
        <w:rPr>
          <w:rFonts w:ascii="Times New Roman" w:hAnsi="Times New Roman" w:cs="Times New Roman"/>
          <w:b/>
          <w:sz w:val="24"/>
          <w:szCs w:val="24"/>
          <w:u w:val="single"/>
        </w:rPr>
        <w:t xml:space="preserve">mpairment </w:t>
      </w:r>
      <w:r>
        <w:rPr>
          <w:rFonts w:ascii="Times New Roman" w:hAnsi="Times New Roman" w:cs="Times New Roman"/>
          <w:b/>
          <w:sz w:val="24"/>
          <w:szCs w:val="24"/>
          <w:u w:val="single"/>
        </w:rPr>
        <w:t>A</w:t>
      </w:r>
      <w:r w:rsidRPr="00D6482A">
        <w:rPr>
          <w:rFonts w:ascii="Times New Roman" w:hAnsi="Times New Roman" w:cs="Times New Roman"/>
          <w:b/>
          <w:sz w:val="24"/>
          <w:szCs w:val="24"/>
          <w:u w:val="single"/>
        </w:rPr>
        <w:t>ward</w:t>
      </w:r>
      <w:r>
        <w:rPr>
          <w:rFonts w:ascii="Times New Roman" w:hAnsi="Times New Roman" w:cs="Times New Roman"/>
          <w:sz w:val="24"/>
          <w:szCs w:val="24"/>
        </w:rPr>
        <w:t xml:space="preserve"> (</w:t>
      </w:r>
      <w:r w:rsidRPr="006A1BD3">
        <w:rPr>
          <w:rFonts w:ascii="Times New Roman" w:hAnsi="Times New Roman" w:cs="Times New Roman"/>
          <w:b/>
          <w:sz w:val="24"/>
          <w:szCs w:val="24"/>
        </w:rPr>
        <w:t>PPI</w:t>
      </w:r>
      <w:r>
        <w:rPr>
          <w:rFonts w:ascii="Times New Roman" w:hAnsi="Times New Roman" w:cs="Times New Roman"/>
          <w:sz w:val="24"/>
          <w:szCs w:val="24"/>
        </w:rPr>
        <w:t xml:space="preserve">): Under </w:t>
      </w:r>
      <w:r w:rsidRPr="006C739F">
        <w:rPr>
          <w:rFonts w:ascii="Times New Roman" w:hAnsi="Times New Roman" w:cs="Times New Roman"/>
          <w:sz w:val="24"/>
          <w:szCs w:val="24"/>
        </w:rPr>
        <w:t xml:space="preserve">W.S. </w:t>
      </w:r>
      <w:bookmarkStart w:id="821" w:name="_Hlk532303104"/>
      <w:r w:rsidRPr="006C739F">
        <w:rPr>
          <w:rFonts w:ascii="Times New Roman" w:hAnsi="Times New Roman" w:cs="Times New Roman"/>
          <w:sz w:val="24"/>
          <w:szCs w:val="24"/>
        </w:rPr>
        <w:t xml:space="preserve">§ </w:t>
      </w:r>
      <w:hyperlink r:id="rId101" w:history="1">
        <w:r w:rsidRPr="006C739F">
          <w:rPr>
            <w:rStyle w:val="Hyperlink"/>
            <w:rFonts w:ascii="Times New Roman" w:hAnsi="Times New Roman" w:cs="Times New Roman"/>
            <w:sz w:val="24"/>
            <w:szCs w:val="24"/>
          </w:rPr>
          <w:t>27-14-403</w:t>
        </w:r>
      </w:hyperlink>
      <w:r w:rsidRPr="00FE5490">
        <w:rPr>
          <w:rFonts w:ascii="Times New Roman" w:hAnsi="Times New Roman" w:cs="Times New Roman"/>
          <w:sz w:val="24"/>
          <w:szCs w:val="24"/>
        </w:rPr>
        <w:t>(c</w:t>
      </w:r>
      <w:r w:rsidRPr="00C73FBE">
        <w:rPr>
          <w:rFonts w:ascii="Times New Roman" w:hAnsi="Times New Roman" w:cs="Times New Roman"/>
          <w:iCs/>
          <w:sz w:val="24"/>
          <w:szCs w:val="24"/>
        </w:rPr>
        <w:t>)</w:t>
      </w:r>
      <w:bookmarkEnd w:id="821"/>
      <w:r w:rsidRPr="00C73FBE">
        <w:rPr>
          <w:rFonts w:ascii="Times New Roman" w:hAnsi="Times New Roman" w:cs="Times New Roman"/>
          <w:iCs/>
          <w:sz w:val="24"/>
          <w:szCs w:val="24"/>
        </w:rPr>
        <w:t xml:space="preserve">, </w:t>
      </w:r>
      <w:r>
        <w:rPr>
          <w:rFonts w:ascii="Times New Roman" w:hAnsi="Times New Roman" w:cs="Times New Roman"/>
          <w:b/>
          <w:sz w:val="24"/>
          <w:szCs w:val="24"/>
        </w:rPr>
        <w:t>f</w:t>
      </w:r>
      <w:r w:rsidRPr="008F241B">
        <w:rPr>
          <w:rFonts w:ascii="Times New Roman" w:hAnsi="Times New Roman" w:cs="Times New Roman"/>
          <w:b/>
          <w:sz w:val="24"/>
          <w:szCs w:val="24"/>
        </w:rPr>
        <w:t>or permanent partial impairment</w:t>
      </w:r>
      <w:r>
        <w:rPr>
          <w:rFonts w:ascii="Times New Roman" w:hAnsi="Times New Roman" w:cs="Times New Roman"/>
          <w:b/>
          <w:sz w:val="24"/>
          <w:szCs w:val="24"/>
        </w:rPr>
        <w:t xml:space="preserve"> </w:t>
      </w:r>
      <w:r w:rsidRPr="008F241B">
        <w:rPr>
          <w:rFonts w:ascii="Times New Roman" w:hAnsi="Times New Roman" w:cs="Times New Roman"/>
          <w:b/>
          <w:sz w:val="24"/>
          <w:szCs w:val="24"/>
        </w:rPr>
        <w:t>the award shall be calculated</w:t>
      </w:r>
      <w:r w:rsidRPr="00910BB7">
        <w:rPr>
          <w:rFonts w:ascii="Times New Roman" w:hAnsi="Times New Roman" w:cs="Times New Roman"/>
          <w:sz w:val="24"/>
          <w:szCs w:val="24"/>
          <w:vertAlign w:val="superscript"/>
        </w:rPr>
        <w:footnoteReference w:id="582"/>
      </w:r>
      <w:r w:rsidRPr="00091076">
        <w:rPr>
          <w:rFonts w:ascii="Times New Roman" w:hAnsi="Times New Roman" w:cs="Times New Roman"/>
          <w:sz w:val="24"/>
          <w:szCs w:val="24"/>
        </w:rPr>
        <w:t xml:space="preserve"> </w:t>
      </w:r>
      <w:r w:rsidRPr="008F241B">
        <w:rPr>
          <w:rFonts w:ascii="Times New Roman" w:hAnsi="Times New Roman" w:cs="Times New Roman"/>
          <w:b/>
          <w:sz w:val="24"/>
          <w:szCs w:val="24"/>
        </w:rPr>
        <w:t>at the rate of</w:t>
      </w:r>
      <w:r>
        <w:rPr>
          <w:rFonts w:ascii="Times New Roman" w:hAnsi="Times New Roman" w:cs="Times New Roman"/>
          <w:b/>
          <w:sz w:val="24"/>
          <w:szCs w:val="24"/>
        </w:rPr>
        <w:t xml:space="preserve"> </w:t>
      </w:r>
      <w:r w:rsidRPr="008F241B">
        <w:rPr>
          <w:rFonts w:ascii="Times New Roman" w:hAnsi="Times New Roman" w:cs="Times New Roman"/>
          <w:b/>
          <w:sz w:val="24"/>
          <w:szCs w:val="24"/>
        </w:rPr>
        <w:t>⅔</w:t>
      </w:r>
      <w:r>
        <w:rPr>
          <w:rFonts w:ascii="Times New Roman" w:hAnsi="Times New Roman" w:cs="Times New Roman"/>
          <w:b/>
          <w:sz w:val="24"/>
          <w:szCs w:val="24"/>
        </w:rPr>
        <w:t xml:space="preserve"> </w:t>
      </w:r>
      <w:r w:rsidRPr="008F241B">
        <w:rPr>
          <w:rFonts w:ascii="Times New Roman" w:hAnsi="Times New Roman" w:cs="Times New Roman"/>
          <w:b/>
          <w:sz w:val="24"/>
          <w:szCs w:val="24"/>
        </w:rPr>
        <w:t>of the statewide average monthly wage for the 12</w:t>
      </w:r>
      <w:r>
        <w:rPr>
          <w:rFonts w:ascii="Times New Roman" w:hAnsi="Times New Roman" w:cs="Times New Roman"/>
          <w:b/>
          <w:sz w:val="24"/>
          <w:szCs w:val="24"/>
        </w:rPr>
        <w:t xml:space="preserve"> </w:t>
      </w:r>
      <w:r w:rsidRPr="008F241B">
        <w:rPr>
          <w:rFonts w:ascii="Times New Roman" w:hAnsi="Times New Roman" w:cs="Times New Roman"/>
          <w:b/>
          <w:sz w:val="24"/>
          <w:szCs w:val="24"/>
        </w:rPr>
        <w:t>month period immediately preceding the quarterly period in which the benefits are first paid</w:t>
      </w:r>
      <w:r>
        <w:rPr>
          <w:rFonts w:ascii="Times New Roman" w:hAnsi="Times New Roman" w:cs="Times New Roman"/>
          <w:b/>
          <w:sz w:val="24"/>
          <w:szCs w:val="24"/>
        </w:rPr>
        <w:t xml:space="preserve">. Then, however, under </w:t>
      </w:r>
      <w:r w:rsidRPr="006C739F">
        <w:rPr>
          <w:rFonts w:ascii="Times New Roman" w:hAnsi="Times New Roman" w:cs="Times New Roman"/>
          <w:sz w:val="24"/>
          <w:szCs w:val="24"/>
        </w:rPr>
        <w:t xml:space="preserve">W.S. § </w:t>
      </w:r>
      <w:hyperlink r:id="rId102" w:history="1">
        <w:r w:rsidRPr="006C739F">
          <w:rPr>
            <w:rStyle w:val="Hyperlink"/>
            <w:rFonts w:ascii="Times New Roman" w:hAnsi="Times New Roman" w:cs="Times New Roman"/>
            <w:sz w:val="24"/>
            <w:szCs w:val="24"/>
          </w:rPr>
          <w:t>27-14-405</w:t>
        </w:r>
      </w:hyperlink>
      <w:r w:rsidRPr="00FE5490">
        <w:rPr>
          <w:rFonts w:ascii="Times New Roman" w:hAnsi="Times New Roman" w:cs="Times New Roman"/>
          <w:sz w:val="24"/>
          <w:szCs w:val="24"/>
        </w:rPr>
        <w:t>(g),</w:t>
      </w:r>
      <w:r>
        <w:rPr>
          <w:rFonts w:ascii="Times New Roman" w:hAnsi="Times New Roman" w:cs="Times New Roman"/>
          <w:sz w:val="24"/>
          <w:szCs w:val="24"/>
        </w:rPr>
        <w:t xml:space="preserve"> </w:t>
      </w:r>
      <w:r w:rsidRPr="00FE5490">
        <w:rPr>
          <w:rFonts w:ascii="Times New Roman" w:hAnsi="Times New Roman" w:cs="Times New Roman"/>
          <w:b/>
          <w:sz w:val="24"/>
          <w:szCs w:val="24"/>
        </w:rPr>
        <w:t>an injured employee’s impairment shall be rated by a licensed physician using the most recent edition of the American Medical Association</w:t>
      </w:r>
      <w:r>
        <w:rPr>
          <w:rFonts w:ascii="Times New Roman" w:hAnsi="Times New Roman" w:cs="Times New Roman"/>
          <w:b/>
          <w:sz w:val="24"/>
          <w:szCs w:val="24"/>
        </w:rPr>
        <w:t>’</w:t>
      </w:r>
      <w:r w:rsidRPr="00FE5490">
        <w:rPr>
          <w:rFonts w:ascii="Times New Roman" w:hAnsi="Times New Roman" w:cs="Times New Roman"/>
          <w:b/>
          <w:sz w:val="24"/>
          <w:szCs w:val="24"/>
        </w:rPr>
        <w:t xml:space="preserve">s guide to the evaluation of permanent impairment. The award shall be paid as provided by </w:t>
      </w:r>
      <w:r w:rsidRPr="006C739F">
        <w:rPr>
          <w:rFonts w:ascii="Times New Roman" w:hAnsi="Times New Roman" w:cs="Times New Roman"/>
          <w:b/>
          <w:sz w:val="24"/>
          <w:szCs w:val="24"/>
        </w:rPr>
        <w:t xml:space="preserve">W.S. </w:t>
      </w:r>
      <w:hyperlink r:id="rId103" w:history="1">
        <w:r w:rsidRPr="006C739F">
          <w:rPr>
            <w:rStyle w:val="Hyperlink"/>
            <w:rFonts w:ascii="Times New Roman" w:hAnsi="Times New Roman" w:cs="Times New Roman"/>
            <w:b/>
            <w:sz w:val="24"/>
            <w:szCs w:val="24"/>
          </w:rPr>
          <w:t>27-14-403</w:t>
        </w:r>
      </w:hyperlink>
      <w:r w:rsidRPr="00FE5490">
        <w:rPr>
          <w:rFonts w:ascii="Times New Roman" w:hAnsi="Times New Roman" w:cs="Times New Roman"/>
          <w:b/>
          <w:sz w:val="24"/>
          <w:szCs w:val="24"/>
        </w:rPr>
        <w:t xml:space="preserve"> for the number of months determined by multiplying the percentage of impairment by sixty (60) months</w:t>
      </w:r>
      <w:r w:rsidRPr="00C73FBE">
        <w:rPr>
          <w:rFonts w:ascii="Times New Roman" w:hAnsi="Times New Roman" w:cs="Times New Roman"/>
          <w:bCs/>
          <w:sz w:val="24"/>
          <w:szCs w:val="24"/>
        </w:rPr>
        <w:t>.</w:t>
      </w:r>
    </w:p>
    <w:p w14:paraId="64B71DC9" w14:textId="77777777" w:rsidR="00FF7482" w:rsidRDefault="00FF7482" w:rsidP="003231BA">
      <w:pPr>
        <w:pStyle w:val="ListParagraph"/>
        <w:ind w:left="0" w:firstLine="720"/>
        <w:jc w:val="both"/>
        <w:rPr>
          <w:rFonts w:ascii="Times New Roman" w:hAnsi="Times New Roman" w:cs="Times New Roman"/>
          <w:sz w:val="24"/>
          <w:szCs w:val="24"/>
        </w:rPr>
      </w:pPr>
    </w:p>
    <w:p w14:paraId="02388294" w14:textId="3FCDE95F" w:rsidR="00FF7482" w:rsidRDefault="00FF7482" w:rsidP="00C73FBE">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 xml:space="preserve">Thus, imagine an injured employee who has suffered a 15% permanent impairment on a date when the statewide average monthly wage was $3,757 (Q2, 2018). An employee’s permanent impairment would be calculated as follows. First, under </w:t>
      </w:r>
      <w:r w:rsidRPr="006C739F">
        <w:rPr>
          <w:rFonts w:ascii="Times New Roman" w:hAnsi="Times New Roman" w:cs="Times New Roman"/>
          <w:sz w:val="24"/>
          <w:szCs w:val="24"/>
        </w:rPr>
        <w:t xml:space="preserve">W.S. § </w:t>
      </w:r>
      <w:hyperlink r:id="rId104" w:history="1">
        <w:r w:rsidRPr="006C739F">
          <w:rPr>
            <w:rStyle w:val="Hyperlink"/>
            <w:rFonts w:ascii="Times New Roman" w:hAnsi="Times New Roman" w:cs="Times New Roman"/>
            <w:sz w:val="24"/>
            <w:szCs w:val="24"/>
          </w:rPr>
          <w:t>27-14-403</w:t>
        </w:r>
      </w:hyperlink>
      <w:r w:rsidRPr="00FE5490">
        <w:rPr>
          <w:rFonts w:ascii="Times New Roman" w:hAnsi="Times New Roman" w:cs="Times New Roman"/>
          <w:sz w:val="24"/>
          <w:szCs w:val="24"/>
        </w:rPr>
        <w:t>(c</w:t>
      </w:r>
      <w:r w:rsidRPr="002D7D92">
        <w:rPr>
          <w:rFonts w:ascii="Times New Roman" w:hAnsi="Times New Roman" w:cs="Times New Roman"/>
          <w:sz w:val="24"/>
          <w:szCs w:val="24"/>
        </w:rPr>
        <w:t>)</w:t>
      </w:r>
      <w:r>
        <w:rPr>
          <w:rFonts w:ascii="Times New Roman" w:hAnsi="Times New Roman" w:cs="Times New Roman"/>
          <w:sz w:val="24"/>
          <w:szCs w:val="24"/>
        </w:rPr>
        <w:t xml:space="preserve">, calculate 2/3 of the assumed SAMW of $3,757, which is about $2,504. Next, assume hypothetically that under the AMA Guides an employee is 15% impaired. Next, multiply the percentage of impairment by 60 months (15% x 60 months = 9 months). The impairment benefit is equal to </w:t>
      </w:r>
      <w:r w:rsidRPr="002D7D92">
        <w:rPr>
          <w:rFonts w:ascii="Times New Roman" w:hAnsi="Times New Roman" w:cs="Times New Roman"/>
          <w:b/>
          <w:sz w:val="24"/>
          <w:szCs w:val="24"/>
        </w:rPr>
        <w:t>$2,504 x 9 months = $22,536</w:t>
      </w:r>
      <w:r>
        <w:rPr>
          <w:rFonts w:ascii="Times New Roman" w:hAnsi="Times New Roman" w:cs="Times New Roman"/>
          <w:sz w:val="24"/>
          <w:szCs w:val="24"/>
        </w:rPr>
        <w:t xml:space="preserve">. </w:t>
      </w:r>
      <w:bookmarkStart w:id="824" w:name="_Hlk532309871"/>
      <w:r>
        <w:rPr>
          <w:rFonts w:ascii="Times New Roman" w:hAnsi="Times New Roman" w:cs="Times New Roman"/>
          <w:sz w:val="24"/>
          <w:szCs w:val="24"/>
        </w:rPr>
        <w:t xml:space="preserve">Note that </w:t>
      </w:r>
      <w:r w:rsidRPr="002C3EB5">
        <w:rPr>
          <w:rFonts w:ascii="Times New Roman" w:hAnsi="Times New Roman" w:cs="Times New Roman"/>
          <w:b/>
          <w:sz w:val="24"/>
          <w:szCs w:val="24"/>
        </w:rPr>
        <w:t>this figure bears no relation to an employee’s diminished earning capacity or loss of wages and is solely a function of the employee’s percentage of impairment times a</w:t>
      </w:r>
      <w:r>
        <w:rPr>
          <w:rFonts w:ascii="Times New Roman" w:hAnsi="Times New Roman" w:cs="Times New Roman"/>
          <w:b/>
          <w:sz w:val="24"/>
          <w:szCs w:val="24"/>
        </w:rPr>
        <w:t xml:space="preserve"> seemingly arbitrary</w:t>
      </w:r>
      <w:r w:rsidRPr="002C3EB5">
        <w:rPr>
          <w:rFonts w:ascii="Times New Roman" w:hAnsi="Times New Roman" w:cs="Times New Roman"/>
          <w:b/>
          <w:sz w:val="24"/>
          <w:szCs w:val="24"/>
        </w:rPr>
        <w:t xml:space="preserve"> 60</w:t>
      </w:r>
      <w:r>
        <w:rPr>
          <w:rFonts w:ascii="Times New Roman" w:hAnsi="Times New Roman" w:cs="Times New Roman"/>
          <w:b/>
          <w:sz w:val="24"/>
          <w:szCs w:val="24"/>
        </w:rPr>
        <w:t>-</w:t>
      </w:r>
      <w:r w:rsidRPr="002C3EB5">
        <w:rPr>
          <w:rFonts w:ascii="Times New Roman" w:hAnsi="Times New Roman" w:cs="Times New Roman"/>
          <w:b/>
          <w:sz w:val="24"/>
          <w:szCs w:val="24"/>
        </w:rPr>
        <w:t>month</w:t>
      </w:r>
      <w:r>
        <w:rPr>
          <w:rFonts w:ascii="Times New Roman" w:hAnsi="Times New Roman" w:cs="Times New Roman"/>
          <w:b/>
          <w:sz w:val="24"/>
          <w:szCs w:val="24"/>
        </w:rPr>
        <w:t xml:space="preserve"> multiplier</w:t>
      </w:r>
      <w:r w:rsidRPr="006727DC">
        <w:rPr>
          <w:rFonts w:ascii="Times New Roman" w:hAnsi="Times New Roman" w:cs="Times New Roman"/>
          <w:bCs/>
          <w:sz w:val="24"/>
          <w:szCs w:val="24"/>
        </w:rPr>
        <w:t>.</w:t>
      </w:r>
    </w:p>
    <w:p w14:paraId="5522BC92" w14:textId="7B1311EB" w:rsidR="00FF7482" w:rsidRDefault="00FF7482" w:rsidP="003231BA">
      <w:pPr>
        <w:pStyle w:val="ListParagraph"/>
        <w:ind w:left="0" w:firstLine="720"/>
        <w:jc w:val="both"/>
        <w:rPr>
          <w:rFonts w:ascii="Times New Roman" w:hAnsi="Times New Roman" w:cs="Times New Roman"/>
          <w:sz w:val="24"/>
          <w:szCs w:val="24"/>
        </w:rPr>
      </w:pPr>
    </w:p>
    <w:p w14:paraId="25A35776" w14:textId="336F9BB4" w:rsidR="00FF7482" w:rsidRDefault="00FF7482" w:rsidP="006727DC">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Wyoming courts have emphasized that impairment is </w:t>
      </w:r>
      <w:r w:rsidRPr="00242A9B">
        <w:rPr>
          <w:rFonts w:ascii="Times New Roman" w:hAnsi="Times New Roman" w:cs="Times New Roman"/>
          <w:b/>
          <w:sz w:val="24"/>
          <w:szCs w:val="24"/>
        </w:rPr>
        <w:t>“strictly a medical question and is unrelated to the claimant’s ability to work</w:t>
      </w:r>
      <w:r w:rsidRPr="007F1812">
        <w:rPr>
          <w:rFonts w:ascii="Times New Roman" w:hAnsi="Times New Roman" w:cs="Times New Roman"/>
          <w:b/>
          <w:bCs/>
          <w:sz w:val="24"/>
          <w:szCs w:val="24"/>
        </w:rPr>
        <w:t>.”</w:t>
      </w:r>
      <w:r w:rsidRPr="00910BB7">
        <w:rPr>
          <w:rFonts w:ascii="Times New Roman" w:hAnsi="Times New Roman" w:cs="Times New Roman"/>
          <w:sz w:val="24"/>
          <w:szCs w:val="24"/>
          <w:vertAlign w:val="superscript"/>
        </w:rPr>
        <w:footnoteReference w:id="583"/>
      </w:r>
      <w:r>
        <w:rPr>
          <w:rFonts w:ascii="Times New Roman" w:hAnsi="Times New Roman" w:cs="Times New Roman"/>
          <w:sz w:val="24"/>
          <w:szCs w:val="24"/>
        </w:rPr>
        <w:t xml:space="preserve"> Accordingly, a worker suffering an impairment caused by work is entitled to an impairment benefit irrespective of the impairment’s impact on the worker’s earning capacity.</w:t>
      </w:r>
    </w:p>
    <w:bookmarkEnd w:id="824"/>
    <w:p w14:paraId="18F321FB" w14:textId="426B5082" w:rsidR="00FF7482" w:rsidRDefault="00FF7482" w:rsidP="003231BA">
      <w:pPr>
        <w:pStyle w:val="ListParagraph"/>
        <w:ind w:left="0" w:firstLine="720"/>
        <w:jc w:val="both"/>
        <w:rPr>
          <w:rFonts w:ascii="Times New Roman" w:hAnsi="Times New Roman" w:cs="Times New Roman"/>
          <w:sz w:val="24"/>
          <w:szCs w:val="24"/>
        </w:rPr>
      </w:pPr>
    </w:p>
    <w:p w14:paraId="69F3A883" w14:textId="66DD4C03" w:rsidR="00FF7482" w:rsidRDefault="00FF7482" w:rsidP="007F1812">
      <w:pPr>
        <w:pStyle w:val="ListParagraph"/>
        <w:ind w:left="0"/>
        <w:jc w:val="both"/>
        <w:rPr>
          <w:rFonts w:ascii="Times New Roman" w:hAnsi="Times New Roman" w:cs="Times New Roman"/>
          <w:sz w:val="24"/>
          <w:szCs w:val="24"/>
        </w:rPr>
      </w:pPr>
      <w:r w:rsidRPr="002C3EB5">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
          <w:sz w:val="24"/>
          <w:szCs w:val="24"/>
          <w:u w:val="single"/>
        </w:rPr>
        <w:t>P</w:t>
      </w:r>
      <w:r w:rsidRPr="00135D9E">
        <w:rPr>
          <w:rFonts w:ascii="Times New Roman" w:hAnsi="Times New Roman" w:cs="Times New Roman"/>
          <w:b/>
          <w:sz w:val="24"/>
          <w:szCs w:val="24"/>
          <w:u w:val="single"/>
        </w:rPr>
        <w:t xml:space="preserve">ermanent </w:t>
      </w:r>
      <w:r>
        <w:rPr>
          <w:rFonts w:ascii="Times New Roman" w:hAnsi="Times New Roman" w:cs="Times New Roman"/>
          <w:b/>
          <w:sz w:val="24"/>
          <w:szCs w:val="24"/>
          <w:u w:val="single"/>
        </w:rPr>
        <w:t>Partial D</w:t>
      </w:r>
      <w:r w:rsidRPr="00135D9E">
        <w:rPr>
          <w:rFonts w:ascii="Times New Roman" w:hAnsi="Times New Roman" w:cs="Times New Roman"/>
          <w:b/>
          <w:sz w:val="24"/>
          <w:szCs w:val="24"/>
          <w:u w:val="single"/>
        </w:rPr>
        <w:t xml:space="preserve">isability </w:t>
      </w:r>
      <w:r>
        <w:rPr>
          <w:rFonts w:ascii="Times New Roman" w:hAnsi="Times New Roman" w:cs="Times New Roman"/>
          <w:b/>
          <w:sz w:val="24"/>
          <w:szCs w:val="24"/>
          <w:u w:val="single"/>
        </w:rPr>
        <w:t>A</w:t>
      </w:r>
      <w:r w:rsidRPr="00135D9E">
        <w:rPr>
          <w:rFonts w:ascii="Times New Roman" w:hAnsi="Times New Roman" w:cs="Times New Roman"/>
          <w:b/>
          <w:sz w:val="24"/>
          <w:szCs w:val="24"/>
          <w:u w:val="single"/>
        </w:rPr>
        <w:t>ward</w:t>
      </w:r>
      <w:r>
        <w:rPr>
          <w:rFonts w:ascii="Times New Roman" w:hAnsi="Times New Roman" w:cs="Times New Roman"/>
          <w:b/>
          <w:sz w:val="24"/>
          <w:szCs w:val="24"/>
        </w:rPr>
        <w:t xml:space="preserve"> </w:t>
      </w:r>
      <w:r w:rsidRPr="007F1812">
        <w:rPr>
          <w:rFonts w:ascii="Times New Roman" w:hAnsi="Times New Roman" w:cs="Times New Roman"/>
          <w:bCs/>
          <w:sz w:val="24"/>
          <w:szCs w:val="24"/>
        </w:rPr>
        <w:t>(</w:t>
      </w:r>
      <w:r>
        <w:rPr>
          <w:rFonts w:ascii="Times New Roman" w:hAnsi="Times New Roman" w:cs="Times New Roman"/>
          <w:b/>
          <w:sz w:val="24"/>
          <w:szCs w:val="24"/>
        </w:rPr>
        <w:t>PPD</w:t>
      </w:r>
      <w:r w:rsidRPr="007F1812">
        <w:rPr>
          <w:rFonts w:ascii="Times New Roman" w:hAnsi="Times New Roman" w:cs="Times New Roman"/>
          <w:bCs/>
          <w:sz w:val="24"/>
          <w:szCs w:val="24"/>
        </w:rPr>
        <w:t>)</w:t>
      </w:r>
      <w:r>
        <w:rPr>
          <w:rFonts w:ascii="Times New Roman" w:hAnsi="Times New Roman" w:cs="Times New Roman"/>
          <w:sz w:val="24"/>
          <w:szCs w:val="24"/>
        </w:rPr>
        <w:t xml:space="preserve">: The award is available to an injured employee who, under </w:t>
      </w:r>
      <w:r w:rsidRPr="006C739F">
        <w:rPr>
          <w:rFonts w:ascii="Times New Roman" w:hAnsi="Times New Roman" w:cs="Times New Roman"/>
          <w:sz w:val="24"/>
          <w:szCs w:val="24"/>
        </w:rPr>
        <w:t xml:space="preserve">W.S. </w:t>
      </w:r>
      <w:bookmarkStart w:id="826" w:name="_Hlk532305862"/>
      <w:r w:rsidRPr="006C739F">
        <w:rPr>
          <w:rFonts w:ascii="Times New Roman" w:hAnsi="Times New Roman" w:cs="Times New Roman"/>
          <w:sz w:val="24"/>
          <w:szCs w:val="24"/>
        </w:rPr>
        <w:t xml:space="preserve">§ </w:t>
      </w:r>
      <w:hyperlink r:id="rId105" w:history="1">
        <w:r w:rsidRPr="006C739F">
          <w:rPr>
            <w:rStyle w:val="Hyperlink"/>
            <w:rFonts w:ascii="Times New Roman" w:hAnsi="Times New Roman" w:cs="Times New Roman"/>
            <w:sz w:val="24"/>
            <w:szCs w:val="24"/>
          </w:rPr>
          <w:t>27-14-405</w:t>
        </w:r>
      </w:hyperlink>
      <w:r>
        <w:rPr>
          <w:rFonts w:ascii="Times New Roman" w:hAnsi="Times New Roman" w:cs="Times New Roman"/>
          <w:sz w:val="24"/>
          <w:szCs w:val="24"/>
        </w:rPr>
        <w:t>(h</w:t>
      </w:r>
      <w:bookmarkEnd w:id="826"/>
      <w:r>
        <w:rPr>
          <w:rFonts w:ascii="Times New Roman" w:hAnsi="Times New Roman" w:cs="Times New Roman"/>
          <w:sz w:val="24"/>
          <w:szCs w:val="24"/>
        </w:rPr>
        <w:t xml:space="preserve">), is </w:t>
      </w:r>
      <w:r w:rsidRPr="00846A9D">
        <w:rPr>
          <w:rFonts w:ascii="Times New Roman" w:hAnsi="Times New Roman" w:cs="Times New Roman"/>
          <w:b/>
          <w:sz w:val="24"/>
          <w:szCs w:val="24"/>
        </w:rPr>
        <w:t>unable to return to employment at a wage that is at least 95%</w:t>
      </w:r>
      <w:r>
        <w:rPr>
          <w:rFonts w:ascii="Times New Roman" w:hAnsi="Times New Roman" w:cs="Times New Roman"/>
          <w:sz w:val="24"/>
          <w:szCs w:val="24"/>
        </w:rPr>
        <w:t xml:space="preserve"> of the employee’s average monthly </w:t>
      </w:r>
      <w:r>
        <w:rPr>
          <w:rFonts w:ascii="Times New Roman" w:hAnsi="Times New Roman" w:cs="Times New Roman"/>
          <w:sz w:val="24"/>
          <w:szCs w:val="24"/>
        </w:rPr>
        <w:lastRenderedPageBreak/>
        <w:t>wage on the date of injury; who has filed a</w:t>
      </w:r>
      <w:r w:rsidRPr="00846A9D">
        <w:rPr>
          <w:rFonts w:ascii="Times New Roman" w:hAnsi="Times New Roman" w:cs="Times New Roman"/>
          <w:sz w:val="24"/>
          <w:szCs w:val="24"/>
        </w:rPr>
        <w:t xml:space="preserve">n application for permanent partial disability </w:t>
      </w:r>
      <w:r w:rsidRPr="00846A9D">
        <w:rPr>
          <w:rFonts w:ascii="Times New Roman" w:hAnsi="Times New Roman" w:cs="Times New Roman"/>
          <w:b/>
          <w:sz w:val="24"/>
          <w:szCs w:val="24"/>
          <w:u w:val="single"/>
        </w:rPr>
        <w:t>not before 3 months after the date of ascertainable loss</w:t>
      </w:r>
      <w:r w:rsidRPr="00846A9D">
        <w:rPr>
          <w:rFonts w:ascii="Times New Roman" w:hAnsi="Times New Roman" w:cs="Times New Roman"/>
          <w:sz w:val="24"/>
          <w:szCs w:val="24"/>
        </w:rPr>
        <w:t xml:space="preserve"> or </w:t>
      </w:r>
      <w:r w:rsidRPr="00846A9D">
        <w:rPr>
          <w:rFonts w:ascii="Times New Roman" w:hAnsi="Times New Roman" w:cs="Times New Roman"/>
          <w:b/>
          <w:sz w:val="24"/>
          <w:szCs w:val="24"/>
        </w:rPr>
        <w:t>3 months before the last scheduled impairment payment</w:t>
      </w:r>
      <w:r w:rsidRPr="00846A9D">
        <w:rPr>
          <w:rFonts w:ascii="Times New Roman" w:hAnsi="Times New Roman" w:cs="Times New Roman"/>
          <w:sz w:val="24"/>
          <w:szCs w:val="24"/>
        </w:rPr>
        <w:t xml:space="preserve">, whichever occurs later, but </w:t>
      </w:r>
      <w:r w:rsidRPr="001413F8">
        <w:rPr>
          <w:rFonts w:ascii="Times New Roman" w:hAnsi="Times New Roman" w:cs="Times New Roman"/>
          <w:b/>
          <w:sz w:val="24"/>
          <w:szCs w:val="24"/>
        </w:rPr>
        <w:t>in no event later than 1 year following the later date</w:t>
      </w:r>
      <w:r w:rsidRPr="00846A9D">
        <w:rPr>
          <w:rFonts w:ascii="Times New Roman" w:hAnsi="Times New Roman" w:cs="Times New Roman"/>
          <w:sz w:val="24"/>
          <w:szCs w:val="24"/>
        </w:rPr>
        <w:t>; and</w:t>
      </w:r>
      <w:r>
        <w:rPr>
          <w:rFonts w:ascii="Times New Roman" w:hAnsi="Times New Roman" w:cs="Times New Roman"/>
          <w:sz w:val="24"/>
          <w:szCs w:val="24"/>
        </w:rPr>
        <w:t xml:space="preserve"> who </w:t>
      </w:r>
      <w:r w:rsidRPr="001413F8">
        <w:rPr>
          <w:rFonts w:ascii="Times New Roman" w:hAnsi="Times New Roman" w:cs="Times New Roman"/>
          <w:b/>
          <w:sz w:val="24"/>
          <w:szCs w:val="24"/>
        </w:rPr>
        <w:t>has actively sought suitable work</w:t>
      </w:r>
      <w:r w:rsidRPr="001413F8">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84"/>
      </w:r>
      <w:r w:rsidRPr="001413F8">
        <w:rPr>
          <w:rFonts w:ascii="Times New Roman" w:hAnsi="Times New Roman" w:cs="Times New Roman"/>
          <w:sz w:val="24"/>
          <w:szCs w:val="24"/>
        </w:rPr>
        <w:t xml:space="preserve"> considering the employee's health, education, training and experience</w:t>
      </w:r>
      <w:r>
        <w:rPr>
          <w:rFonts w:ascii="Times New Roman" w:hAnsi="Times New Roman" w:cs="Times New Roman"/>
          <w:sz w:val="24"/>
          <w:szCs w:val="24"/>
        </w:rPr>
        <w:t>.</w:t>
      </w:r>
    </w:p>
    <w:p w14:paraId="642EADC8" w14:textId="77777777" w:rsidR="00FF7482" w:rsidRDefault="00FF7482" w:rsidP="003231BA">
      <w:pPr>
        <w:pStyle w:val="ListParagraph"/>
        <w:ind w:left="0" w:firstLine="720"/>
        <w:jc w:val="both"/>
        <w:rPr>
          <w:rFonts w:ascii="Times New Roman" w:hAnsi="Times New Roman" w:cs="Times New Roman"/>
          <w:sz w:val="24"/>
          <w:szCs w:val="24"/>
        </w:rPr>
      </w:pPr>
    </w:p>
    <w:p w14:paraId="290C3E09" w14:textId="71807D0E" w:rsidR="00FF7482" w:rsidRDefault="00FF7482" w:rsidP="007F1812">
      <w:pPr>
        <w:pStyle w:val="ListParagraph"/>
        <w:ind w:left="0"/>
        <w:jc w:val="both"/>
        <w:rPr>
          <w:rFonts w:ascii="Times New Roman" w:hAnsi="Times New Roman" w:cs="Times New Roman"/>
          <w:sz w:val="24"/>
          <w:szCs w:val="24"/>
        </w:rPr>
      </w:pPr>
      <w:r>
        <w:rPr>
          <w:rFonts w:ascii="Times New Roman" w:hAnsi="Times New Roman" w:cs="Times New Roman"/>
          <w:sz w:val="24"/>
          <w:szCs w:val="24"/>
        </w:rPr>
        <w:t>(Ascertainable loss, which is—as was mentioned in Section 5.2—virtually identical to the concept of Maximum Medical Improvement in other jurisdictions, is an important predicate for determining both PPI and PPD benefits. This is consistent with most states’ workers’ compensation statutes. It is only upon establishment of MMI/ascertainable loss that meaningful assessments of permanent disability can be undertaken).</w:t>
      </w:r>
      <w:r w:rsidRPr="00910BB7">
        <w:rPr>
          <w:rFonts w:ascii="Times New Roman" w:hAnsi="Times New Roman" w:cs="Times New Roman"/>
          <w:sz w:val="24"/>
          <w:szCs w:val="24"/>
          <w:vertAlign w:val="superscript"/>
        </w:rPr>
        <w:footnoteReference w:id="585"/>
      </w:r>
      <w:r>
        <w:rPr>
          <w:rFonts w:ascii="Times New Roman" w:hAnsi="Times New Roman" w:cs="Times New Roman"/>
          <w:sz w:val="24"/>
          <w:szCs w:val="24"/>
        </w:rPr>
        <w:t xml:space="preserve">   </w:t>
      </w:r>
    </w:p>
    <w:p w14:paraId="4BC0CBD1" w14:textId="3E57F5EE" w:rsidR="00FF7482" w:rsidRDefault="00FF7482" w:rsidP="003231BA">
      <w:pPr>
        <w:pStyle w:val="ListParagraph"/>
        <w:ind w:left="0" w:firstLine="720"/>
        <w:jc w:val="both"/>
        <w:rPr>
          <w:rFonts w:ascii="Times New Roman" w:hAnsi="Times New Roman" w:cs="Times New Roman"/>
          <w:sz w:val="24"/>
          <w:szCs w:val="24"/>
        </w:rPr>
      </w:pPr>
    </w:p>
    <w:p w14:paraId="4F827F9B" w14:textId="4B4BAD02" w:rsidR="00FF7482" w:rsidRDefault="00FF7482" w:rsidP="009D31B4">
      <w:pPr>
        <w:pStyle w:val="ListParagraph"/>
        <w:ind w:left="0"/>
        <w:jc w:val="both"/>
        <w:rPr>
          <w:rFonts w:ascii="Times New Roman" w:hAnsi="Times New Roman" w:cs="Times New Roman"/>
          <w:sz w:val="24"/>
          <w:szCs w:val="24"/>
        </w:rPr>
      </w:pPr>
      <w:r w:rsidRPr="00043861">
        <w:rPr>
          <w:rFonts w:ascii="Times New Roman" w:hAnsi="Times New Roman" w:cs="Times New Roman"/>
          <w:b/>
          <w:bCs/>
          <w:sz w:val="24"/>
          <w:szCs w:val="24"/>
        </w:rPr>
        <w:t>With respect to the requirement that the employee be unable to return to work at a wage that is at least 95% of the pre-injury average monthly wage</w:t>
      </w:r>
      <w:r>
        <w:rPr>
          <w:rFonts w:ascii="Times New Roman" w:hAnsi="Times New Roman" w:cs="Times New Roman"/>
          <w:sz w:val="24"/>
          <w:szCs w:val="24"/>
        </w:rPr>
        <w:t>, the Wyoming Supreme Court has stated that i</w:t>
      </w:r>
      <w:r w:rsidRPr="00043861">
        <w:rPr>
          <w:rFonts w:ascii="Times New Roman" w:hAnsi="Times New Roman" w:cs="Times New Roman"/>
          <w:sz w:val="24"/>
          <w:szCs w:val="24"/>
        </w:rPr>
        <w:t xml:space="preserve">n determining whether an employee has suffered </w:t>
      </w:r>
      <w:r w:rsidRPr="006A2B67">
        <w:rPr>
          <w:rFonts w:ascii="Times New Roman" w:hAnsi="Times New Roman" w:cs="Times New Roman"/>
          <w:i/>
          <w:iCs/>
          <w:sz w:val="24"/>
          <w:szCs w:val="24"/>
        </w:rPr>
        <w:t>a loss of earning capacity</w:t>
      </w:r>
      <w:r w:rsidRPr="00043861">
        <w:rPr>
          <w:rFonts w:ascii="Times New Roman" w:hAnsi="Times New Roman" w:cs="Times New Roman"/>
          <w:sz w:val="24"/>
          <w:szCs w:val="24"/>
        </w:rPr>
        <w:t xml:space="preserve"> both medical and non-medical evidence may be relevant</w:t>
      </w:r>
      <w:r>
        <w:rPr>
          <w:rFonts w:ascii="Times New Roman" w:hAnsi="Times New Roman" w:cs="Times New Roman"/>
          <w:sz w:val="24"/>
          <w:szCs w:val="24"/>
        </w:rPr>
        <w:t xml:space="preserve">. </w:t>
      </w:r>
      <w:r w:rsidRPr="00043861">
        <w:rPr>
          <w:rFonts w:ascii="Times New Roman" w:hAnsi="Times New Roman" w:cs="Times New Roman"/>
          <w:sz w:val="24"/>
          <w:szCs w:val="24"/>
        </w:rPr>
        <w:t xml:space="preserve">Although no individual factor is determinative, the following considerations are </w:t>
      </w:r>
      <w:r w:rsidRPr="006A2B67">
        <w:rPr>
          <w:rFonts w:ascii="Times New Roman" w:hAnsi="Times New Roman" w:cs="Times New Roman"/>
          <w:i/>
          <w:iCs/>
          <w:sz w:val="24"/>
          <w:szCs w:val="24"/>
        </w:rPr>
        <w:t>relevant</w:t>
      </w:r>
      <w:r w:rsidRPr="00043861">
        <w:rPr>
          <w:rFonts w:ascii="Times New Roman" w:hAnsi="Times New Roman" w:cs="Times New Roman"/>
          <w:sz w:val="24"/>
          <w:szCs w:val="24"/>
        </w:rPr>
        <w:t xml:space="preserve"> to the loss of earning capacity inquiry: the employee's </w:t>
      </w:r>
      <w:r w:rsidRPr="00043861">
        <w:rPr>
          <w:rFonts w:ascii="Times New Roman" w:hAnsi="Times New Roman" w:cs="Times New Roman"/>
          <w:b/>
          <w:bCs/>
          <w:sz w:val="24"/>
          <w:szCs w:val="24"/>
        </w:rPr>
        <w:t>physical impairment</w:t>
      </w:r>
      <w:r w:rsidRPr="00043861">
        <w:rPr>
          <w:rFonts w:ascii="Times New Roman" w:hAnsi="Times New Roman" w:cs="Times New Roman"/>
          <w:sz w:val="24"/>
          <w:szCs w:val="24"/>
        </w:rPr>
        <w:t xml:space="preserve">, including the nature and extent of his injury; </w:t>
      </w:r>
      <w:r w:rsidRPr="00043861">
        <w:rPr>
          <w:rFonts w:ascii="Times New Roman" w:hAnsi="Times New Roman" w:cs="Times New Roman"/>
          <w:b/>
          <w:bCs/>
          <w:sz w:val="24"/>
          <w:szCs w:val="24"/>
        </w:rPr>
        <w:t>age</w:t>
      </w:r>
      <w:r w:rsidRPr="00043861">
        <w:rPr>
          <w:rFonts w:ascii="Times New Roman" w:hAnsi="Times New Roman" w:cs="Times New Roman"/>
          <w:sz w:val="24"/>
          <w:szCs w:val="24"/>
        </w:rPr>
        <w:t xml:space="preserve">; </w:t>
      </w:r>
      <w:r w:rsidRPr="00043861">
        <w:rPr>
          <w:rFonts w:ascii="Times New Roman" w:hAnsi="Times New Roman" w:cs="Times New Roman"/>
          <w:b/>
          <w:bCs/>
          <w:sz w:val="24"/>
          <w:szCs w:val="24"/>
        </w:rPr>
        <w:t>education</w:t>
      </w:r>
      <w:r w:rsidRPr="00043861">
        <w:rPr>
          <w:rFonts w:ascii="Times New Roman" w:hAnsi="Times New Roman" w:cs="Times New Roman"/>
          <w:sz w:val="24"/>
          <w:szCs w:val="24"/>
        </w:rPr>
        <w:t xml:space="preserve">; </w:t>
      </w:r>
      <w:r w:rsidRPr="00043861">
        <w:rPr>
          <w:rFonts w:ascii="Times New Roman" w:hAnsi="Times New Roman" w:cs="Times New Roman"/>
          <w:b/>
          <w:bCs/>
          <w:sz w:val="24"/>
          <w:szCs w:val="24"/>
        </w:rPr>
        <w:t>actual earnings</w:t>
      </w:r>
      <w:r w:rsidRPr="00043861">
        <w:rPr>
          <w:rFonts w:ascii="Times New Roman" w:hAnsi="Times New Roman" w:cs="Times New Roman"/>
          <w:sz w:val="24"/>
          <w:szCs w:val="24"/>
        </w:rPr>
        <w:t xml:space="preserve">, including pre-injury and post-injury earnings; </w:t>
      </w:r>
      <w:r w:rsidRPr="00043861">
        <w:rPr>
          <w:rFonts w:ascii="Times New Roman" w:hAnsi="Times New Roman" w:cs="Times New Roman"/>
          <w:b/>
          <w:bCs/>
          <w:sz w:val="24"/>
          <w:szCs w:val="24"/>
        </w:rPr>
        <w:t xml:space="preserve">ability </w:t>
      </w:r>
      <w:r w:rsidRPr="00043861">
        <w:rPr>
          <w:rFonts w:ascii="Times New Roman" w:hAnsi="Times New Roman" w:cs="Times New Roman"/>
          <w:b/>
          <w:bCs/>
          <w:sz w:val="24"/>
          <w:szCs w:val="24"/>
        </w:rPr>
        <w:lastRenderedPageBreak/>
        <w:t>to continue pre-injury employment</w:t>
      </w:r>
      <w:r w:rsidRPr="00043861">
        <w:rPr>
          <w:rFonts w:ascii="Times New Roman" w:hAnsi="Times New Roman" w:cs="Times New Roman"/>
          <w:sz w:val="24"/>
          <w:szCs w:val="24"/>
        </w:rPr>
        <w:t xml:space="preserve">; </w:t>
      </w:r>
      <w:r w:rsidRPr="00043861">
        <w:rPr>
          <w:rFonts w:ascii="Times New Roman" w:hAnsi="Times New Roman" w:cs="Times New Roman"/>
          <w:b/>
          <w:bCs/>
          <w:sz w:val="24"/>
          <w:szCs w:val="24"/>
        </w:rPr>
        <w:t>and post-injury employment prospects</w:t>
      </w:r>
      <w:r w:rsidRPr="00043861">
        <w:rPr>
          <w:rFonts w:ascii="Times New Roman" w:hAnsi="Times New Roman" w:cs="Times New Roman"/>
          <w:sz w:val="24"/>
          <w:szCs w:val="24"/>
        </w:rPr>
        <w:t>.</w:t>
      </w:r>
      <w:r>
        <w:rPr>
          <w:rFonts w:ascii="Times New Roman" w:hAnsi="Times New Roman" w:cs="Times New Roman"/>
          <w:sz w:val="24"/>
          <w:szCs w:val="24"/>
        </w:rPr>
        <w:t xml:space="preserve"> </w:t>
      </w:r>
      <w:r w:rsidRPr="00043861">
        <w:rPr>
          <w:rFonts w:ascii="Times New Roman" w:hAnsi="Times New Roman" w:cs="Times New Roman"/>
          <w:b/>
          <w:bCs/>
          <w:sz w:val="24"/>
          <w:szCs w:val="24"/>
          <w:u w:val="single"/>
        </w:rPr>
        <w:t>The fact finder has the discretion to assign weight to the individual factors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86"/>
      </w:r>
    </w:p>
    <w:p w14:paraId="6CA25620" w14:textId="77777777" w:rsidR="00FF7482" w:rsidRDefault="00FF7482" w:rsidP="003231BA">
      <w:pPr>
        <w:pStyle w:val="ListParagraph"/>
        <w:ind w:left="0" w:firstLine="720"/>
        <w:jc w:val="both"/>
        <w:rPr>
          <w:rFonts w:ascii="Times New Roman" w:hAnsi="Times New Roman" w:cs="Times New Roman"/>
          <w:sz w:val="24"/>
          <w:szCs w:val="24"/>
        </w:rPr>
      </w:pPr>
    </w:p>
    <w:p w14:paraId="29FC5927" w14:textId="444BC00D" w:rsidR="00FF7482" w:rsidRDefault="00FF7482" w:rsidP="009D31B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monthly </w:t>
      </w:r>
      <w:r w:rsidRPr="001413F8">
        <w:rPr>
          <w:rFonts w:ascii="Times New Roman" w:hAnsi="Times New Roman" w:cs="Times New Roman"/>
          <w:b/>
          <w:sz w:val="24"/>
          <w:szCs w:val="24"/>
          <w:u w:val="single"/>
        </w:rPr>
        <w:t>benefit calculation</w:t>
      </w:r>
      <w:r>
        <w:rPr>
          <w:rFonts w:ascii="Times New Roman" w:hAnsi="Times New Roman" w:cs="Times New Roman"/>
          <w:sz w:val="24"/>
          <w:szCs w:val="24"/>
        </w:rPr>
        <w:t xml:space="preserve"> for the PPD benefit is made under </w:t>
      </w:r>
      <w:r w:rsidRPr="006C739F">
        <w:rPr>
          <w:rFonts w:ascii="Times New Roman" w:hAnsi="Times New Roman" w:cs="Times New Roman"/>
          <w:sz w:val="24"/>
          <w:szCs w:val="24"/>
        </w:rPr>
        <w:t xml:space="preserve">W.S. § </w:t>
      </w:r>
      <w:hyperlink r:id="rId106" w:history="1">
        <w:r w:rsidRPr="006C739F">
          <w:rPr>
            <w:rStyle w:val="Hyperlink"/>
            <w:rFonts w:ascii="Times New Roman" w:hAnsi="Times New Roman" w:cs="Times New Roman"/>
            <w:sz w:val="24"/>
            <w:szCs w:val="24"/>
          </w:rPr>
          <w:t>27-14-403</w:t>
        </w:r>
      </w:hyperlink>
      <w:r>
        <w:rPr>
          <w:rFonts w:ascii="Times New Roman" w:hAnsi="Times New Roman" w:cs="Times New Roman"/>
          <w:sz w:val="24"/>
          <w:szCs w:val="24"/>
        </w:rPr>
        <w:t>(c)(i)-(iii)</w:t>
      </w:r>
      <w:r w:rsidRPr="00910BB7">
        <w:rPr>
          <w:rFonts w:ascii="Times New Roman" w:hAnsi="Times New Roman" w:cs="Times New Roman"/>
          <w:sz w:val="24"/>
          <w:szCs w:val="24"/>
          <w:vertAlign w:val="superscript"/>
        </w:rPr>
        <w:footnoteReference w:id="587"/>
      </w:r>
      <w:r>
        <w:rPr>
          <w:rFonts w:ascii="Times New Roman" w:hAnsi="Times New Roman" w:cs="Times New Roman"/>
          <w:sz w:val="24"/>
          <w:szCs w:val="24"/>
        </w:rPr>
        <w:t xml:space="preserve"> in the same manner as explained in Section 5.6 of this </w:t>
      </w:r>
      <w:r w:rsidR="000623D0">
        <w:rPr>
          <w:rFonts w:ascii="Times New Roman" w:hAnsi="Times New Roman" w:cs="Times New Roman"/>
          <w:sz w:val="24"/>
          <w:szCs w:val="24"/>
        </w:rPr>
        <w:t>T</w:t>
      </w:r>
      <w:r>
        <w:rPr>
          <w:rFonts w:ascii="Times New Roman" w:hAnsi="Times New Roman" w:cs="Times New Roman"/>
          <w:sz w:val="24"/>
          <w:szCs w:val="24"/>
        </w:rPr>
        <w:t>reatise, above, pertaining to benefits for permanent total disability. Accordingly, the examples used for calculating permanent and total disability benefits in that section will be repeated here.</w:t>
      </w:r>
    </w:p>
    <w:p w14:paraId="653298E6" w14:textId="6120A890" w:rsidR="00FF7482" w:rsidRDefault="00FF7482" w:rsidP="003231BA">
      <w:pPr>
        <w:pStyle w:val="ListParagraph"/>
        <w:ind w:left="0" w:firstLine="720"/>
        <w:jc w:val="both"/>
        <w:rPr>
          <w:rFonts w:ascii="Times New Roman" w:hAnsi="Times New Roman" w:cs="Times New Roman"/>
          <w:sz w:val="24"/>
          <w:szCs w:val="24"/>
        </w:rPr>
      </w:pPr>
    </w:p>
    <w:p w14:paraId="1FAA16A9" w14:textId="56C824C3" w:rsidR="00FF7482" w:rsidRDefault="00FF7482" w:rsidP="00846A9D">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Again imagine three employees: A, B, and C. A earns (on the date of injury) $10 per hour (about $1,733 per month). B earns (on the date of injury) $15 per hour (about $2,600 per month). C earns $20 per hour (about $3,467 per month). Assume the Quarter 2, 2018 figure of $3,757 from the preceding paragraph. The actual monthly earnings of both A and B is less than the 73% figure of $2,742.61. Thus, </w:t>
      </w:r>
      <w:r w:rsidRPr="00B844D5">
        <w:rPr>
          <w:rFonts w:ascii="Times New Roman" w:hAnsi="Times New Roman" w:cs="Times New Roman"/>
          <w:b/>
          <w:sz w:val="24"/>
          <w:szCs w:val="24"/>
        </w:rPr>
        <w:t>Employee A’s monthly benefit would be</w:t>
      </w:r>
      <w:r>
        <w:rPr>
          <w:rFonts w:ascii="Times New Roman" w:hAnsi="Times New Roman" w:cs="Times New Roman"/>
          <w:sz w:val="24"/>
          <w:szCs w:val="24"/>
        </w:rPr>
        <w:t xml:space="preserve"> </w:t>
      </w:r>
      <w:r w:rsidRPr="00B844D5">
        <w:rPr>
          <w:rFonts w:ascii="Times New Roman" w:hAnsi="Times New Roman" w:cs="Times New Roman"/>
          <w:b/>
          <w:sz w:val="24"/>
          <w:szCs w:val="24"/>
        </w:rPr>
        <w:t>92% x $1,733 = $1,594.36</w:t>
      </w:r>
      <w:r>
        <w:rPr>
          <w:rFonts w:ascii="Times New Roman" w:hAnsi="Times New Roman" w:cs="Times New Roman"/>
          <w:sz w:val="24"/>
          <w:szCs w:val="24"/>
        </w:rPr>
        <w:t xml:space="preserve">. </w:t>
      </w:r>
      <w:r w:rsidRPr="00B844D5">
        <w:rPr>
          <w:rFonts w:ascii="Times New Roman" w:hAnsi="Times New Roman" w:cs="Times New Roman"/>
          <w:b/>
          <w:sz w:val="24"/>
          <w:szCs w:val="24"/>
        </w:rPr>
        <w:t>Employee B’s monthly benefit would be 92% x $2,600 = $2,392</w:t>
      </w:r>
      <w:r>
        <w:rPr>
          <w:rFonts w:ascii="Times New Roman" w:hAnsi="Times New Roman" w:cs="Times New Roman"/>
          <w:sz w:val="24"/>
          <w:szCs w:val="24"/>
        </w:rPr>
        <w:t xml:space="preserve">. Employee C’s actual monthly earnings of $3,467 is more than 73% of the State Average Monthly Wage, but less than the State Average Monthly Wage itself. Thus, </w:t>
      </w:r>
      <w:r w:rsidRPr="00B844D5">
        <w:rPr>
          <w:rFonts w:ascii="Times New Roman" w:hAnsi="Times New Roman" w:cs="Times New Roman"/>
          <w:b/>
          <w:sz w:val="24"/>
          <w:szCs w:val="24"/>
        </w:rPr>
        <w:t>Employee C’s monthly benefit would be 66 2/3% of $3,757 (the SAMW) = $2,504</w:t>
      </w:r>
      <w:r>
        <w:rPr>
          <w:rFonts w:ascii="Times New Roman" w:hAnsi="Times New Roman" w:cs="Times New Roman"/>
          <w:sz w:val="24"/>
          <w:szCs w:val="24"/>
        </w:rPr>
        <w:t>.</w:t>
      </w:r>
    </w:p>
    <w:p w14:paraId="3CEF8390" w14:textId="55848ABC" w:rsidR="00FF7482" w:rsidRDefault="00FF7482" w:rsidP="003231BA">
      <w:pPr>
        <w:pStyle w:val="ListParagraph"/>
        <w:ind w:left="0" w:firstLine="720"/>
        <w:jc w:val="both"/>
        <w:rPr>
          <w:rFonts w:ascii="Times New Roman" w:hAnsi="Times New Roman" w:cs="Times New Roman"/>
          <w:sz w:val="24"/>
          <w:szCs w:val="24"/>
        </w:rPr>
      </w:pPr>
    </w:p>
    <w:p w14:paraId="58CB3F83" w14:textId="7CC0106D" w:rsidR="00FF7482" w:rsidRDefault="00FF7482" w:rsidP="000623D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Assume all of the </w:t>
      </w:r>
      <w:r w:rsidRPr="006C739F">
        <w:rPr>
          <w:rFonts w:ascii="Times New Roman" w:hAnsi="Times New Roman" w:cs="Times New Roman"/>
          <w:sz w:val="24"/>
          <w:szCs w:val="24"/>
        </w:rPr>
        <w:t>W.S.</w:t>
      </w:r>
      <w:r>
        <w:rPr>
          <w:rFonts w:ascii="Times New Roman" w:hAnsi="Times New Roman" w:cs="Times New Roman"/>
          <w:sz w:val="24"/>
          <w:szCs w:val="24"/>
        </w:rPr>
        <w:t xml:space="preserve"> </w:t>
      </w:r>
      <w:r w:rsidRPr="006C739F">
        <w:rPr>
          <w:rFonts w:ascii="Times New Roman" w:hAnsi="Times New Roman" w:cs="Times New Roman"/>
          <w:sz w:val="24"/>
          <w:szCs w:val="24"/>
        </w:rPr>
        <w:t xml:space="preserve">§ </w:t>
      </w:r>
      <w:hyperlink r:id="rId107" w:history="1">
        <w:r w:rsidRPr="006C739F">
          <w:rPr>
            <w:rStyle w:val="Hyperlink"/>
            <w:rFonts w:ascii="Times New Roman" w:hAnsi="Times New Roman" w:cs="Times New Roman"/>
            <w:sz w:val="24"/>
            <w:szCs w:val="24"/>
          </w:rPr>
          <w:t>27-14-405</w:t>
        </w:r>
      </w:hyperlink>
      <w:r w:rsidRPr="001413F8">
        <w:rPr>
          <w:rFonts w:ascii="Times New Roman" w:hAnsi="Times New Roman" w:cs="Times New Roman"/>
          <w:sz w:val="24"/>
          <w:szCs w:val="24"/>
        </w:rPr>
        <w:t>(h</w:t>
      </w:r>
      <w:r>
        <w:rPr>
          <w:rFonts w:ascii="Times New Roman" w:hAnsi="Times New Roman" w:cs="Times New Roman"/>
          <w:sz w:val="24"/>
          <w:szCs w:val="24"/>
        </w:rPr>
        <w:t xml:space="preserve">) predicates discussed above have been satisfied (95% threshold; timely application; active search for suitable work). Starting with the monthly benefit figures in the preceding paragraph, </w:t>
      </w:r>
      <w:r w:rsidRPr="006C739F">
        <w:rPr>
          <w:rFonts w:ascii="Times New Roman" w:hAnsi="Times New Roman" w:cs="Times New Roman"/>
          <w:sz w:val="24"/>
          <w:szCs w:val="24"/>
        </w:rPr>
        <w:t xml:space="preserve">W.S. § </w:t>
      </w:r>
      <w:hyperlink r:id="rId108" w:history="1">
        <w:r w:rsidRPr="006C739F">
          <w:rPr>
            <w:rStyle w:val="Hyperlink"/>
            <w:rFonts w:ascii="Times New Roman" w:hAnsi="Times New Roman" w:cs="Times New Roman"/>
            <w:sz w:val="24"/>
            <w:szCs w:val="24"/>
          </w:rPr>
          <w:t>27-14-405</w:t>
        </w:r>
      </w:hyperlink>
      <w:r w:rsidRPr="001413F8">
        <w:rPr>
          <w:rFonts w:ascii="Times New Roman" w:hAnsi="Times New Roman" w:cs="Times New Roman"/>
          <w:sz w:val="24"/>
          <w:szCs w:val="24"/>
        </w:rPr>
        <w:t>(</w:t>
      </w:r>
      <w:r>
        <w:rPr>
          <w:rFonts w:ascii="Times New Roman" w:hAnsi="Times New Roman" w:cs="Times New Roman"/>
          <w:sz w:val="24"/>
          <w:szCs w:val="24"/>
        </w:rPr>
        <w:t xml:space="preserve">j), provides for additions of specific numbers of months of benefits (at the established monthly rate) taking into account predetermined statutory factors: </w:t>
      </w:r>
      <w:r w:rsidRPr="00794FBE">
        <w:rPr>
          <w:rFonts w:ascii="Times New Roman" w:hAnsi="Times New Roman" w:cs="Times New Roman"/>
          <w:b/>
          <w:sz w:val="24"/>
          <w:szCs w:val="24"/>
        </w:rPr>
        <w:t>age</w:t>
      </w:r>
      <w:r>
        <w:rPr>
          <w:rFonts w:ascii="Times New Roman" w:hAnsi="Times New Roman" w:cs="Times New Roman"/>
          <w:sz w:val="24"/>
          <w:szCs w:val="24"/>
        </w:rPr>
        <w:t xml:space="preserve">; </w:t>
      </w:r>
      <w:r w:rsidRPr="00794FBE">
        <w:rPr>
          <w:rFonts w:ascii="Times New Roman" w:hAnsi="Times New Roman" w:cs="Times New Roman"/>
          <w:b/>
          <w:sz w:val="24"/>
          <w:szCs w:val="24"/>
        </w:rPr>
        <w:t>years of education</w:t>
      </w:r>
      <w:r>
        <w:rPr>
          <w:rFonts w:ascii="Times New Roman" w:hAnsi="Times New Roman" w:cs="Times New Roman"/>
          <w:sz w:val="24"/>
          <w:szCs w:val="24"/>
        </w:rPr>
        <w:t xml:space="preserve">; </w:t>
      </w:r>
      <w:r w:rsidRPr="00794FBE">
        <w:rPr>
          <w:rFonts w:ascii="Times New Roman" w:hAnsi="Times New Roman" w:cs="Times New Roman"/>
          <w:b/>
          <w:sz w:val="24"/>
          <w:szCs w:val="24"/>
        </w:rPr>
        <w:t>number of different occupations in an 8-year lookback period</w:t>
      </w:r>
      <w:r>
        <w:rPr>
          <w:rFonts w:ascii="Times New Roman" w:hAnsi="Times New Roman" w:cs="Times New Roman"/>
          <w:sz w:val="24"/>
          <w:szCs w:val="24"/>
        </w:rPr>
        <w:t xml:space="preserve">; </w:t>
      </w:r>
      <w:r w:rsidRPr="00794FBE">
        <w:rPr>
          <w:rFonts w:ascii="Times New Roman" w:hAnsi="Times New Roman" w:cs="Times New Roman"/>
          <w:b/>
          <w:sz w:val="24"/>
          <w:szCs w:val="24"/>
        </w:rPr>
        <w:t>engagement at the time of injury in formal or education or training program that was terminated because of permanent injury but had been expected to lead to earning in excess of the employee’s pre-injury earnings</w:t>
      </w:r>
      <w:r>
        <w:rPr>
          <w:rFonts w:ascii="Times New Roman" w:hAnsi="Times New Roman" w:cs="Times New Roman"/>
          <w:sz w:val="24"/>
          <w:szCs w:val="24"/>
        </w:rPr>
        <w:t xml:space="preserve">; and </w:t>
      </w:r>
      <w:r w:rsidRPr="00794FBE">
        <w:rPr>
          <w:rFonts w:ascii="Times New Roman" w:hAnsi="Times New Roman" w:cs="Times New Roman"/>
          <w:b/>
          <w:sz w:val="24"/>
          <w:szCs w:val="24"/>
        </w:rPr>
        <w:t>additional “credits” awarded due to relatively advanced age</w:t>
      </w:r>
      <w:r>
        <w:rPr>
          <w:rFonts w:ascii="Times New Roman" w:hAnsi="Times New Roman" w:cs="Times New Roman"/>
          <w:sz w:val="24"/>
          <w:szCs w:val="24"/>
        </w:rPr>
        <w:t xml:space="preserve">. </w:t>
      </w:r>
      <w:r w:rsidRPr="00F35809">
        <w:rPr>
          <w:rFonts w:ascii="Times New Roman" w:hAnsi="Times New Roman" w:cs="Times New Roman"/>
          <w:b/>
          <w:sz w:val="24"/>
          <w:szCs w:val="24"/>
          <w:u w:val="single"/>
        </w:rPr>
        <w:t>Taking all of these factors into account will yield a certain number of months that will then be multiplied by the monthly benefit amount to determine the permanent disability award</w:t>
      </w:r>
      <w:r>
        <w:rPr>
          <w:rFonts w:ascii="Times New Roman" w:hAnsi="Times New Roman" w:cs="Times New Roman"/>
          <w:sz w:val="24"/>
          <w:szCs w:val="24"/>
        </w:rPr>
        <w:t>.</w:t>
      </w:r>
    </w:p>
    <w:p w14:paraId="6DE40294" w14:textId="77777777" w:rsidR="00FF7482" w:rsidRDefault="00FF7482" w:rsidP="003231BA">
      <w:pPr>
        <w:pStyle w:val="ListParagraph"/>
        <w:ind w:left="0" w:firstLine="720"/>
        <w:jc w:val="both"/>
        <w:rPr>
          <w:rFonts w:ascii="Times New Roman" w:hAnsi="Times New Roman" w:cs="Times New Roman"/>
          <w:sz w:val="24"/>
          <w:szCs w:val="24"/>
        </w:rPr>
      </w:pPr>
    </w:p>
    <w:p w14:paraId="330DBA5B" w14:textId="357586C3" w:rsidR="00FF7482" w:rsidRDefault="00FF7482" w:rsidP="008D359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foregoing paragraph was a condensed summary of the statutory language of </w:t>
      </w:r>
      <w:r w:rsidRPr="006C739F">
        <w:rPr>
          <w:rFonts w:ascii="Times New Roman" w:hAnsi="Times New Roman" w:cs="Times New Roman"/>
          <w:sz w:val="24"/>
          <w:szCs w:val="24"/>
        </w:rPr>
        <w:t xml:space="preserve">W.S. § </w:t>
      </w:r>
      <w:hyperlink r:id="rId109" w:history="1">
        <w:r w:rsidRPr="006C739F">
          <w:rPr>
            <w:rStyle w:val="Hyperlink"/>
            <w:rFonts w:ascii="Times New Roman" w:hAnsi="Times New Roman" w:cs="Times New Roman"/>
            <w:sz w:val="24"/>
            <w:szCs w:val="24"/>
          </w:rPr>
          <w:t>27-14-405</w:t>
        </w:r>
      </w:hyperlink>
      <w:r w:rsidRPr="00DE32E5">
        <w:rPr>
          <w:rFonts w:ascii="Times New Roman" w:hAnsi="Times New Roman" w:cs="Times New Roman"/>
          <w:sz w:val="24"/>
          <w:szCs w:val="24"/>
        </w:rPr>
        <w:t>(</w:t>
      </w:r>
      <w:r>
        <w:rPr>
          <w:rFonts w:ascii="Times New Roman" w:hAnsi="Times New Roman" w:cs="Times New Roman"/>
          <w:sz w:val="24"/>
          <w:szCs w:val="24"/>
        </w:rPr>
        <w:t>j) that will now be set out in full:</w:t>
      </w:r>
    </w:p>
    <w:p w14:paraId="3FBCF541" w14:textId="4F19A69D" w:rsidR="00FF7482" w:rsidRDefault="00FF7482" w:rsidP="003231BA">
      <w:pPr>
        <w:pStyle w:val="ListParagraph"/>
        <w:ind w:left="0" w:firstLine="720"/>
        <w:jc w:val="both"/>
        <w:rPr>
          <w:rFonts w:ascii="Times New Roman" w:hAnsi="Times New Roman" w:cs="Times New Roman"/>
          <w:sz w:val="24"/>
          <w:szCs w:val="24"/>
        </w:rPr>
      </w:pPr>
    </w:p>
    <w:p w14:paraId="2E466142" w14:textId="227F8E09" w:rsidR="00FF7482" w:rsidRPr="001A2150" w:rsidRDefault="00FF7482" w:rsidP="001A2150">
      <w:pPr>
        <w:pStyle w:val="ListParagraph"/>
        <w:ind w:right="720"/>
        <w:contextualSpacing w:val="0"/>
        <w:jc w:val="both"/>
        <w:rPr>
          <w:rFonts w:ascii="Times New Roman" w:hAnsi="Times New Roman" w:cs="Times New Roman"/>
          <w:sz w:val="24"/>
          <w:szCs w:val="24"/>
        </w:rPr>
      </w:pPr>
      <w:r w:rsidRPr="00DE32E5">
        <w:rPr>
          <w:rFonts w:ascii="Times New Roman" w:hAnsi="Times New Roman" w:cs="Times New Roman"/>
          <w:sz w:val="24"/>
          <w:szCs w:val="24"/>
        </w:rPr>
        <w:t xml:space="preserve">The disability award under subsection (h) of this section shall be payable monthly in the amount provided by W.S. 27-14-403 for the </w:t>
      </w:r>
      <w:r w:rsidRPr="00DE32E5">
        <w:rPr>
          <w:rFonts w:ascii="Times New Roman" w:hAnsi="Times New Roman" w:cs="Times New Roman"/>
          <w:sz w:val="24"/>
          <w:szCs w:val="24"/>
        </w:rPr>
        <w:lastRenderedPageBreak/>
        <w:t>number of months determined by adding the number of months computed under this subsection as follows:</w:t>
      </w:r>
    </w:p>
    <w:p w14:paraId="03790606" w14:textId="72555060" w:rsidR="00FF7482" w:rsidRPr="009C620F" w:rsidRDefault="00FF7482" w:rsidP="001A2150">
      <w:pPr>
        <w:pStyle w:val="ListParagraph"/>
        <w:ind w:left="1440" w:right="720"/>
        <w:contextualSpacing w:val="0"/>
        <w:jc w:val="both"/>
        <w:rPr>
          <w:rFonts w:ascii="Times New Roman" w:hAnsi="Times New Roman" w:cs="Times New Roman"/>
          <w:sz w:val="24"/>
          <w:szCs w:val="24"/>
        </w:rPr>
      </w:pPr>
      <w:r w:rsidRPr="00DE32E5">
        <w:rPr>
          <w:rFonts w:ascii="Times New Roman" w:hAnsi="Times New Roman" w:cs="Times New Roman"/>
          <w:sz w:val="24"/>
          <w:szCs w:val="24"/>
        </w:rPr>
        <w:t>(i) Fourteen (14) months, multiplied by a fraction in which the numerator is sixty-five (65) minus the employee's age at the date of injury and the denominator is forty-five (45);</w:t>
      </w:r>
    </w:p>
    <w:p w14:paraId="57C2E360" w14:textId="6C5C626C" w:rsidR="00FF7482" w:rsidRPr="009C620F" w:rsidRDefault="00FF7482" w:rsidP="009C620F">
      <w:pPr>
        <w:pStyle w:val="ListParagraph"/>
        <w:ind w:left="1440" w:right="720"/>
        <w:contextualSpacing w:val="0"/>
        <w:jc w:val="both"/>
        <w:rPr>
          <w:rFonts w:ascii="Times New Roman" w:hAnsi="Times New Roman" w:cs="Times New Roman"/>
          <w:sz w:val="24"/>
          <w:szCs w:val="24"/>
        </w:rPr>
      </w:pPr>
      <w:r w:rsidRPr="00DE32E5">
        <w:rPr>
          <w:rFonts w:ascii="Times New Roman" w:hAnsi="Times New Roman" w:cs="Times New Roman"/>
          <w:sz w:val="24"/>
          <w:szCs w:val="24"/>
        </w:rPr>
        <w:t>(ii) Eight and one-half (8 ½) months, multiplied by a fraction in which the numerator is four (4) minus the employee's completed years of education beyond the twelfth grade, not to exceed four (4) years, and the denominator is four (4);</w:t>
      </w:r>
    </w:p>
    <w:p w14:paraId="1D52ED19" w14:textId="0FE80CB7" w:rsidR="00FF7482" w:rsidRPr="009C620F" w:rsidRDefault="00FF7482" w:rsidP="009C620F">
      <w:pPr>
        <w:pStyle w:val="ListParagraph"/>
        <w:ind w:left="1440" w:right="720"/>
        <w:contextualSpacing w:val="0"/>
        <w:jc w:val="both"/>
        <w:rPr>
          <w:rFonts w:ascii="Times New Roman" w:hAnsi="Times New Roman" w:cs="Times New Roman"/>
          <w:sz w:val="24"/>
          <w:szCs w:val="24"/>
        </w:rPr>
      </w:pPr>
      <w:r w:rsidRPr="00DE32E5">
        <w:rPr>
          <w:rFonts w:ascii="Times New Roman" w:hAnsi="Times New Roman" w:cs="Times New Roman"/>
          <w:sz w:val="24"/>
          <w:szCs w:val="24"/>
        </w:rPr>
        <w:t>(iii) Six (6) months, multiplied by a fraction in which the numerator is four</w:t>
      </w:r>
      <w:r>
        <w:rPr>
          <w:rFonts w:ascii="Times New Roman" w:hAnsi="Times New Roman" w:cs="Times New Roman"/>
          <w:sz w:val="24"/>
          <w:szCs w:val="24"/>
        </w:rPr>
        <w:t xml:space="preserve"> </w:t>
      </w:r>
      <w:r w:rsidRPr="00DE32E5">
        <w:rPr>
          <w:rFonts w:ascii="Times New Roman" w:hAnsi="Times New Roman" w:cs="Times New Roman"/>
          <w:sz w:val="24"/>
          <w:szCs w:val="24"/>
        </w:rPr>
        <w:t>(4) minus the number of different occupations in which the employee has worked at least eighteen (18) months in the eight (8) year period preceding</w:t>
      </w:r>
      <w:r>
        <w:rPr>
          <w:rFonts w:ascii="Times New Roman" w:hAnsi="Times New Roman" w:cs="Times New Roman"/>
          <w:sz w:val="24"/>
          <w:szCs w:val="24"/>
        </w:rPr>
        <w:t xml:space="preserve"> </w:t>
      </w:r>
      <w:r w:rsidRPr="00DE32E5">
        <w:rPr>
          <w:rFonts w:ascii="Times New Roman" w:hAnsi="Times New Roman" w:cs="Times New Roman"/>
          <w:sz w:val="24"/>
          <w:szCs w:val="24"/>
        </w:rPr>
        <w:t>the injury but not to exceed four (4), and the denominator is four (4);</w:t>
      </w:r>
    </w:p>
    <w:p w14:paraId="095E3DBD" w14:textId="40B95CA0" w:rsidR="00FF7482" w:rsidRPr="009C620F" w:rsidRDefault="00FF7482" w:rsidP="009C620F">
      <w:pPr>
        <w:pStyle w:val="ListParagraph"/>
        <w:ind w:left="1440" w:right="720"/>
        <w:contextualSpacing w:val="0"/>
        <w:jc w:val="both"/>
        <w:rPr>
          <w:rFonts w:ascii="Times New Roman" w:hAnsi="Times New Roman" w:cs="Times New Roman"/>
          <w:sz w:val="24"/>
          <w:szCs w:val="24"/>
        </w:rPr>
      </w:pPr>
      <w:r w:rsidRPr="00DE32E5">
        <w:rPr>
          <w:rFonts w:ascii="Times New Roman" w:hAnsi="Times New Roman" w:cs="Times New Roman"/>
          <w:sz w:val="24"/>
          <w:szCs w:val="24"/>
        </w:rPr>
        <w:t>(iv) Up to two (2) months if the employee at the time of injury was engaged in a formal education or training program for an occupation which was reasonably expected to pay more than the employee's employment at the time of injury and the employee, because of the permanent injury, will be unable to enter into the new occupation;</w:t>
      </w:r>
    </w:p>
    <w:p w14:paraId="2E78CEE9" w14:textId="5DAEA039" w:rsidR="00FF7482" w:rsidRDefault="00FF7482" w:rsidP="001A2150">
      <w:pPr>
        <w:pStyle w:val="ListParagraph"/>
        <w:spacing w:after="0"/>
        <w:ind w:left="1440" w:right="720"/>
        <w:contextualSpacing w:val="0"/>
        <w:jc w:val="both"/>
        <w:rPr>
          <w:rFonts w:ascii="Times New Roman" w:hAnsi="Times New Roman" w:cs="Times New Roman"/>
          <w:sz w:val="24"/>
          <w:szCs w:val="24"/>
        </w:rPr>
      </w:pPr>
      <w:r w:rsidRPr="00DE32E5">
        <w:rPr>
          <w:rFonts w:ascii="Times New Roman" w:hAnsi="Times New Roman" w:cs="Times New Roman"/>
          <w:sz w:val="24"/>
          <w:szCs w:val="24"/>
        </w:rPr>
        <w:t>(v) One (1) month if the employee is forty-five (45) to forty-nine (49) years of age at the time of injury, two (2) months if the employee is fifty (50) to fifty-four (54) years of age at the time of injury, and three (3) months if the employee is fifty-five (55) years of age or older at the time of injury.</w:t>
      </w:r>
    </w:p>
    <w:p w14:paraId="0F4590EA" w14:textId="77777777" w:rsidR="001A2150" w:rsidRPr="001A2150" w:rsidRDefault="001A2150" w:rsidP="001A2150">
      <w:pPr>
        <w:pStyle w:val="ListParagraph"/>
        <w:spacing w:after="0"/>
        <w:ind w:left="1440" w:right="720"/>
        <w:contextualSpacing w:val="0"/>
        <w:jc w:val="both"/>
        <w:rPr>
          <w:rFonts w:ascii="Times New Roman" w:hAnsi="Times New Roman" w:cs="Times New Roman"/>
          <w:sz w:val="24"/>
          <w:szCs w:val="24"/>
        </w:rPr>
      </w:pPr>
    </w:p>
    <w:p w14:paraId="27689471" w14:textId="0CD7711D" w:rsidR="00FF7482" w:rsidRDefault="00FF7482" w:rsidP="001A2150">
      <w:pPr>
        <w:pStyle w:val="ListParagraph"/>
        <w:spacing w:afterLines="160" w:after="384"/>
        <w:ind w:left="0"/>
        <w:jc w:val="both"/>
        <w:rPr>
          <w:rFonts w:ascii="Times New Roman" w:hAnsi="Times New Roman" w:cs="Times New Roman"/>
          <w:sz w:val="24"/>
          <w:szCs w:val="24"/>
        </w:rPr>
      </w:pPr>
      <w:r>
        <w:rPr>
          <w:rFonts w:ascii="Times New Roman" w:hAnsi="Times New Roman" w:cs="Times New Roman"/>
          <w:sz w:val="24"/>
          <w:szCs w:val="24"/>
        </w:rPr>
        <w:t xml:space="preserve">Returning to the hypothetical employees earlier in the discussion, assume that Employee B, whom the reader will recall possessed a monthly benefit amount of $2,392, is eligible for a permanent partial disability benefit. Employee B is 50 years old, has a two year associate’s degree in business, has worked at two separate occupations, each for at least eighteen months, during the preceding 8 years, and was not engaged in a formal education or training </w:t>
      </w:r>
      <w:r w:rsidR="00513A09">
        <w:rPr>
          <w:rFonts w:ascii="Times New Roman" w:hAnsi="Times New Roman" w:cs="Times New Roman"/>
          <w:sz w:val="24"/>
          <w:szCs w:val="24"/>
        </w:rPr>
        <w:t xml:space="preserve">program </w:t>
      </w:r>
      <w:r>
        <w:rPr>
          <w:rFonts w:ascii="Times New Roman" w:hAnsi="Times New Roman" w:cs="Times New Roman"/>
          <w:sz w:val="24"/>
          <w:szCs w:val="24"/>
        </w:rPr>
        <w:t>at the time of injury. The following calculations are made taken up the statutory factors seriatim:</w:t>
      </w:r>
    </w:p>
    <w:p w14:paraId="401B205B" w14:textId="77777777" w:rsidR="001A2150" w:rsidRPr="001A2150" w:rsidRDefault="001A2150" w:rsidP="001A2150">
      <w:pPr>
        <w:pStyle w:val="ListParagraph"/>
        <w:spacing w:afterLines="160" w:after="384"/>
        <w:ind w:left="0"/>
        <w:jc w:val="both"/>
        <w:rPr>
          <w:rFonts w:ascii="Times New Roman" w:hAnsi="Times New Roman" w:cs="Times New Roman"/>
          <w:sz w:val="24"/>
          <w:szCs w:val="24"/>
        </w:rPr>
      </w:pPr>
    </w:p>
    <w:p w14:paraId="6364C37E" w14:textId="0EC492E5" w:rsidR="00FF7482" w:rsidRDefault="00FF7482" w:rsidP="001A2150">
      <w:pPr>
        <w:pStyle w:val="ListParagraph"/>
        <w:numPr>
          <w:ilvl w:val="0"/>
          <w:numId w:val="9"/>
        </w:numPr>
        <w:spacing w:afterLines="160" w:after="384"/>
        <w:jc w:val="both"/>
        <w:rPr>
          <w:rFonts w:ascii="Times New Roman" w:hAnsi="Times New Roman" w:cs="Times New Roman"/>
          <w:sz w:val="24"/>
          <w:szCs w:val="24"/>
        </w:rPr>
      </w:pPr>
      <w:r>
        <w:rPr>
          <w:rFonts w:ascii="Times New Roman" w:hAnsi="Times New Roman" w:cs="Times New Roman"/>
          <w:sz w:val="24"/>
          <w:szCs w:val="24"/>
        </w:rPr>
        <w:t xml:space="preserve">14 x (65-50)/45 = 14 x 15/45 = 14 x 1/3 = </w:t>
      </w:r>
      <w:r w:rsidRPr="00F35809">
        <w:rPr>
          <w:rFonts w:ascii="Times New Roman" w:hAnsi="Times New Roman" w:cs="Times New Roman"/>
          <w:b/>
          <w:sz w:val="24"/>
          <w:szCs w:val="24"/>
          <w:u w:val="single"/>
        </w:rPr>
        <w:t xml:space="preserve">4 </w:t>
      </w:r>
      <w:r w:rsidRPr="008C40A7">
        <w:rPr>
          <w:rFonts w:ascii="Times New Roman" w:hAnsi="Times New Roman" w:cs="Times New Roman"/>
          <w:b/>
          <w:sz w:val="24"/>
          <w:szCs w:val="24"/>
          <w:u w:val="single"/>
          <w:vertAlign w:val="superscript"/>
        </w:rPr>
        <w:t xml:space="preserve">2/3 </w:t>
      </w:r>
      <w:r w:rsidRPr="00F35809">
        <w:rPr>
          <w:rFonts w:ascii="Times New Roman" w:hAnsi="Times New Roman" w:cs="Times New Roman"/>
          <w:b/>
          <w:sz w:val="24"/>
          <w:szCs w:val="24"/>
          <w:u w:val="single"/>
        </w:rPr>
        <w:t>months</w:t>
      </w:r>
      <w:r>
        <w:rPr>
          <w:rFonts w:ascii="Times New Roman" w:hAnsi="Times New Roman" w:cs="Times New Roman"/>
          <w:sz w:val="24"/>
          <w:szCs w:val="24"/>
        </w:rPr>
        <w:t xml:space="preserve">  </w:t>
      </w:r>
    </w:p>
    <w:p w14:paraId="53D35DB5" w14:textId="4B208771" w:rsidR="00FF7482" w:rsidRPr="00E83235" w:rsidRDefault="00FF7482" w:rsidP="00EF176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8 ½ x (4-2)/4 = </w:t>
      </w:r>
      <w:r w:rsidRPr="00E83235">
        <w:rPr>
          <w:rFonts w:ascii="Times New Roman" w:hAnsi="Times New Roman" w:cs="Times New Roman"/>
          <w:b/>
          <w:sz w:val="24"/>
          <w:szCs w:val="24"/>
          <w:u w:val="single"/>
        </w:rPr>
        <w:t>4 ¼ months</w:t>
      </w:r>
    </w:p>
    <w:p w14:paraId="39F8E580" w14:textId="3E52B554" w:rsidR="00FF7482" w:rsidRPr="00E83235" w:rsidRDefault="00FF7482" w:rsidP="00EF176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6 x (4-2)/4 = </w:t>
      </w:r>
      <w:r w:rsidRPr="00E83235">
        <w:rPr>
          <w:rFonts w:ascii="Times New Roman" w:hAnsi="Times New Roman" w:cs="Times New Roman"/>
          <w:b/>
          <w:sz w:val="24"/>
          <w:szCs w:val="24"/>
          <w:u w:val="single"/>
        </w:rPr>
        <w:t>3 months</w:t>
      </w:r>
    </w:p>
    <w:p w14:paraId="4E1BF007" w14:textId="58F46553" w:rsidR="00FF7482" w:rsidRDefault="00FF7482" w:rsidP="00EF176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N/A = </w:t>
      </w:r>
      <w:r w:rsidRPr="00E83235">
        <w:rPr>
          <w:rFonts w:ascii="Times New Roman" w:hAnsi="Times New Roman" w:cs="Times New Roman"/>
          <w:b/>
          <w:sz w:val="24"/>
          <w:szCs w:val="24"/>
        </w:rPr>
        <w:t>0 months</w:t>
      </w:r>
    </w:p>
    <w:p w14:paraId="32DFF406" w14:textId="23C352B6" w:rsidR="00FF7482" w:rsidRPr="00E83235" w:rsidRDefault="00FF7482" w:rsidP="00EF176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50 years old = </w:t>
      </w:r>
      <w:r w:rsidRPr="00E83235">
        <w:rPr>
          <w:rFonts w:ascii="Times New Roman" w:hAnsi="Times New Roman" w:cs="Times New Roman"/>
          <w:b/>
          <w:sz w:val="24"/>
          <w:szCs w:val="24"/>
          <w:u w:val="single"/>
        </w:rPr>
        <w:t>2 months</w:t>
      </w:r>
    </w:p>
    <w:p w14:paraId="62A0550C" w14:textId="58756E4B" w:rsidR="00FF7482" w:rsidRDefault="00FF7482" w:rsidP="00E83235">
      <w:pPr>
        <w:pStyle w:val="ListParagraph"/>
        <w:ind w:left="0" w:right="720" w:firstLine="720"/>
        <w:jc w:val="both"/>
        <w:rPr>
          <w:rFonts w:ascii="Times New Roman" w:hAnsi="Times New Roman" w:cs="Times New Roman"/>
          <w:b/>
          <w:sz w:val="24"/>
          <w:szCs w:val="24"/>
          <w:u w:val="single"/>
        </w:rPr>
      </w:pPr>
      <w:r w:rsidRPr="00E83235">
        <w:rPr>
          <w:rFonts w:ascii="Times New Roman" w:hAnsi="Times New Roman" w:cs="Times New Roman"/>
          <w:b/>
          <w:sz w:val="24"/>
          <w:szCs w:val="24"/>
          <w:u w:val="single"/>
        </w:rPr>
        <w:lastRenderedPageBreak/>
        <w:t>Total = 13¼ months x $2,392 = $31,694</w:t>
      </w:r>
    </w:p>
    <w:p w14:paraId="01849293" w14:textId="77777777" w:rsidR="00FF7482" w:rsidRDefault="00FF7482" w:rsidP="00E83235">
      <w:pPr>
        <w:pStyle w:val="ListParagraph"/>
        <w:ind w:left="0" w:right="720" w:firstLine="720"/>
        <w:jc w:val="both"/>
        <w:rPr>
          <w:rFonts w:ascii="Times New Roman" w:hAnsi="Times New Roman" w:cs="Times New Roman"/>
          <w:b/>
          <w:sz w:val="24"/>
          <w:szCs w:val="24"/>
          <w:u w:val="single"/>
        </w:rPr>
      </w:pPr>
    </w:p>
    <w:p w14:paraId="27FE1F47" w14:textId="21BE4C64" w:rsidR="00FF7482" w:rsidRDefault="00FF7482" w:rsidP="001222C8">
      <w:pPr>
        <w:pStyle w:val="ListParagraph"/>
        <w:spacing w:after="0"/>
        <w:ind w:left="0"/>
        <w:jc w:val="both"/>
        <w:rPr>
          <w:rFonts w:ascii="Times New Roman" w:hAnsi="Times New Roman" w:cs="Times New Roman"/>
          <w:sz w:val="24"/>
          <w:szCs w:val="24"/>
        </w:rPr>
      </w:pPr>
      <w:r w:rsidRPr="00334BB9">
        <w:rPr>
          <w:rFonts w:ascii="Times New Roman" w:hAnsi="Times New Roman" w:cs="Times New Roman"/>
          <w:b/>
          <w:bCs/>
          <w:sz w:val="24"/>
          <w:szCs w:val="24"/>
          <w:u w:val="single"/>
        </w:rPr>
        <w:t>Note that this figure is theoretically supposed to bear a relationship to an employee’s diminished earning capacity or loss of wages caused by a work-related injury</w:t>
      </w:r>
      <w:r w:rsidRPr="0082584C">
        <w:rPr>
          <w:rFonts w:ascii="Times New Roman" w:hAnsi="Times New Roman" w:cs="Times New Roman"/>
          <w:sz w:val="24"/>
          <w:szCs w:val="24"/>
        </w:rPr>
        <w:t xml:space="preserve">. </w:t>
      </w:r>
      <w:r w:rsidRPr="008C40A7">
        <w:rPr>
          <w:rFonts w:ascii="Times New Roman" w:hAnsi="Times New Roman" w:cs="Times New Roman"/>
          <w:b/>
          <w:sz w:val="24"/>
          <w:szCs w:val="24"/>
        </w:rPr>
        <w:t>“Generally the loss of earning power of the worker is the theoretical basis for allowance of compensation</w:t>
      </w:r>
      <w:r w:rsidRPr="008B002D">
        <w:rPr>
          <w:rFonts w:ascii="Times New Roman" w:hAnsi="Times New Roman" w:cs="Times New Roman"/>
          <w:b/>
          <w:bCs/>
          <w:sz w:val="24"/>
          <w:szCs w:val="24"/>
        </w:rPr>
        <w:t>.”</w:t>
      </w:r>
      <w:r w:rsidRPr="00910BB7">
        <w:rPr>
          <w:rFonts w:ascii="Times New Roman" w:hAnsi="Times New Roman" w:cs="Times New Roman"/>
          <w:sz w:val="24"/>
          <w:szCs w:val="24"/>
          <w:vertAlign w:val="superscript"/>
        </w:rPr>
        <w:footnoteReference w:id="588"/>
      </w:r>
      <w:r>
        <w:rPr>
          <w:rFonts w:ascii="Times New Roman" w:hAnsi="Times New Roman" w:cs="Times New Roman"/>
          <w:sz w:val="24"/>
          <w:szCs w:val="24"/>
        </w:rPr>
        <w:t xml:space="preserve"> It must be said, even if in passing, that while the disability assessment described above appropriately considers various factors that may impact on earning capacity,</w:t>
      </w:r>
      <w:r w:rsidRPr="00910BB7">
        <w:rPr>
          <w:rFonts w:ascii="Times New Roman" w:hAnsi="Times New Roman" w:cs="Times New Roman"/>
          <w:sz w:val="24"/>
          <w:szCs w:val="24"/>
          <w:vertAlign w:val="superscript"/>
        </w:rPr>
        <w:footnoteReference w:id="589"/>
      </w:r>
      <w:r>
        <w:rPr>
          <w:rFonts w:ascii="Times New Roman" w:hAnsi="Times New Roman" w:cs="Times New Roman"/>
          <w:sz w:val="24"/>
          <w:szCs w:val="24"/>
        </w:rPr>
        <w:t xml:space="preserve"> </w:t>
      </w:r>
      <w:r w:rsidRPr="006A2B67">
        <w:rPr>
          <w:rFonts w:ascii="Times New Roman" w:hAnsi="Times New Roman" w:cs="Times New Roman"/>
          <w:b/>
          <w:bCs/>
          <w:sz w:val="24"/>
          <w:szCs w:val="24"/>
        </w:rPr>
        <w:t xml:space="preserve">it is very difficult to view the somewhat arbitrary addition of “benefit months” as anything resembling a </w:t>
      </w:r>
      <w:r w:rsidRPr="006A2B67">
        <w:rPr>
          <w:rFonts w:ascii="Times New Roman" w:hAnsi="Times New Roman" w:cs="Times New Roman"/>
          <w:b/>
          <w:bCs/>
          <w:sz w:val="24"/>
          <w:szCs w:val="24"/>
          <w:u w:val="single"/>
        </w:rPr>
        <w:t>rational</w:t>
      </w:r>
      <w:r w:rsidRPr="006A2B67">
        <w:rPr>
          <w:rFonts w:ascii="Times New Roman" w:hAnsi="Times New Roman" w:cs="Times New Roman"/>
          <w:b/>
          <w:bCs/>
          <w:sz w:val="24"/>
          <w:szCs w:val="24"/>
        </w:rPr>
        <w:t xml:space="preserve"> proxy for de facto</w:t>
      </w:r>
      <w:r>
        <w:rPr>
          <w:rFonts w:ascii="Times New Roman" w:hAnsi="Times New Roman" w:cs="Times New Roman"/>
          <w:b/>
          <w:bCs/>
          <w:sz w:val="24"/>
          <w:szCs w:val="24"/>
        </w:rPr>
        <w:t>, long term</w:t>
      </w:r>
      <w:r w:rsidRPr="006A2B67">
        <w:rPr>
          <w:rFonts w:ascii="Times New Roman" w:hAnsi="Times New Roman" w:cs="Times New Roman"/>
          <w:b/>
          <w:bCs/>
          <w:sz w:val="24"/>
          <w:szCs w:val="24"/>
        </w:rPr>
        <w:t xml:space="preserve"> loss of earning capacity</w:t>
      </w:r>
      <w:r>
        <w:rPr>
          <w:rFonts w:ascii="Times New Roman" w:hAnsi="Times New Roman" w:cs="Times New Roman"/>
          <w:sz w:val="24"/>
          <w:szCs w:val="24"/>
        </w:rPr>
        <w:t xml:space="preserve">. </w:t>
      </w:r>
    </w:p>
    <w:p w14:paraId="430A64C7" w14:textId="77777777" w:rsidR="00FF7482" w:rsidRDefault="00FF7482" w:rsidP="00F02E62">
      <w:pPr>
        <w:pStyle w:val="ListParagraph"/>
        <w:spacing w:after="0"/>
        <w:ind w:left="0" w:firstLine="720"/>
        <w:jc w:val="both"/>
        <w:rPr>
          <w:rFonts w:ascii="Times New Roman" w:hAnsi="Times New Roman" w:cs="Times New Roman"/>
          <w:sz w:val="24"/>
          <w:szCs w:val="24"/>
        </w:rPr>
      </w:pPr>
    </w:p>
    <w:p w14:paraId="1262E703" w14:textId="3C1F6699" w:rsidR="00FF7482" w:rsidRPr="00A75A86" w:rsidRDefault="00FF7482" w:rsidP="00F44B4C">
      <w:pPr>
        <w:pStyle w:val="Heading2"/>
        <w:rPr>
          <w:rFonts w:ascii="Times New Roman" w:hAnsi="Times New Roman" w:cs="Times New Roman"/>
          <w:b/>
          <w:color w:val="auto"/>
          <w:sz w:val="28"/>
          <w:szCs w:val="28"/>
        </w:rPr>
      </w:pPr>
      <w:bookmarkStart w:id="835" w:name="_Toc75269406"/>
      <w:r w:rsidRPr="00A75A86">
        <w:rPr>
          <w:rFonts w:ascii="Times New Roman" w:hAnsi="Times New Roman" w:cs="Times New Roman"/>
          <w:b/>
          <w:color w:val="auto"/>
          <w:sz w:val="28"/>
          <w:szCs w:val="28"/>
        </w:rPr>
        <w:t>Timing of Delivery of Workers’ Compensation Indemnity Benefits</w:t>
      </w:r>
      <w:bookmarkEnd w:id="835"/>
    </w:p>
    <w:p w14:paraId="0E35864E" w14:textId="366E23CC" w:rsidR="00FF7482" w:rsidRDefault="00FF7482" w:rsidP="008C40A7">
      <w:pPr>
        <w:spacing w:after="0"/>
      </w:pPr>
    </w:p>
    <w:p w14:paraId="57582FF8" w14:textId="41B40442" w:rsidR="00FF7482" w:rsidRDefault="00FF7482" w:rsidP="00F44B4C">
      <w:pPr>
        <w:pStyle w:val="ListParagraph"/>
        <w:spacing w:after="0"/>
        <w:ind w:left="0"/>
        <w:jc w:val="both"/>
        <w:rPr>
          <w:rFonts w:ascii="Times New Roman" w:hAnsi="Times New Roman" w:cs="Times New Roman"/>
          <w:sz w:val="24"/>
          <w:szCs w:val="24"/>
        </w:rPr>
      </w:pPr>
      <w:r w:rsidRPr="002C1F78">
        <w:rPr>
          <w:rFonts w:ascii="Times New Roman" w:hAnsi="Times New Roman" w:cs="Times New Roman"/>
          <w:sz w:val="24"/>
          <w:szCs w:val="24"/>
        </w:rPr>
        <w:t>As originally conceived</w:t>
      </w:r>
      <w:r>
        <w:rPr>
          <w:rFonts w:ascii="Times New Roman" w:hAnsi="Times New Roman" w:cs="Times New Roman"/>
          <w:sz w:val="24"/>
          <w:szCs w:val="24"/>
        </w:rPr>
        <w:t xml:space="preserve"> workers’ compensation was supposed to deliver ongoing, typically weekly benefits to injured workers. Nevertheless, in many jurisdictions in the country a robust tradition of “lump-summing” workers’ compensation has become entrenched. One of the dangers inherent in this practice is the potential failure of injured workers to realize that the present-value lump sum settlement of a case usually represents the end of any non-medical claim the worker is able to make against the employer (or insurance carrier). In Wyoming, the relevant statutory language allows that “</w:t>
      </w:r>
      <w:r w:rsidRPr="002C1F78">
        <w:rPr>
          <w:rFonts w:ascii="Times New Roman" w:hAnsi="Times New Roman" w:cs="Times New Roman"/>
          <w:sz w:val="24"/>
          <w:szCs w:val="24"/>
        </w:rPr>
        <w:t xml:space="preserve">permanent total disability or death may, upon application to the division with a showing of </w:t>
      </w:r>
      <w:r w:rsidRPr="00F62270">
        <w:rPr>
          <w:rFonts w:ascii="Times New Roman" w:hAnsi="Times New Roman" w:cs="Times New Roman"/>
          <w:b/>
          <w:bCs/>
          <w:sz w:val="24"/>
          <w:szCs w:val="24"/>
          <w:u w:val="single"/>
        </w:rPr>
        <w:t>exceptional necessity</w:t>
      </w:r>
      <w:r w:rsidRPr="002C1F78">
        <w:rPr>
          <w:rFonts w:ascii="Times New Roman" w:hAnsi="Times New Roman" w:cs="Times New Roman"/>
          <w:sz w:val="24"/>
          <w:szCs w:val="24"/>
        </w:rPr>
        <w:t xml:space="preserve"> and notice to the employer, be paid in whole or in part in a lump sum. In no event shall an award for permanent partial impairment</w:t>
      </w:r>
      <w:r>
        <w:rPr>
          <w:rFonts w:ascii="Times New Roman" w:hAnsi="Times New Roman" w:cs="Times New Roman"/>
          <w:sz w:val="24"/>
          <w:szCs w:val="24"/>
        </w:rPr>
        <w:t xml:space="preserve"> . . . </w:t>
      </w:r>
      <w:r w:rsidRPr="002C1F78">
        <w:rPr>
          <w:rFonts w:ascii="Times New Roman" w:hAnsi="Times New Roman" w:cs="Times New Roman"/>
          <w:sz w:val="24"/>
          <w:szCs w:val="24"/>
        </w:rPr>
        <w:t>be paid in a lump sum.</w:t>
      </w:r>
      <w:r>
        <w:rPr>
          <w:rFonts w:ascii="Times New Roman" w:hAnsi="Times New Roman" w:cs="Times New Roman"/>
          <w:sz w:val="24"/>
          <w:szCs w:val="24"/>
        </w:rPr>
        <w:t xml:space="preserve">”  </w:t>
      </w:r>
      <w:r w:rsidRPr="006C739F">
        <w:rPr>
          <w:rFonts w:ascii="Times New Roman" w:hAnsi="Times New Roman" w:cs="Times New Roman"/>
          <w:sz w:val="24"/>
          <w:szCs w:val="24"/>
        </w:rPr>
        <w:t xml:space="preserve">W.S. § </w:t>
      </w:r>
      <w:hyperlink r:id="rId110" w:history="1">
        <w:r w:rsidRPr="006C739F">
          <w:rPr>
            <w:rStyle w:val="Hyperlink"/>
            <w:rFonts w:ascii="Times New Roman" w:hAnsi="Times New Roman" w:cs="Times New Roman"/>
            <w:sz w:val="24"/>
            <w:szCs w:val="24"/>
          </w:rPr>
          <w:t>27-14-403</w:t>
        </w:r>
      </w:hyperlink>
      <w:r>
        <w:rPr>
          <w:rFonts w:ascii="Times New Roman" w:hAnsi="Times New Roman" w:cs="Times New Roman"/>
          <w:sz w:val="24"/>
          <w:szCs w:val="24"/>
        </w:rPr>
        <w:t>(f).</w:t>
      </w:r>
      <w:r w:rsidRPr="00910BB7">
        <w:rPr>
          <w:rFonts w:ascii="Times New Roman" w:hAnsi="Times New Roman" w:cs="Times New Roman"/>
          <w:sz w:val="24"/>
          <w:szCs w:val="24"/>
          <w:vertAlign w:val="superscript"/>
        </w:rPr>
        <w:footnoteReference w:id="590"/>
      </w:r>
      <w:r>
        <w:rPr>
          <w:rFonts w:ascii="Times New Roman" w:hAnsi="Times New Roman" w:cs="Times New Roman"/>
          <w:sz w:val="24"/>
          <w:szCs w:val="24"/>
        </w:rPr>
        <w:t xml:space="preserve"> Thus, employee awards are usually paid out over the number of months utilized in the calculation of PPI and PPD calculations.</w:t>
      </w:r>
    </w:p>
    <w:p w14:paraId="2A979C45" w14:textId="77777777" w:rsidR="00FF7482" w:rsidRPr="002C1F78" w:rsidRDefault="00FF7482" w:rsidP="00F02E62">
      <w:pPr>
        <w:pStyle w:val="ListParagraph"/>
        <w:spacing w:after="0"/>
        <w:ind w:left="0" w:firstLine="720"/>
        <w:jc w:val="both"/>
        <w:rPr>
          <w:rFonts w:ascii="Times New Roman" w:hAnsi="Times New Roman" w:cs="Times New Roman"/>
          <w:sz w:val="24"/>
          <w:szCs w:val="24"/>
        </w:rPr>
      </w:pPr>
    </w:p>
    <w:p w14:paraId="5EFC2E25" w14:textId="100F6860" w:rsidR="00FF7482" w:rsidRPr="00A75A86" w:rsidRDefault="00FF7482" w:rsidP="00A62DDE">
      <w:pPr>
        <w:pStyle w:val="Heading2"/>
        <w:rPr>
          <w:rFonts w:ascii="Times New Roman" w:hAnsi="Times New Roman" w:cs="Times New Roman"/>
          <w:b/>
          <w:color w:val="auto"/>
          <w:sz w:val="28"/>
          <w:szCs w:val="28"/>
        </w:rPr>
      </w:pPr>
      <w:bookmarkStart w:id="837" w:name="_Toc75269407"/>
      <w:bookmarkStart w:id="838" w:name="_Hlk1411892"/>
      <w:r w:rsidRPr="00A75A86">
        <w:rPr>
          <w:rFonts w:ascii="Times New Roman" w:hAnsi="Times New Roman" w:cs="Times New Roman"/>
          <w:b/>
          <w:color w:val="auto"/>
          <w:sz w:val="28"/>
          <w:szCs w:val="28"/>
        </w:rPr>
        <w:t>Temporary Partial Benefits</w:t>
      </w:r>
      <w:bookmarkEnd w:id="837"/>
    </w:p>
    <w:bookmarkEnd w:id="838"/>
    <w:p w14:paraId="3A23DF2D" w14:textId="05937B66" w:rsidR="00FF7482" w:rsidRDefault="00FF7482" w:rsidP="00BB5430">
      <w:pPr>
        <w:spacing w:after="0"/>
      </w:pPr>
    </w:p>
    <w:p w14:paraId="73CC9545" w14:textId="3940AF50" w:rsidR="00FF7482" w:rsidRDefault="00FF7482" w:rsidP="00A62DD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some circumstances, an injured worker may be able to return to work but be earning less than his or her pre-injury wage. In those cases, </w:t>
      </w:r>
      <w:r w:rsidRPr="007309AE">
        <w:rPr>
          <w:rFonts w:ascii="Times New Roman" w:hAnsi="Times New Roman" w:cs="Times New Roman"/>
          <w:sz w:val="24"/>
          <w:szCs w:val="24"/>
        </w:rPr>
        <w:t>Temporary Partial Disability</w:t>
      </w:r>
      <w:r>
        <w:rPr>
          <w:rFonts w:ascii="Times New Roman" w:hAnsi="Times New Roman" w:cs="Times New Roman"/>
          <w:sz w:val="24"/>
          <w:szCs w:val="24"/>
        </w:rPr>
        <w:t xml:space="preserve"> benefits</w:t>
      </w:r>
      <w:r w:rsidRPr="007309AE">
        <w:rPr>
          <w:rFonts w:ascii="Times New Roman" w:hAnsi="Times New Roman" w:cs="Times New Roman"/>
          <w:sz w:val="24"/>
          <w:szCs w:val="24"/>
        </w:rPr>
        <w:t xml:space="preserve"> (TPD)</w:t>
      </w:r>
      <w:r>
        <w:rPr>
          <w:rFonts w:ascii="Times New Roman" w:hAnsi="Times New Roman" w:cs="Times New Roman"/>
          <w:sz w:val="24"/>
          <w:szCs w:val="24"/>
        </w:rPr>
        <w:t xml:space="preserve"> may be available to the worker</w:t>
      </w:r>
      <w:r w:rsidRPr="007309AE">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591"/>
      </w:r>
      <w:r w:rsidRPr="007309AE">
        <w:rPr>
          <w:rFonts w:ascii="Times New Roman" w:hAnsi="Times New Roman" w:cs="Times New Roman"/>
          <w:sz w:val="24"/>
          <w:szCs w:val="24"/>
        </w:rPr>
        <w:t xml:space="preserve"> TPD benefits </w:t>
      </w:r>
      <w:r>
        <w:rPr>
          <w:rFonts w:ascii="Times New Roman" w:hAnsi="Times New Roman" w:cs="Times New Roman"/>
          <w:sz w:val="24"/>
          <w:szCs w:val="24"/>
        </w:rPr>
        <w:t>are determined</w:t>
      </w:r>
      <w:r w:rsidRPr="007309AE">
        <w:rPr>
          <w:rFonts w:ascii="Times New Roman" w:hAnsi="Times New Roman" w:cs="Times New Roman"/>
          <w:sz w:val="24"/>
          <w:szCs w:val="24"/>
        </w:rPr>
        <w:t xml:space="preserve"> by </w:t>
      </w:r>
      <w:r>
        <w:rPr>
          <w:rFonts w:ascii="Times New Roman" w:hAnsi="Times New Roman" w:cs="Times New Roman"/>
          <w:sz w:val="24"/>
          <w:szCs w:val="24"/>
        </w:rPr>
        <w:t>calculating</w:t>
      </w:r>
      <w:r w:rsidRPr="007309AE">
        <w:rPr>
          <w:rFonts w:ascii="Times New Roman" w:hAnsi="Times New Roman" w:cs="Times New Roman"/>
          <w:sz w:val="24"/>
          <w:szCs w:val="24"/>
        </w:rPr>
        <w:t xml:space="preserve"> </w:t>
      </w:r>
      <w:r w:rsidRPr="00A90745">
        <w:rPr>
          <w:rFonts w:ascii="Times New Roman" w:hAnsi="Times New Roman" w:cs="Times New Roman"/>
          <w:b/>
          <w:sz w:val="24"/>
          <w:szCs w:val="24"/>
        </w:rPr>
        <w:t>80% of the difference between the light duty (initial return to work) wage and the employee's actual monthly earnings at the time of injury</w:t>
      </w:r>
      <w:r w:rsidRPr="007309AE">
        <w:rPr>
          <w:rFonts w:ascii="Times New Roman" w:hAnsi="Times New Roman" w:cs="Times New Roman"/>
          <w:sz w:val="24"/>
          <w:szCs w:val="24"/>
        </w:rPr>
        <w:t>.</w:t>
      </w:r>
      <w:r>
        <w:rPr>
          <w:rFonts w:ascii="Times New Roman" w:hAnsi="Times New Roman" w:cs="Times New Roman"/>
          <w:sz w:val="24"/>
          <w:szCs w:val="24"/>
        </w:rPr>
        <w:t xml:space="preserve"> A</w:t>
      </w:r>
      <w:r w:rsidRPr="007309AE">
        <w:rPr>
          <w:rFonts w:ascii="Times New Roman" w:hAnsi="Times New Roman" w:cs="Times New Roman"/>
          <w:sz w:val="24"/>
          <w:szCs w:val="24"/>
        </w:rPr>
        <w:t xml:space="preserve"> claimant</w:t>
      </w:r>
      <w:r>
        <w:rPr>
          <w:rFonts w:ascii="Times New Roman" w:hAnsi="Times New Roman" w:cs="Times New Roman"/>
          <w:sz w:val="24"/>
          <w:szCs w:val="24"/>
        </w:rPr>
        <w:t xml:space="preserve"> in this situation may</w:t>
      </w:r>
      <w:r w:rsidRPr="007309AE">
        <w:rPr>
          <w:rFonts w:ascii="Times New Roman" w:hAnsi="Times New Roman" w:cs="Times New Roman"/>
          <w:sz w:val="24"/>
          <w:szCs w:val="24"/>
        </w:rPr>
        <w:t xml:space="preserve"> receive</w:t>
      </w:r>
      <w:r>
        <w:rPr>
          <w:rFonts w:ascii="Times New Roman" w:hAnsi="Times New Roman" w:cs="Times New Roman"/>
          <w:sz w:val="24"/>
          <w:szCs w:val="24"/>
        </w:rPr>
        <w:t xml:space="preserve"> </w:t>
      </w:r>
      <w:r w:rsidRPr="00A90745">
        <w:rPr>
          <w:rFonts w:ascii="Times New Roman" w:hAnsi="Times New Roman" w:cs="Times New Roman"/>
          <w:b/>
          <w:sz w:val="24"/>
          <w:szCs w:val="24"/>
        </w:rPr>
        <w:t>both</w:t>
      </w:r>
      <w:r w:rsidRPr="007309AE">
        <w:rPr>
          <w:rFonts w:ascii="Times New Roman" w:hAnsi="Times New Roman" w:cs="Times New Roman"/>
          <w:sz w:val="24"/>
          <w:szCs w:val="24"/>
        </w:rPr>
        <w:t xml:space="preserve"> </w:t>
      </w:r>
      <w:r>
        <w:rPr>
          <w:rFonts w:ascii="Times New Roman" w:hAnsi="Times New Roman" w:cs="Times New Roman"/>
          <w:sz w:val="24"/>
          <w:szCs w:val="24"/>
        </w:rPr>
        <w:t xml:space="preserve">80% of the difference </w:t>
      </w:r>
      <w:r>
        <w:rPr>
          <w:rFonts w:ascii="Times New Roman" w:hAnsi="Times New Roman" w:cs="Times New Roman"/>
          <w:sz w:val="24"/>
          <w:szCs w:val="24"/>
        </w:rPr>
        <w:lastRenderedPageBreak/>
        <w:t xml:space="preserve">between </w:t>
      </w:r>
      <w:r w:rsidRPr="007309AE">
        <w:rPr>
          <w:rFonts w:ascii="Times New Roman" w:hAnsi="Times New Roman" w:cs="Times New Roman"/>
          <w:sz w:val="24"/>
          <w:szCs w:val="24"/>
        </w:rPr>
        <w:t xml:space="preserve">TPD benefits </w:t>
      </w:r>
      <w:r>
        <w:rPr>
          <w:rFonts w:ascii="Times New Roman" w:hAnsi="Times New Roman" w:cs="Times New Roman"/>
          <w:b/>
          <w:sz w:val="24"/>
          <w:szCs w:val="24"/>
        </w:rPr>
        <w:t xml:space="preserve">and </w:t>
      </w:r>
      <w:r w:rsidRPr="007309AE">
        <w:rPr>
          <w:rFonts w:ascii="Times New Roman" w:hAnsi="Times New Roman" w:cs="Times New Roman"/>
          <w:sz w:val="24"/>
          <w:szCs w:val="24"/>
        </w:rPr>
        <w:t>light duty wages</w:t>
      </w:r>
      <w:r>
        <w:rPr>
          <w:rFonts w:ascii="Times New Roman" w:hAnsi="Times New Roman" w:cs="Times New Roman"/>
          <w:sz w:val="24"/>
          <w:szCs w:val="24"/>
        </w:rPr>
        <w:t xml:space="preserve"> and the light duty wages themselves</w:t>
      </w:r>
      <w:r w:rsidRPr="007309AE">
        <w:rPr>
          <w:rFonts w:ascii="Times New Roman" w:hAnsi="Times New Roman" w:cs="Times New Roman"/>
          <w:sz w:val="24"/>
          <w:szCs w:val="24"/>
        </w:rPr>
        <w:t>. The</w:t>
      </w:r>
      <w:r>
        <w:rPr>
          <w:rFonts w:ascii="Times New Roman" w:hAnsi="Times New Roman" w:cs="Times New Roman"/>
          <w:sz w:val="24"/>
          <w:szCs w:val="24"/>
        </w:rPr>
        <w:t xml:space="preserve"> intent appears to be that the</w:t>
      </w:r>
      <w:r w:rsidRPr="007309AE">
        <w:rPr>
          <w:rFonts w:ascii="Times New Roman" w:hAnsi="Times New Roman" w:cs="Times New Roman"/>
          <w:sz w:val="24"/>
          <w:szCs w:val="24"/>
        </w:rPr>
        <w:t xml:space="preserve"> combin</w:t>
      </w:r>
      <w:r>
        <w:rPr>
          <w:rFonts w:ascii="Times New Roman" w:hAnsi="Times New Roman" w:cs="Times New Roman"/>
          <w:sz w:val="24"/>
          <w:szCs w:val="24"/>
        </w:rPr>
        <w:t>ed</w:t>
      </w:r>
      <w:r w:rsidRPr="007309AE">
        <w:rPr>
          <w:rFonts w:ascii="Times New Roman" w:hAnsi="Times New Roman" w:cs="Times New Roman"/>
          <w:sz w:val="24"/>
          <w:szCs w:val="24"/>
        </w:rPr>
        <w:t xml:space="preserve"> earnings and benefits </w:t>
      </w:r>
      <w:r w:rsidRPr="003E298B">
        <w:rPr>
          <w:rFonts w:ascii="Times New Roman" w:hAnsi="Times New Roman" w:cs="Times New Roman"/>
          <w:b/>
          <w:i/>
          <w:sz w:val="24"/>
          <w:szCs w:val="24"/>
        </w:rPr>
        <w:t xml:space="preserve">should </w:t>
      </w:r>
      <w:r w:rsidRPr="007309AE">
        <w:rPr>
          <w:rFonts w:ascii="Times New Roman" w:hAnsi="Times New Roman" w:cs="Times New Roman"/>
          <w:sz w:val="24"/>
          <w:szCs w:val="24"/>
        </w:rPr>
        <w:t xml:space="preserve">pay the claimant more than TTD, and as close to </w:t>
      </w:r>
      <w:r>
        <w:rPr>
          <w:rFonts w:ascii="Times New Roman" w:hAnsi="Times New Roman" w:cs="Times New Roman"/>
          <w:sz w:val="24"/>
          <w:szCs w:val="24"/>
        </w:rPr>
        <w:t xml:space="preserve">the </w:t>
      </w:r>
      <w:r w:rsidRPr="007309AE">
        <w:rPr>
          <w:rFonts w:ascii="Times New Roman" w:hAnsi="Times New Roman" w:cs="Times New Roman"/>
          <w:sz w:val="24"/>
          <w:szCs w:val="24"/>
        </w:rPr>
        <w:t>pre-injury wage as possible</w:t>
      </w:r>
      <w:r>
        <w:rPr>
          <w:rFonts w:ascii="Times New Roman" w:hAnsi="Times New Roman" w:cs="Times New Roman"/>
          <w:sz w:val="24"/>
          <w:szCs w:val="24"/>
        </w:rPr>
        <w:t xml:space="preserve">. The combined total of benefits and wages may not, however, </w:t>
      </w:r>
      <w:r w:rsidRPr="007309AE">
        <w:rPr>
          <w:rFonts w:ascii="Times New Roman" w:hAnsi="Times New Roman" w:cs="Times New Roman"/>
          <w:sz w:val="24"/>
          <w:szCs w:val="24"/>
        </w:rPr>
        <w:t xml:space="preserve">exceed the statewide average monthly wage </w:t>
      </w:r>
      <w:r>
        <w:rPr>
          <w:rFonts w:ascii="Times New Roman" w:hAnsi="Times New Roman" w:cs="Times New Roman"/>
          <w:sz w:val="24"/>
          <w:szCs w:val="24"/>
        </w:rPr>
        <w:t>applicable to</w:t>
      </w:r>
      <w:r w:rsidRPr="007309AE">
        <w:rPr>
          <w:rFonts w:ascii="Times New Roman" w:hAnsi="Times New Roman" w:cs="Times New Roman"/>
          <w:sz w:val="24"/>
          <w:szCs w:val="24"/>
        </w:rPr>
        <w:t xml:space="preserve"> the quarterly period in which the injury occurred.</w:t>
      </w:r>
      <w:r>
        <w:rPr>
          <w:rFonts w:ascii="Times New Roman" w:hAnsi="Times New Roman" w:cs="Times New Roman"/>
          <w:sz w:val="24"/>
          <w:szCs w:val="24"/>
        </w:rPr>
        <w:t xml:space="preserve"> </w:t>
      </w:r>
    </w:p>
    <w:p w14:paraId="084EF5B7" w14:textId="77777777" w:rsidR="00FF7482" w:rsidRDefault="00FF7482" w:rsidP="007309AE">
      <w:pPr>
        <w:pStyle w:val="ListParagraph"/>
        <w:ind w:left="0" w:firstLine="720"/>
        <w:jc w:val="both"/>
        <w:rPr>
          <w:rFonts w:ascii="Times New Roman" w:hAnsi="Times New Roman" w:cs="Times New Roman"/>
          <w:sz w:val="24"/>
          <w:szCs w:val="24"/>
        </w:rPr>
      </w:pPr>
    </w:p>
    <w:p w14:paraId="1D7880E0" w14:textId="1352AB67" w:rsidR="00FF7482" w:rsidRDefault="00FF7482" w:rsidP="00A62DD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TPD benefit ceases upon the occurrence, in connection with the claimant, of one of six contingencies: </w:t>
      </w:r>
      <w:r w:rsidRPr="003E298B">
        <w:rPr>
          <w:rFonts w:ascii="Times New Roman" w:hAnsi="Times New Roman" w:cs="Times New Roman"/>
          <w:b/>
          <w:sz w:val="24"/>
          <w:szCs w:val="24"/>
        </w:rPr>
        <w:t>return to work</w:t>
      </w:r>
      <w:r w:rsidRPr="007309AE">
        <w:rPr>
          <w:rFonts w:ascii="Times New Roman" w:hAnsi="Times New Roman" w:cs="Times New Roman"/>
          <w:sz w:val="24"/>
          <w:szCs w:val="24"/>
        </w:rPr>
        <w:t xml:space="preserve"> full </w:t>
      </w:r>
      <w:r>
        <w:rPr>
          <w:rFonts w:ascii="Times New Roman" w:hAnsi="Times New Roman" w:cs="Times New Roman"/>
          <w:sz w:val="24"/>
          <w:szCs w:val="24"/>
        </w:rPr>
        <w:t>time (with any employer)</w:t>
      </w:r>
      <w:r w:rsidRPr="007309AE">
        <w:rPr>
          <w:rFonts w:ascii="Times New Roman" w:hAnsi="Times New Roman" w:cs="Times New Roman"/>
          <w:sz w:val="24"/>
          <w:szCs w:val="24"/>
        </w:rPr>
        <w:t>,without limitations or restrictions</w:t>
      </w:r>
      <w:r>
        <w:rPr>
          <w:rFonts w:ascii="Times New Roman" w:hAnsi="Times New Roman" w:cs="Times New Roman"/>
          <w:sz w:val="24"/>
          <w:szCs w:val="24"/>
        </w:rPr>
        <w:t xml:space="preserve">; </w:t>
      </w:r>
      <w:r w:rsidRPr="003E298B">
        <w:rPr>
          <w:rFonts w:ascii="Times New Roman" w:hAnsi="Times New Roman" w:cs="Times New Roman"/>
          <w:b/>
          <w:sz w:val="24"/>
          <w:szCs w:val="24"/>
        </w:rPr>
        <w:t>light duty wages</w:t>
      </w:r>
      <w:r w:rsidRPr="007309AE">
        <w:rPr>
          <w:rFonts w:ascii="Times New Roman" w:hAnsi="Times New Roman" w:cs="Times New Roman"/>
          <w:sz w:val="24"/>
          <w:szCs w:val="24"/>
        </w:rPr>
        <w:t xml:space="preserve"> are </w:t>
      </w:r>
      <w:r w:rsidRPr="003E298B">
        <w:rPr>
          <w:rFonts w:ascii="Times New Roman" w:hAnsi="Times New Roman" w:cs="Times New Roman"/>
          <w:b/>
          <w:sz w:val="24"/>
          <w:szCs w:val="24"/>
        </w:rPr>
        <w:t>95%</w:t>
      </w:r>
      <w:r w:rsidRPr="007309AE">
        <w:rPr>
          <w:rFonts w:ascii="Times New Roman" w:hAnsi="Times New Roman" w:cs="Times New Roman"/>
          <w:sz w:val="24"/>
          <w:szCs w:val="24"/>
        </w:rPr>
        <w:t xml:space="preserve"> or more </w:t>
      </w:r>
      <w:r w:rsidRPr="003E298B">
        <w:rPr>
          <w:rFonts w:ascii="Times New Roman" w:hAnsi="Times New Roman" w:cs="Times New Roman"/>
          <w:b/>
          <w:sz w:val="24"/>
          <w:szCs w:val="24"/>
        </w:rPr>
        <w:t>of the pre-injury wage</w:t>
      </w:r>
      <w:r w:rsidRPr="007309AE">
        <w:rPr>
          <w:rFonts w:ascii="Times New Roman" w:hAnsi="Times New Roman" w:cs="Times New Roman"/>
          <w:sz w:val="24"/>
          <w:szCs w:val="24"/>
        </w:rPr>
        <w:t>;</w:t>
      </w:r>
      <w:r>
        <w:rPr>
          <w:rFonts w:ascii="Times New Roman" w:hAnsi="Times New Roman" w:cs="Times New Roman"/>
          <w:sz w:val="24"/>
          <w:szCs w:val="24"/>
        </w:rPr>
        <w:t xml:space="preserve"> </w:t>
      </w:r>
      <w:r w:rsidRPr="003E298B">
        <w:rPr>
          <w:rFonts w:ascii="Times New Roman" w:hAnsi="Times New Roman" w:cs="Times New Roman"/>
          <w:b/>
          <w:sz w:val="24"/>
          <w:szCs w:val="24"/>
        </w:rPr>
        <w:t>more than one</w:t>
      </w:r>
      <w:r w:rsidRPr="007309AE">
        <w:rPr>
          <w:rFonts w:ascii="Times New Roman" w:hAnsi="Times New Roman" w:cs="Times New Roman"/>
          <w:sz w:val="24"/>
          <w:szCs w:val="24"/>
        </w:rPr>
        <w:t xml:space="preserve"> light duty, modified, or part-time </w:t>
      </w:r>
      <w:r w:rsidRPr="003E298B">
        <w:rPr>
          <w:rFonts w:ascii="Times New Roman" w:hAnsi="Times New Roman" w:cs="Times New Roman"/>
          <w:b/>
          <w:sz w:val="24"/>
          <w:szCs w:val="24"/>
        </w:rPr>
        <w:t>job is obtained</w:t>
      </w:r>
      <w:r w:rsidRPr="007309AE">
        <w:rPr>
          <w:rFonts w:ascii="Times New Roman" w:hAnsi="Times New Roman" w:cs="Times New Roman"/>
          <w:sz w:val="24"/>
          <w:szCs w:val="24"/>
        </w:rPr>
        <w:t xml:space="preserve">, </w:t>
      </w:r>
      <w:r w:rsidRPr="003E298B">
        <w:rPr>
          <w:rFonts w:ascii="Times New Roman" w:hAnsi="Times New Roman" w:cs="Times New Roman"/>
          <w:b/>
          <w:sz w:val="24"/>
          <w:szCs w:val="24"/>
          <w:u w:val="single"/>
        </w:rPr>
        <w:t>and</w:t>
      </w:r>
      <w:r w:rsidRPr="007309AE">
        <w:rPr>
          <w:rFonts w:ascii="Times New Roman" w:hAnsi="Times New Roman" w:cs="Times New Roman"/>
          <w:sz w:val="24"/>
          <w:szCs w:val="24"/>
        </w:rPr>
        <w:t xml:space="preserve"> </w:t>
      </w:r>
      <w:r w:rsidRPr="003E298B">
        <w:rPr>
          <w:rFonts w:ascii="Times New Roman" w:hAnsi="Times New Roman" w:cs="Times New Roman"/>
          <w:b/>
          <w:sz w:val="24"/>
          <w:szCs w:val="24"/>
        </w:rPr>
        <w:t>total wages</w:t>
      </w:r>
      <w:r w:rsidRPr="007309AE">
        <w:rPr>
          <w:rFonts w:ascii="Times New Roman" w:hAnsi="Times New Roman" w:cs="Times New Roman"/>
          <w:sz w:val="24"/>
          <w:szCs w:val="24"/>
        </w:rPr>
        <w:t xml:space="preserve"> </w:t>
      </w:r>
      <w:r>
        <w:rPr>
          <w:rFonts w:ascii="Times New Roman" w:hAnsi="Times New Roman" w:cs="Times New Roman"/>
          <w:sz w:val="24"/>
          <w:szCs w:val="24"/>
        </w:rPr>
        <w:t xml:space="preserve">received </w:t>
      </w:r>
      <w:r w:rsidRPr="003E298B">
        <w:rPr>
          <w:rFonts w:ascii="Times New Roman" w:hAnsi="Times New Roman" w:cs="Times New Roman"/>
          <w:b/>
          <w:sz w:val="24"/>
          <w:szCs w:val="24"/>
        </w:rPr>
        <w:t>equal or exceed 95%</w:t>
      </w:r>
      <w:r w:rsidRPr="007309AE">
        <w:rPr>
          <w:rFonts w:ascii="Times New Roman" w:hAnsi="Times New Roman" w:cs="Times New Roman"/>
          <w:sz w:val="24"/>
          <w:szCs w:val="24"/>
        </w:rPr>
        <w:t xml:space="preserve"> of the pre-injury wage;</w:t>
      </w:r>
      <w:r>
        <w:rPr>
          <w:rFonts w:ascii="Times New Roman" w:hAnsi="Times New Roman" w:cs="Times New Roman"/>
          <w:sz w:val="24"/>
          <w:szCs w:val="24"/>
        </w:rPr>
        <w:t xml:space="preserve"> </w:t>
      </w:r>
      <w:r w:rsidRPr="003E298B">
        <w:rPr>
          <w:rFonts w:ascii="Times New Roman" w:hAnsi="Times New Roman" w:cs="Times New Roman"/>
          <w:b/>
          <w:sz w:val="24"/>
          <w:szCs w:val="24"/>
        </w:rPr>
        <w:t>work at a gainful occupation</w:t>
      </w:r>
      <w:r w:rsidRPr="007309AE">
        <w:rPr>
          <w:rFonts w:ascii="Times New Roman" w:hAnsi="Times New Roman" w:cs="Times New Roman"/>
          <w:sz w:val="24"/>
          <w:szCs w:val="24"/>
        </w:rPr>
        <w:t xml:space="preserve"> for which</w:t>
      </w:r>
      <w:r>
        <w:rPr>
          <w:rFonts w:ascii="Times New Roman" w:hAnsi="Times New Roman" w:cs="Times New Roman"/>
          <w:sz w:val="24"/>
          <w:szCs w:val="24"/>
        </w:rPr>
        <w:t xml:space="preserve"> the injured employee</w:t>
      </w:r>
      <w:r w:rsidRPr="007309AE">
        <w:rPr>
          <w:rFonts w:ascii="Times New Roman" w:hAnsi="Times New Roman" w:cs="Times New Roman"/>
          <w:sz w:val="24"/>
          <w:szCs w:val="24"/>
        </w:rPr>
        <w:t xml:space="preserve"> is reasonably suited by experience or training</w:t>
      </w:r>
      <w:r>
        <w:rPr>
          <w:rFonts w:ascii="Times New Roman" w:hAnsi="Times New Roman" w:cs="Times New Roman"/>
          <w:sz w:val="24"/>
          <w:szCs w:val="24"/>
        </w:rPr>
        <w:t xml:space="preserve"> </w:t>
      </w:r>
      <w:r w:rsidRPr="003E298B">
        <w:rPr>
          <w:rFonts w:ascii="Times New Roman" w:hAnsi="Times New Roman" w:cs="Times New Roman"/>
          <w:b/>
          <w:sz w:val="24"/>
          <w:szCs w:val="24"/>
        </w:rPr>
        <w:t>cannot be obtained</w:t>
      </w:r>
      <w:r w:rsidRPr="007309AE">
        <w:rPr>
          <w:rFonts w:ascii="Times New Roman" w:hAnsi="Times New Roman" w:cs="Times New Roman"/>
          <w:sz w:val="24"/>
          <w:szCs w:val="24"/>
        </w:rPr>
        <w:t xml:space="preserve">, and </w:t>
      </w:r>
      <w:r>
        <w:rPr>
          <w:rFonts w:ascii="Times New Roman" w:hAnsi="Times New Roman" w:cs="Times New Roman"/>
          <w:sz w:val="24"/>
          <w:szCs w:val="24"/>
        </w:rPr>
        <w:t xml:space="preserve">the employee </w:t>
      </w:r>
      <w:r w:rsidRPr="007309AE">
        <w:rPr>
          <w:rFonts w:ascii="Times New Roman" w:hAnsi="Times New Roman" w:cs="Times New Roman"/>
          <w:sz w:val="24"/>
          <w:szCs w:val="24"/>
        </w:rPr>
        <w:t xml:space="preserve">is </w:t>
      </w:r>
      <w:r w:rsidRPr="003E298B">
        <w:rPr>
          <w:rFonts w:ascii="Times New Roman" w:hAnsi="Times New Roman" w:cs="Times New Roman"/>
          <w:b/>
          <w:sz w:val="24"/>
          <w:szCs w:val="24"/>
        </w:rPr>
        <w:t>certified temporarily totally disabled by the treating physician</w:t>
      </w:r>
      <w:r w:rsidRPr="007309AE">
        <w:rPr>
          <w:rFonts w:ascii="Times New Roman" w:hAnsi="Times New Roman" w:cs="Times New Roman"/>
          <w:sz w:val="24"/>
          <w:szCs w:val="24"/>
        </w:rPr>
        <w:t>;</w:t>
      </w:r>
      <w:r>
        <w:rPr>
          <w:rFonts w:ascii="Times New Roman" w:hAnsi="Times New Roman" w:cs="Times New Roman"/>
          <w:sz w:val="24"/>
          <w:szCs w:val="24"/>
        </w:rPr>
        <w:t xml:space="preserve"> </w:t>
      </w:r>
      <w:r w:rsidRPr="007309AE">
        <w:rPr>
          <w:rFonts w:ascii="Times New Roman" w:hAnsi="Times New Roman" w:cs="Times New Roman"/>
          <w:sz w:val="24"/>
          <w:szCs w:val="24"/>
        </w:rPr>
        <w:t xml:space="preserve">an </w:t>
      </w:r>
      <w:r w:rsidRPr="003E298B">
        <w:rPr>
          <w:rFonts w:ascii="Times New Roman" w:hAnsi="Times New Roman" w:cs="Times New Roman"/>
          <w:b/>
          <w:sz w:val="24"/>
          <w:szCs w:val="24"/>
        </w:rPr>
        <w:t>ascertainable loss</w:t>
      </w:r>
      <w:r w:rsidRPr="007309AE">
        <w:rPr>
          <w:rFonts w:ascii="Times New Roman" w:hAnsi="Times New Roman" w:cs="Times New Roman"/>
          <w:sz w:val="24"/>
          <w:szCs w:val="24"/>
        </w:rPr>
        <w:t xml:space="preserve"> from </w:t>
      </w:r>
      <w:r>
        <w:rPr>
          <w:rFonts w:ascii="Times New Roman" w:hAnsi="Times New Roman" w:cs="Times New Roman"/>
          <w:sz w:val="24"/>
          <w:szCs w:val="24"/>
        </w:rPr>
        <w:t>a</w:t>
      </w:r>
      <w:r w:rsidRPr="007309AE">
        <w:rPr>
          <w:rFonts w:ascii="Times New Roman" w:hAnsi="Times New Roman" w:cs="Times New Roman"/>
          <w:sz w:val="24"/>
          <w:szCs w:val="24"/>
        </w:rPr>
        <w:t xml:space="preserve"> work-related injury</w:t>
      </w:r>
      <w:r>
        <w:rPr>
          <w:rFonts w:ascii="Times New Roman" w:hAnsi="Times New Roman" w:cs="Times New Roman"/>
          <w:sz w:val="24"/>
          <w:szCs w:val="24"/>
        </w:rPr>
        <w:t xml:space="preserve"> is obtained</w:t>
      </w:r>
      <w:r w:rsidRPr="007309AE">
        <w:rPr>
          <w:rFonts w:ascii="Times New Roman" w:hAnsi="Times New Roman" w:cs="Times New Roman"/>
          <w:sz w:val="24"/>
          <w:szCs w:val="24"/>
        </w:rPr>
        <w:t xml:space="preserve"> and</w:t>
      </w:r>
      <w:r>
        <w:rPr>
          <w:rFonts w:ascii="Times New Roman" w:hAnsi="Times New Roman" w:cs="Times New Roman"/>
          <w:sz w:val="24"/>
          <w:szCs w:val="24"/>
        </w:rPr>
        <w:t xml:space="preserve"> leads to</w:t>
      </w:r>
      <w:r w:rsidRPr="007309AE">
        <w:rPr>
          <w:rFonts w:ascii="Times New Roman" w:hAnsi="Times New Roman" w:cs="Times New Roman"/>
          <w:sz w:val="24"/>
          <w:szCs w:val="24"/>
        </w:rPr>
        <w:t xml:space="preserve"> a PPI rating by </w:t>
      </w:r>
      <w:r>
        <w:rPr>
          <w:rFonts w:ascii="Times New Roman" w:hAnsi="Times New Roman" w:cs="Times New Roman"/>
          <w:sz w:val="24"/>
          <w:szCs w:val="24"/>
        </w:rPr>
        <w:t>the</w:t>
      </w:r>
      <w:r w:rsidRPr="007309AE">
        <w:rPr>
          <w:rFonts w:ascii="Times New Roman" w:hAnsi="Times New Roman" w:cs="Times New Roman"/>
          <w:sz w:val="24"/>
          <w:szCs w:val="24"/>
        </w:rPr>
        <w:t xml:space="preserve"> treating physician;</w:t>
      </w:r>
      <w:r>
        <w:rPr>
          <w:rFonts w:ascii="Times New Roman" w:hAnsi="Times New Roman" w:cs="Times New Roman"/>
          <w:sz w:val="24"/>
          <w:szCs w:val="24"/>
        </w:rPr>
        <w:t xml:space="preserve"> </w:t>
      </w:r>
      <w:r w:rsidRPr="007309AE">
        <w:rPr>
          <w:rFonts w:ascii="Times New Roman" w:hAnsi="Times New Roman" w:cs="Times New Roman"/>
          <w:sz w:val="24"/>
          <w:szCs w:val="24"/>
        </w:rPr>
        <w:t>light duty employment</w:t>
      </w:r>
      <w:r>
        <w:rPr>
          <w:rFonts w:ascii="Times New Roman" w:hAnsi="Times New Roman" w:cs="Times New Roman"/>
          <w:sz w:val="24"/>
          <w:szCs w:val="24"/>
        </w:rPr>
        <w:t xml:space="preserve"> is voluntarily terminated for reasons not associated with the work-related injury.</w:t>
      </w:r>
    </w:p>
    <w:p w14:paraId="65863873" w14:textId="77777777" w:rsidR="00FF7482" w:rsidRDefault="00FF7482" w:rsidP="00F02E62">
      <w:pPr>
        <w:pStyle w:val="ListParagraph"/>
        <w:spacing w:after="0"/>
        <w:ind w:left="0" w:firstLine="720"/>
        <w:jc w:val="both"/>
        <w:rPr>
          <w:rFonts w:ascii="Times New Roman" w:hAnsi="Times New Roman" w:cs="Times New Roman"/>
          <w:sz w:val="24"/>
          <w:szCs w:val="24"/>
        </w:rPr>
      </w:pPr>
    </w:p>
    <w:p w14:paraId="00B3D159" w14:textId="45224A2C" w:rsidR="00FF7482" w:rsidRPr="002859BE" w:rsidRDefault="00FF7482" w:rsidP="000361AE">
      <w:pPr>
        <w:pStyle w:val="Heading2"/>
        <w:rPr>
          <w:rFonts w:ascii="Times New Roman" w:hAnsi="Times New Roman" w:cs="Times New Roman"/>
          <w:b/>
          <w:color w:val="auto"/>
          <w:sz w:val="28"/>
          <w:szCs w:val="28"/>
        </w:rPr>
      </w:pPr>
      <w:bookmarkStart w:id="840" w:name="_Toc75269408"/>
      <w:r w:rsidRPr="002859BE">
        <w:rPr>
          <w:rFonts w:ascii="Times New Roman" w:hAnsi="Times New Roman" w:cs="Times New Roman"/>
          <w:b/>
          <w:color w:val="auto"/>
          <w:sz w:val="28"/>
          <w:szCs w:val="28"/>
        </w:rPr>
        <w:t>Deduction of Partial Benefits from Total Benefits Entitlement Under Wyoming Law</w:t>
      </w:r>
      <w:bookmarkEnd w:id="840"/>
    </w:p>
    <w:p w14:paraId="0CBE4889" w14:textId="33963996" w:rsidR="00FF7482" w:rsidRDefault="00FF7482" w:rsidP="007309AE">
      <w:pPr>
        <w:pStyle w:val="ListParagraph"/>
        <w:ind w:left="0" w:firstLine="720"/>
        <w:jc w:val="both"/>
        <w:rPr>
          <w:rFonts w:ascii="Times New Roman" w:hAnsi="Times New Roman" w:cs="Times New Roman"/>
          <w:sz w:val="24"/>
          <w:szCs w:val="24"/>
        </w:rPr>
      </w:pPr>
    </w:p>
    <w:p w14:paraId="3A16A81B" w14:textId="4F90D7B5" w:rsidR="00FF7482" w:rsidRDefault="00FF7482" w:rsidP="000361AE">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It will be recalled that under the Wyoming statute permanent total disability benefits are usually only available for 80 months. This short time frame is aggravated by an additional statutory rule that requires a deduction from the 80 month maximum for “</w:t>
      </w:r>
      <w:r w:rsidRPr="005E34D0">
        <w:rPr>
          <w:rFonts w:ascii="Times New Roman" w:hAnsi="Times New Roman" w:cs="Times New Roman"/>
          <w:sz w:val="24"/>
          <w:szCs w:val="24"/>
        </w:rPr>
        <w:t xml:space="preserve">any previous awards under </w:t>
      </w:r>
      <w:r w:rsidRPr="006C739F">
        <w:rPr>
          <w:rFonts w:ascii="Times New Roman" w:hAnsi="Times New Roman" w:cs="Times New Roman"/>
          <w:sz w:val="24"/>
          <w:szCs w:val="24"/>
        </w:rPr>
        <w:t>W.S. 27-14-405</w:t>
      </w:r>
      <w:r w:rsidRPr="005E34D0">
        <w:rPr>
          <w:rFonts w:ascii="Times New Roman" w:hAnsi="Times New Roman" w:cs="Times New Roman"/>
          <w:sz w:val="24"/>
          <w:szCs w:val="24"/>
        </w:rPr>
        <w:t xml:space="preserve"> which were involved in the determination of permanent total disability</w:t>
      </w:r>
      <w:r>
        <w:rPr>
          <w:rFonts w:ascii="Times New Roman" w:hAnsi="Times New Roman" w:cs="Times New Roman"/>
          <w:sz w:val="24"/>
          <w:szCs w:val="24"/>
        </w:rPr>
        <w:t>.”</w:t>
      </w:r>
      <w:r w:rsidR="009B1C8E">
        <w:rPr>
          <w:rStyle w:val="FootnoteReference"/>
          <w:rFonts w:ascii="Times New Roman" w:hAnsi="Times New Roman" w:cs="Times New Roman"/>
          <w:sz w:val="24"/>
          <w:szCs w:val="24"/>
        </w:rPr>
        <w:footnoteReference w:id="592"/>
      </w:r>
      <w:r>
        <w:rPr>
          <w:rFonts w:ascii="Times New Roman" w:hAnsi="Times New Roman" w:cs="Times New Roman"/>
          <w:sz w:val="24"/>
          <w:szCs w:val="24"/>
        </w:rPr>
        <w:t xml:space="preserve"> Furthermore, the deduction applies in connection with both permanent partial impairment (PPI) and permanent disability (PPD) benefits.</w:t>
      </w:r>
      <w:r w:rsidRPr="00910BB7">
        <w:rPr>
          <w:rFonts w:ascii="Times New Roman" w:hAnsi="Times New Roman" w:cs="Times New Roman"/>
          <w:sz w:val="24"/>
          <w:szCs w:val="24"/>
          <w:vertAlign w:val="superscript"/>
        </w:rPr>
        <w:footnoteReference w:id="593"/>
      </w:r>
      <w:r>
        <w:rPr>
          <w:rFonts w:ascii="Times New Roman" w:hAnsi="Times New Roman" w:cs="Times New Roman"/>
          <w:sz w:val="24"/>
          <w:szCs w:val="24"/>
        </w:rPr>
        <w:t xml:space="preserve"> Thus, to return to the example in Section 5.9.B above, it will be recalled that the hypothetical employee, B, was found entitled to 13 ¼ months of PPD benefits. Under current law, if that employee’s condition worsened to effectively create the employee’s permanent total disability, Employee B would only be entitled to 66 ¾ months of total benefits, an outcome that strikes this writer as potentially constitutionally problematic</w:t>
      </w:r>
      <w:r w:rsidR="000361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A1223E1" w14:textId="77777777" w:rsidR="00FF7482" w:rsidRPr="00A90745" w:rsidRDefault="00FF7482" w:rsidP="002404B7">
      <w:pPr>
        <w:pStyle w:val="ListParagraph"/>
        <w:spacing w:after="0"/>
        <w:ind w:left="0" w:firstLine="720"/>
        <w:jc w:val="both"/>
        <w:rPr>
          <w:rFonts w:ascii="Times New Roman" w:hAnsi="Times New Roman" w:cs="Times New Roman"/>
          <w:sz w:val="24"/>
          <w:szCs w:val="24"/>
        </w:rPr>
      </w:pPr>
    </w:p>
    <w:p w14:paraId="5B532055" w14:textId="55E94A2B" w:rsidR="00FF7482" w:rsidRPr="002859BE" w:rsidRDefault="00FF7482" w:rsidP="000361AE">
      <w:pPr>
        <w:pStyle w:val="Heading2"/>
        <w:rPr>
          <w:rFonts w:ascii="Times New Roman" w:hAnsi="Times New Roman" w:cs="Times New Roman"/>
          <w:b/>
          <w:color w:val="auto"/>
          <w:sz w:val="28"/>
          <w:szCs w:val="28"/>
        </w:rPr>
      </w:pPr>
      <w:bookmarkStart w:id="842" w:name="_Toc75269409"/>
      <w:r w:rsidRPr="002859BE">
        <w:rPr>
          <w:rFonts w:ascii="Times New Roman" w:hAnsi="Times New Roman" w:cs="Times New Roman"/>
          <w:b/>
          <w:color w:val="auto"/>
          <w:sz w:val="28"/>
          <w:szCs w:val="28"/>
        </w:rPr>
        <w:t>Death Benefits Generally</w:t>
      </w:r>
      <w:bookmarkEnd w:id="842"/>
    </w:p>
    <w:p w14:paraId="2E5011B6" w14:textId="77777777" w:rsidR="00FF7482" w:rsidRDefault="00FF7482" w:rsidP="00580653">
      <w:pPr>
        <w:spacing w:after="0"/>
        <w:rPr>
          <w:rFonts w:ascii="Times New Roman" w:hAnsi="Times New Roman" w:cs="Times New Roman"/>
          <w:sz w:val="24"/>
          <w:szCs w:val="24"/>
        </w:rPr>
      </w:pPr>
    </w:p>
    <w:p w14:paraId="64C86A4A" w14:textId="6D8F75D3" w:rsidR="00FF7482" w:rsidRDefault="00FF7482" w:rsidP="00580653">
      <w:pPr>
        <w:spacing w:after="0"/>
        <w:jc w:val="both"/>
        <w:rPr>
          <w:rFonts w:ascii="Times New Roman" w:hAnsi="Times New Roman" w:cs="Times New Roman"/>
          <w:sz w:val="24"/>
          <w:szCs w:val="24"/>
        </w:rPr>
      </w:pPr>
      <w:r>
        <w:rPr>
          <w:rFonts w:ascii="Times New Roman" w:hAnsi="Times New Roman" w:cs="Times New Roman"/>
          <w:sz w:val="24"/>
          <w:szCs w:val="24"/>
        </w:rPr>
        <w:t>The story of death benefits in workers’ compensation law is an interesting one. Because of the dangerousness of work in the late 19</w:t>
      </w:r>
      <w:r w:rsidRPr="009D58C5">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20</w:t>
      </w:r>
      <w:r w:rsidRPr="009D58C5">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a workers’ compensation model not providing for benefits for death caused by a </w:t>
      </w:r>
      <w:r>
        <w:rPr>
          <w:rFonts w:ascii="Times New Roman" w:hAnsi="Times New Roman" w:cs="Times New Roman"/>
          <w:sz w:val="24"/>
          <w:szCs w:val="24"/>
        </w:rPr>
        <w:lastRenderedPageBreak/>
        <w:t>work-related injury would have been wholly inadequate. Yet the idea that tort causes of action survived the death of the plaintiff did not begin to gain currency in the Anglo-American legal world until the passage of Lord Campbell’s Act of 1846 in England.</w:t>
      </w:r>
      <w:r w:rsidRPr="00910BB7">
        <w:rPr>
          <w:rFonts w:ascii="Times New Roman" w:hAnsi="Times New Roman" w:cs="Times New Roman"/>
          <w:sz w:val="24"/>
          <w:szCs w:val="24"/>
          <w:vertAlign w:val="superscript"/>
        </w:rPr>
        <w:footnoteReference w:id="594"/>
      </w:r>
      <w:r>
        <w:rPr>
          <w:rFonts w:ascii="Times New Roman" w:hAnsi="Times New Roman" w:cs="Times New Roman"/>
          <w:sz w:val="24"/>
          <w:szCs w:val="24"/>
        </w:rPr>
        <w:t xml:space="preserve"> By 1871, thirty of the then-established thirty-seven United States had enacted “wrongful death” statutes and the development became universal soon thereafter.</w:t>
      </w:r>
      <w:r w:rsidRPr="00910BB7">
        <w:rPr>
          <w:rFonts w:ascii="Times New Roman" w:hAnsi="Times New Roman" w:cs="Times New Roman"/>
          <w:sz w:val="24"/>
          <w:szCs w:val="24"/>
          <w:vertAlign w:val="superscript"/>
        </w:rPr>
        <w:footnoteReference w:id="595"/>
      </w:r>
      <w:r>
        <w:rPr>
          <w:rFonts w:ascii="Times New Roman" w:hAnsi="Times New Roman" w:cs="Times New Roman"/>
          <w:sz w:val="24"/>
          <w:szCs w:val="24"/>
        </w:rPr>
        <w:t xml:space="preserve"> Thus, by the time of the American reception of the workers’ compensation quid pro quo, the absence of a death benefit would have been noticeably asymmetrical. All states now provide for workers’ compensation death benefits for the dependents—as carefully defined—of deceased injured workers.</w:t>
      </w:r>
      <w:r w:rsidRPr="00910BB7">
        <w:rPr>
          <w:rFonts w:ascii="Times New Roman" w:hAnsi="Times New Roman" w:cs="Times New Roman"/>
          <w:sz w:val="24"/>
          <w:szCs w:val="24"/>
          <w:vertAlign w:val="superscript"/>
        </w:rPr>
        <w:footnoteReference w:id="596"/>
      </w:r>
      <w:r>
        <w:rPr>
          <w:rFonts w:ascii="Times New Roman" w:hAnsi="Times New Roman" w:cs="Times New Roman"/>
          <w:sz w:val="24"/>
          <w:szCs w:val="24"/>
        </w:rPr>
        <w:t xml:space="preserve"> </w:t>
      </w:r>
    </w:p>
    <w:p w14:paraId="71262B5A" w14:textId="77777777" w:rsidR="00FF7482" w:rsidRDefault="00FF7482" w:rsidP="00580653">
      <w:pPr>
        <w:spacing w:after="0"/>
        <w:jc w:val="both"/>
        <w:rPr>
          <w:rFonts w:ascii="Times New Roman" w:hAnsi="Times New Roman" w:cs="Times New Roman"/>
          <w:sz w:val="24"/>
          <w:szCs w:val="24"/>
        </w:rPr>
      </w:pPr>
    </w:p>
    <w:p w14:paraId="48D3081B" w14:textId="49B9E844" w:rsidR="00FF7482" w:rsidRDefault="00FF7482" w:rsidP="00A928BA">
      <w:pPr>
        <w:spacing w:after="0"/>
        <w:jc w:val="both"/>
        <w:rPr>
          <w:rFonts w:ascii="Times New Roman" w:hAnsi="Times New Roman" w:cs="Times New Roman"/>
          <w:sz w:val="24"/>
          <w:szCs w:val="24"/>
        </w:rPr>
      </w:pPr>
      <w:r>
        <w:rPr>
          <w:rFonts w:ascii="Times New Roman" w:hAnsi="Times New Roman" w:cs="Times New Roman"/>
          <w:sz w:val="24"/>
          <w:szCs w:val="24"/>
        </w:rPr>
        <w:t>Workers’ compensation death benefits vary from state to state but all such workers’ compensation provisions possess similar features. Benefits are provided to “dependents” of workers who are killed as a result of a work-related injury. Dependency is carefully defined and eligibility is conditioned on the dependent belonging to a certain class of familiar relations. With respect to certain dependents, most commonly spouses and children, dependency is presumed. With respect to other potentially eligible beneficiaries, dependency (within the meaning of state law) must be established by the claimant.</w:t>
      </w:r>
      <w:r w:rsidRPr="00910BB7">
        <w:rPr>
          <w:rFonts w:ascii="Times New Roman" w:hAnsi="Times New Roman" w:cs="Times New Roman"/>
          <w:sz w:val="24"/>
          <w:szCs w:val="24"/>
          <w:vertAlign w:val="superscript"/>
        </w:rPr>
        <w:footnoteReference w:id="597"/>
      </w:r>
      <w:r>
        <w:rPr>
          <w:rFonts w:ascii="Times New Roman" w:hAnsi="Times New Roman" w:cs="Times New Roman"/>
          <w:sz w:val="24"/>
          <w:szCs w:val="24"/>
        </w:rPr>
        <w:t xml:space="preserve"> Statutes vary as to the amount and duration of the indemnity benefit paid to survivors/statutory beneficiaries. </w:t>
      </w:r>
    </w:p>
    <w:p w14:paraId="0D22930F" w14:textId="77777777" w:rsidR="00FF7482" w:rsidRDefault="00FF7482" w:rsidP="00A928BA">
      <w:pPr>
        <w:spacing w:after="0"/>
        <w:jc w:val="both"/>
        <w:rPr>
          <w:rFonts w:ascii="Times New Roman" w:hAnsi="Times New Roman" w:cs="Times New Roman"/>
          <w:sz w:val="24"/>
          <w:szCs w:val="24"/>
        </w:rPr>
      </w:pPr>
    </w:p>
    <w:p w14:paraId="3298A105" w14:textId="48700C2A" w:rsidR="00FF7482" w:rsidRPr="00A75A86" w:rsidRDefault="00FF7482" w:rsidP="00685560">
      <w:pPr>
        <w:pStyle w:val="Heading2"/>
        <w:rPr>
          <w:rFonts w:ascii="Times New Roman" w:hAnsi="Times New Roman" w:cs="Times New Roman"/>
          <w:b/>
          <w:color w:val="auto"/>
          <w:sz w:val="28"/>
          <w:szCs w:val="28"/>
        </w:rPr>
      </w:pPr>
      <w:bookmarkStart w:id="848" w:name="_Toc75269410"/>
      <w:r w:rsidRPr="00A75A86">
        <w:rPr>
          <w:rFonts w:ascii="Times New Roman" w:hAnsi="Times New Roman" w:cs="Times New Roman"/>
          <w:b/>
          <w:color w:val="auto"/>
          <w:sz w:val="28"/>
          <w:szCs w:val="28"/>
        </w:rPr>
        <w:t>Death Benefits in Wyoming</w:t>
      </w:r>
      <w:bookmarkEnd w:id="848"/>
    </w:p>
    <w:p w14:paraId="241036C8" w14:textId="77777777" w:rsidR="00FF7482" w:rsidRDefault="00FF7482" w:rsidP="003A51BF">
      <w:pPr>
        <w:spacing w:after="0"/>
        <w:rPr>
          <w:rFonts w:ascii="Times New Roman" w:hAnsi="Times New Roman" w:cs="Times New Roman"/>
          <w:sz w:val="24"/>
          <w:szCs w:val="24"/>
        </w:rPr>
      </w:pPr>
    </w:p>
    <w:p w14:paraId="640E70DD" w14:textId="261F1277" w:rsidR="00FF7482" w:rsidRDefault="00FF7482" w:rsidP="007309AE">
      <w:pPr>
        <w:rPr>
          <w:rFonts w:ascii="Times New Roman" w:hAnsi="Times New Roman" w:cs="Times New Roman"/>
          <w:b/>
          <w:sz w:val="24"/>
          <w:szCs w:val="24"/>
        </w:rPr>
      </w:pPr>
      <w:r w:rsidRPr="00C41876">
        <w:rPr>
          <w:rFonts w:ascii="Times New Roman" w:hAnsi="Times New Roman" w:cs="Times New Roman"/>
          <w:b/>
          <w:sz w:val="24"/>
          <w:szCs w:val="24"/>
          <w:u w:val="single"/>
        </w:rPr>
        <w:t xml:space="preserve">Workers’ compensation death benefits are defined by statute under </w:t>
      </w:r>
      <w:bookmarkStart w:id="849" w:name="_Hlk534900636"/>
      <w:r w:rsidRPr="00BD6F81">
        <w:rPr>
          <w:rFonts w:ascii="Times New Roman" w:hAnsi="Times New Roman" w:cs="Times New Roman"/>
          <w:b/>
          <w:sz w:val="24"/>
          <w:szCs w:val="24"/>
          <w:u w:val="single"/>
        </w:rPr>
        <w:t xml:space="preserve">W.S. § </w:t>
      </w:r>
      <w:hyperlink r:id="rId111" w:history="1">
        <w:r w:rsidRPr="00BD6F81">
          <w:rPr>
            <w:rStyle w:val="Hyperlink"/>
            <w:rFonts w:ascii="Times New Roman" w:hAnsi="Times New Roman" w:cs="Times New Roman"/>
            <w:b/>
            <w:sz w:val="24"/>
            <w:szCs w:val="24"/>
          </w:rPr>
          <w:t>27-14-403</w:t>
        </w:r>
        <w:bookmarkEnd w:id="849"/>
      </w:hyperlink>
      <w:r w:rsidRPr="00C41876">
        <w:rPr>
          <w:rFonts w:ascii="Times New Roman" w:hAnsi="Times New Roman" w:cs="Times New Roman"/>
          <w:b/>
          <w:sz w:val="24"/>
          <w:szCs w:val="24"/>
          <w:u w:val="single"/>
        </w:rPr>
        <w:t xml:space="preserve"> (b), (d) &amp; (e) and </w:t>
      </w:r>
      <w:r w:rsidRPr="00BD6F81">
        <w:rPr>
          <w:rFonts w:ascii="Times New Roman" w:hAnsi="Times New Roman" w:cs="Times New Roman"/>
          <w:b/>
          <w:sz w:val="24"/>
          <w:szCs w:val="24"/>
        </w:rPr>
        <w:t xml:space="preserve">W.S. § </w:t>
      </w:r>
      <w:hyperlink r:id="rId112" w:history="1">
        <w:r w:rsidRPr="00BD6F81">
          <w:rPr>
            <w:rStyle w:val="Hyperlink"/>
            <w:rFonts w:ascii="Times New Roman" w:hAnsi="Times New Roman" w:cs="Times New Roman"/>
            <w:b/>
            <w:sz w:val="24"/>
            <w:szCs w:val="24"/>
          </w:rPr>
          <w:t>27-14-601</w:t>
        </w:r>
      </w:hyperlink>
      <w:r w:rsidRPr="00BD6F81">
        <w:rPr>
          <w:rFonts w:ascii="Times New Roman" w:hAnsi="Times New Roman" w:cs="Times New Roman"/>
          <w:b/>
          <w:sz w:val="24"/>
          <w:szCs w:val="24"/>
        </w:rPr>
        <w:t>(a)</w:t>
      </w:r>
      <w:r w:rsidRPr="003A27F9">
        <w:rPr>
          <w:rFonts w:ascii="Times New Roman" w:hAnsi="Times New Roman" w:cs="Times New Roman"/>
          <w:bCs/>
          <w:sz w:val="24"/>
          <w:szCs w:val="24"/>
        </w:rPr>
        <w:t>.</w:t>
      </w:r>
      <w:r w:rsidRPr="00BD6F81">
        <w:rPr>
          <w:rFonts w:ascii="Times New Roman" w:hAnsi="Times New Roman" w:cs="Times New Roman"/>
          <w:b/>
          <w:sz w:val="24"/>
          <w:szCs w:val="24"/>
        </w:rPr>
        <w:t xml:space="preserve"> </w:t>
      </w:r>
      <w:bookmarkStart w:id="850" w:name="_Hlk532466504"/>
      <w:r w:rsidRPr="00B335FA">
        <w:rPr>
          <w:rFonts w:ascii="Times New Roman" w:hAnsi="Times New Roman" w:cs="Times New Roman"/>
          <w:b/>
          <w:sz w:val="24"/>
          <w:szCs w:val="24"/>
        </w:rPr>
        <w:t xml:space="preserve"> </w:t>
      </w:r>
      <w:bookmarkEnd w:id="850"/>
    </w:p>
    <w:p w14:paraId="5234C9E8" w14:textId="487CCD1C" w:rsidR="00FF7482" w:rsidRDefault="00FF7482" w:rsidP="001A2150">
      <w:pPr>
        <w:spacing w:after="0"/>
        <w:jc w:val="both"/>
        <w:rPr>
          <w:rFonts w:ascii="Times New Roman" w:hAnsi="Times New Roman" w:cs="Times New Roman"/>
          <w:sz w:val="24"/>
          <w:szCs w:val="24"/>
        </w:rPr>
      </w:pPr>
      <w:r>
        <w:rPr>
          <w:rFonts w:ascii="Times New Roman" w:hAnsi="Times New Roman" w:cs="Times New Roman"/>
          <w:b/>
          <w:sz w:val="24"/>
          <w:szCs w:val="24"/>
        </w:rPr>
        <w:t>To begin with, case law holds that “</w:t>
      </w:r>
      <w:r w:rsidRPr="00BF7EF1">
        <w:rPr>
          <w:rFonts w:ascii="Times New Roman" w:hAnsi="Times New Roman" w:cs="Times New Roman"/>
          <w:b/>
          <w:sz w:val="24"/>
          <w:szCs w:val="24"/>
          <w:u w:val="single"/>
        </w:rPr>
        <w:t>in order for death to be compensable, the initial injury must be the direct cause of the employee's death</w:t>
      </w:r>
      <w:r w:rsidRPr="00891274">
        <w:rPr>
          <w:rFonts w:ascii="Times New Roman" w:hAnsi="Times New Roman" w:cs="Times New Roman"/>
          <w:b/>
          <w:sz w:val="24"/>
          <w:szCs w:val="24"/>
        </w:rPr>
        <w:t>.”</w:t>
      </w:r>
      <w:r w:rsidRPr="00910BB7">
        <w:rPr>
          <w:rFonts w:ascii="Times New Roman" w:hAnsi="Times New Roman" w:cs="Times New Roman"/>
          <w:bCs/>
          <w:sz w:val="24"/>
          <w:szCs w:val="24"/>
          <w:vertAlign w:val="superscript"/>
        </w:rPr>
        <w:footnoteReference w:id="598"/>
      </w:r>
      <w:r>
        <w:rPr>
          <w:rFonts w:ascii="Times New Roman" w:hAnsi="Times New Roman" w:cs="Times New Roman"/>
          <w:b/>
          <w:sz w:val="24"/>
          <w:szCs w:val="24"/>
        </w:rPr>
        <w:t xml:space="preserve"> Somewhat more vaguely, the statute requires that to qualify for death benefits the death must come about “</w:t>
      </w:r>
      <w:r w:rsidRPr="0055212F">
        <w:rPr>
          <w:rFonts w:ascii="Times New Roman" w:hAnsi="Times New Roman" w:cs="Times New Roman"/>
          <w:b/>
          <w:sz w:val="24"/>
          <w:szCs w:val="24"/>
          <w:u w:val="single"/>
        </w:rPr>
        <w:t>as a result of</w:t>
      </w:r>
      <w:r>
        <w:rPr>
          <w:rFonts w:ascii="Times New Roman" w:hAnsi="Times New Roman" w:cs="Times New Roman"/>
          <w:b/>
          <w:sz w:val="24"/>
          <w:szCs w:val="24"/>
        </w:rPr>
        <w:t>”</w:t>
      </w:r>
      <w:r w:rsidRPr="0055212F">
        <w:rPr>
          <w:rFonts w:ascii="Times New Roman" w:hAnsi="Times New Roman" w:cs="Times New Roman"/>
          <w:b/>
          <w:sz w:val="24"/>
          <w:szCs w:val="24"/>
        </w:rPr>
        <w:t xml:space="preserve"> the work</w:t>
      </w:r>
      <w:r w:rsidR="00301EA9">
        <w:rPr>
          <w:rFonts w:ascii="Times New Roman" w:hAnsi="Times New Roman" w:cs="Times New Roman"/>
          <w:b/>
          <w:sz w:val="24"/>
          <w:szCs w:val="24"/>
        </w:rPr>
        <w:t>-</w:t>
      </w:r>
      <w:r w:rsidRPr="0055212F">
        <w:rPr>
          <w:rFonts w:ascii="Times New Roman" w:hAnsi="Times New Roman" w:cs="Times New Roman"/>
          <w:b/>
          <w:sz w:val="24"/>
          <w:szCs w:val="24"/>
        </w:rPr>
        <w:t>related injury</w:t>
      </w:r>
      <w:r w:rsidRPr="003A27F9">
        <w:rPr>
          <w:rFonts w:ascii="Times New Roman" w:hAnsi="Times New Roman" w:cs="Times New Roman"/>
          <w:bCs/>
          <w:sz w:val="24"/>
          <w:szCs w:val="24"/>
        </w:rPr>
        <w:t>.</w:t>
      </w:r>
      <w:r w:rsidRPr="00910BB7">
        <w:rPr>
          <w:rFonts w:ascii="Times New Roman" w:hAnsi="Times New Roman" w:cs="Times New Roman"/>
          <w:sz w:val="24"/>
          <w:szCs w:val="24"/>
          <w:vertAlign w:val="superscript"/>
        </w:rPr>
        <w:footnoteReference w:id="599"/>
      </w:r>
      <w:r w:rsidRPr="0055212F">
        <w:rPr>
          <w:rFonts w:ascii="Times New Roman" w:hAnsi="Times New Roman" w:cs="Times New Roman"/>
          <w:b/>
          <w:sz w:val="24"/>
          <w:szCs w:val="24"/>
        </w:rPr>
        <w:t xml:space="preserve"> </w:t>
      </w:r>
      <w:r>
        <w:rPr>
          <w:rFonts w:ascii="Times New Roman" w:hAnsi="Times New Roman" w:cs="Times New Roman"/>
          <w:sz w:val="24"/>
          <w:szCs w:val="24"/>
        </w:rPr>
        <w:t xml:space="preserve">However, whether a work-related injury has “directly” caused or “resulted” in a death is sometimes a surprisingly fact-intensive inquiry. Thus in </w:t>
      </w:r>
      <w:r w:rsidRPr="009C7CC6">
        <w:rPr>
          <w:rFonts w:ascii="Times New Roman" w:hAnsi="Times New Roman" w:cs="Times New Roman"/>
          <w:i/>
          <w:sz w:val="24"/>
          <w:szCs w:val="24"/>
        </w:rPr>
        <w:t>In re Fisher</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00"/>
      </w:r>
      <w:r>
        <w:rPr>
          <w:rFonts w:ascii="Times New Roman" w:hAnsi="Times New Roman" w:cs="Times New Roman"/>
          <w:sz w:val="24"/>
          <w:szCs w:val="24"/>
        </w:rPr>
        <w:t xml:space="preserve"> a worker previously rendered quadriplegic by a work-related injury died in a non-work-related fire.</w:t>
      </w:r>
      <w:r w:rsidRPr="00910BB7">
        <w:rPr>
          <w:rFonts w:ascii="Times New Roman" w:hAnsi="Times New Roman" w:cs="Times New Roman"/>
          <w:sz w:val="24"/>
          <w:szCs w:val="24"/>
          <w:vertAlign w:val="superscript"/>
        </w:rPr>
        <w:footnoteReference w:id="601"/>
      </w:r>
      <w:r>
        <w:rPr>
          <w:rFonts w:ascii="Times New Roman" w:hAnsi="Times New Roman" w:cs="Times New Roman"/>
          <w:sz w:val="24"/>
          <w:szCs w:val="24"/>
        </w:rPr>
        <w:t xml:space="preserve"> The Wyoming Supreme Court, somewhat unusually deciding the case on behalf of lower tribunals, “</w:t>
      </w:r>
      <w:r w:rsidRPr="009C7CC6">
        <w:rPr>
          <w:rFonts w:ascii="Times New Roman" w:hAnsi="Times New Roman" w:cs="Times New Roman"/>
          <w:sz w:val="24"/>
          <w:szCs w:val="24"/>
        </w:rPr>
        <w:t>conclude</w:t>
      </w:r>
      <w:r>
        <w:rPr>
          <w:rFonts w:ascii="Times New Roman" w:hAnsi="Times New Roman" w:cs="Times New Roman"/>
          <w:sz w:val="24"/>
          <w:szCs w:val="24"/>
        </w:rPr>
        <w:t>[d]</w:t>
      </w:r>
      <w:r w:rsidRPr="009C7CC6">
        <w:rPr>
          <w:rFonts w:ascii="Times New Roman" w:hAnsi="Times New Roman" w:cs="Times New Roman"/>
          <w:sz w:val="24"/>
          <w:szCs w:val="24"/>
        </w:rPr>
        <w:t xml:space="preserve"> that there is not substantial evidence to sustain the </w:t>
      </w:r>
      <w:r w:rsidRPr="009C7CC6">
        <w:rPr>
          <w:rFonts w:ascii="Times New Roman" w:hAnsi="Times New Roman" w:cs="Times New Roman"/>
          <w:sz w:val="24"/>
          <w:szCs w:val="24"/>
        </w:rPr>
        <w:lastRenderedPageBreak/>
        <w:t xml:space="preserve">hearing examiner's findings and, therefore, we will reverse and remand to the district court </w:t>
      </w:r>
      <w:r w:rsidRPr="00155FAB">
        <w:rPr>
          <w:rFonts w:ascii="Times New Roman" w:hAnsi="Times New Roman" w:cs="Times New Roman"/>
          <w:i/>
          <w:sz w:val="24"/>
          <w:szCs w:val="24"/>
        </w:rPr>
        <w:t>with directions that it further remand to the hearing examiner with directions that the applicable death benefits be awarded to Mrs. Fisher</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02"/>
      </w:r>
      <w:r>
        <w:rPr>
          <w:rFonts w:ascii="Times New Roman" w:hAnsi="Times New Roman" w:cs="Times New Roman"/>
          <w:sz w:val="24"/>
          <w:szCs w:val="24"/>
        </w:rPr>
        <w:t xml:space="preserve"> The Court explained:</w:t>
      </w:r>
    </w:p>
    <w:p w14:paraId="76D5799E" w14:textId="77777777" w:rsidR="001A2150" w:rsidRDefault="001A2150" w:rsidP="001A2150">
      <w:pPr>
        <w:spacing w:after="0"/>
        <w:jc w:val="both"/>
        <w:rPr>
          <w:rFonts w:ascii="Times New Roman" w:hAnsi="Times New Roman" w:cs="Times New Roman"/>
          <w:sz w:val="24"/>
          <w:szCs w:val="24"/>
        </w:rPr>
      </w:pPr>
    </w:p>
    <w:p w14:paraId="279823D2" w14:textId="4B0BD532" w:rsidR="00FF7482" w:rsidRDefault="00FF7482" w:rsidP="001A2150">
      <w:pPr>
        <w:spacing w:after="0"/>
        <w:ind w:left="720" w:right="720"/>
        <w:jc w:val="both"/>
        <w:rPr>
          <w:rStyle w:val="Hyperlink"/>
          <w:rFonts w:ascii="Times New Roman" w:hAnsi="Times New Roman" w:cs="Times New Roman"/>
          <w:sz w:val="24"/>
          <w:szCs w:val="24"/>
          <w:vertAlign w:val="superscript"/>
        </w:rPr>
      </w:pPr>
      <w:r w:rsidRPr="00155FAB">
        <w:rPr>
          <w:rFonts w:ascii="Times New Roman" w:hAnsi="Times New Roman" w:cs="Times New Roman"/>
          <w:sz w:val="24"/>
          <w:szCs w:val="24"/>
        </w:rPr>
        <w:t>We conclude that “result” is used in its most general sense, and in this context, it simply means “something that results as a consequence, effect, issue, or conclusion &lt;suffer from the [results] of war&gt; &lt;the causes and [results] of sleeping sickness&gt;.” Webster's Third New International Dictionary, 1937 (1986); also see “result,” 37A Words and Phrases, 423–24 (2004). The testimony at trial was uncontradicted that it was the paraplegia that resulted in Mr. Fisher's death and that but for the effects of his workplace injury, he most likely would have fully recovered from the effects and consequences of the smoke inhalation.</w:t>
      </w:r>
      <w:r w:rsidRPr="00910BB7">
        <w:rPr>
          <w:rFonts w:ascii="Times New Roman" w:hAnsi="Times New Roman" w:cs="Times New Roman"/>
          <w:sz w:val="24"/>
          <w:szCs w:val="24"/>
          <w:vertAlign w:val="superscript"/>
        </w:rPr>
        <w:footnoteReference w:id="603"/>
      </w:r>
    </w:p>
    <w:p w14:paraId="513A99CF" w14:textId="77777777" w:rsidR="003A27F9" w:rsidRDefault="003A27F9" w:rsidP="003A27F9">
      <w:pPr>
        <w:spacing w:after="0"/>
        <w:ind w:left="720" w:right="720"/>
        <w:jc w:val="both"/>
        <w:rPr>
          <w:rFonts w:ascii="Times New Roman" w:hAnsi="Times New Roman" w:cs="Times New Roman"/>
          <w:sz w:val="24"/>
          <w:szCs w:val="24"/>
        </w:rPr>
      </w:pPr>
    </w:p>
    <w:p w14:paraId="24E478FE" w14:textId="07A0526D" w:rsidR="00FF7482" w:rsidRDefault="00FF7482" w:rsidP="003A27F9">
      <w:pPr>
        <w:spacing w:after="0"/>
        <w:jc w:val="both"/>
        <w:rPr>
          <w:rFonts w:ascii="Times New Roman" w:hAnsi="Times New Roman" w:cs="Times New Roman"/>
          <w:sz w:val="24"/>
          <w:szCs w:val="24"/>
        </w:rPr>
      </w:pPr>
      <w:r>
        <w:rPr>
          <w:rFonts w:ascii="Times New Roman" w:hAnsi="Times New Roman" w:cs="Times New Roman"/>
          <w:sz w:val="24"/>
          <w:szCs w:val="24"/>
        </w:rPr>
        <w:t>The agency below had argued that the claimant’s decedent “</w:t>
      </w:r>
      <w:r w:rsidRPr="00D07CDC">
        <w:rPr>
          <w:rFonts w:ascii="Times New Roman" w:hAnsi="Times New Roman" w:cs="Times New Roman"/>
          <w:sz w:val="24"/>
          <w:szCs w:val="24"/>
        </w:rPr>
        <w:t>did not die as a result of the work-related injury.</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04"/>
      </w:r>
      <w:r>
        <w:rPr>
          <w:rFonts w:ascii="Times New Roman" w:hAnsi="Times New Roman" w:cs="Times New Roman"/>
          <w:sz w:val="24"/>
          <w:szCs w:val="24"/>
        </w:rPr>
        <w:t xml:space="preserve"> The Court distinguished earlier precedent in </w:t>
      </w:r>
      <w:r w:rsidRPr="00911682">
        <w:rPr>
          <w:rFonts w:ascii="Times New Roman" w:hAnsi="Times New Roman" w:cs="Times New Roman"/>
          <w:i/>
          <w:sz w:val="24"/>
          <w:szCs w:val="24"/>
        </w:rPr>
        <w:t>Workers</w:t>
      </w:r>
      <w:r>
        <w:rPr>
          <w:rFonts w:ascii="Times New Roman" w:hAnsi="Times New Roman" w:cs="Times New Roman"/>
          <w:i/>
          <w:sz w:val="24"/>
          <w:szCs w:val="24"/>
        </w:rPr>
        <w:t>’</w:t>
      </w:r>
      <w:r w:rsidRPr="00911682">
        <w:rPr>
          <w:rFonts w:ascii="Times New Roman" w:hAnsi="Times New Roman" w:cs="Times New Roman"/>
          <w:i/>
          <w:sz w:val="24"/>
          <w:szCs w:val="24"/>
        </w:rPr>
        <w:t xml:space="preserve"> Safety </w:t>
      </w:r>
      <w:r>
        <w:rPr>
          <w:rFonts w:ascii="Times New Roman" w:hAnsi="Times New Roman" w:cs="Times New Roman"/>
          <w:i/>
          <w:sz w:val="24"/>
          <w:szCs w:val="24"/>
        </w:rPr>
        <w:t>&amp;</w:t>
      </w:r>
      <w:r w:rsidRPr="00911682">
        <w:rPr>
          <w:rFonts w:ascii="Times New Roman" w:hAnsi="Times New Roman" w:cs="Times New Roman"/>
          <w:i/>
          <w:sz w:val="24"/>
          <w:szCs w:val="24"/>
        </w:rPr>
        <w:t xml:space="preserve"> Compensation Div</w:t>
      </w:r>
      <w:r>
        <w:rPr>
          <w:rFonts w:ascii="Times New Roman" w:hAnsi="Times New Roman" w:cs="Times New Roman"/>
          <w:i/>
          <w:sz w:val="24"/>
          <w:szCs w:val="24"/>
        </w:rPr>
        <w:t>.</w:t>
      </w:r>
      <w:r w:rsidRPr="00911682">
        <w:rPr>
          <w:rFonts w:ascii="Times New Roman" w:hAnsi="Times New Roman" w:cs="Times New Roman"/>
          <w:i/>
          <w:sz w:val="24"/>
          <w:szCs w:val="24"/>
        </w:rPr>
        <w:t xml:space="preserve"> v. Bruhn</w:t>
      </w:r>
      <w:r w:rsidRPr="00D07CDC">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05"/>
      </w:r>
      <w:r w:rsidRPr="00D07CDC">
        <w:rPr>
          <w:rFonts w:ascii="Times New Roman" w:hAnsi="Times New Roman" w:cs="Times New Roman"/>
          <w:sz w:val="24"/>
          <w:szCs w:val="24"/>
        </w:rPr>
        <w:t xml:space="preserve"> In </w:t>
      </w:r>
      <w:r w:rsidRPr="00911682">
        <w:rPr>
          <w:rFonts w:ascii="Times New Roman" w:hAnsi="Times New Roman" w:cs="Times New Roman"/>
          <w:i/>
          <w:sz w:val="24"/>
          <w:szCs w:val="24"/>
        </w:rPr>
        <w:t>Bruhn</w:t>
      </w:r>
      <w:r w:rsidRPr="00D07CDC">
        <w:rPr>
          <w:rFonts w:ascii="Times New Roman" w:hAnsi="Times New Roman" w:cs="Times New Roman"/>
          <w:sz w:val="24"/>
          <w:szCs w:val="24"/>
        </w:rPr>
        <w:t>, the employee died as the result of injuries suffered in an automobile accident that occurred when she was returning home from a doctor's appointment at which she received care for the injury that she suffered at work</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06"/>
      </w:r>
      <w:r>
        <w:rPr>
          <w:rFonts w:ascii="Times New Roman" w:hAnsi="Times New Roman" w:cs="Times New Roman"/>
          <w:sz w:val="24"/>
          <w:szCs w:val="24"/>
        </w:rPr>
        <w:t xml:space="preserve"> The Wyoming Supreme Court upheld the denial of death benefits. The Court quoted the Division’s position in </w:t>
      </w:r>
      <w:r w:rsidRPr="00CF4B80">
        <w:rPr>
          <w:rFonts w:ascii="Times New Roman" w:hAnsi="Times New Roman" w:cs="Times New Roman"/>
          <w:i/>
          <w:sz w:val="24"/>
          <w:szCs w:val="24"/>
        </w:rPr>
        <w:t>Bruhn</w:t>
      </w:r>
      <w:r>
        <w:rPr>
          <w:rFonts w:ascii="Times New Roman" w:hAnsi="Times New Roman" w:cs="Times New Roman"/>
          <w:sz w:val="24"/>
          <w:szCs w:val="24"/>
        </w:rPr>
        <w:t xml:space="preserve"> with approval:</w:t>
      </w:r>
    </w:p>
    <w:p w14:paraId="4D61016A" w14:textId="77777777" w:rsidR="003A27F9" w:rsidRDefault="003A27F9" w:rsidP="003A27F9">
      <w:pPr>
        <w:spacing w:after="0"/>
        <w:jc w:val="both"/>
        <w:rPr>
          <w:rFonts w:ascii="Times New Roman" w:hAnsi="Times New Roman" w:cs="Times New Roman"/>
          <w:sz w:val="24"/>
          <w:szCs w:val="24"/>
        </w:rPr>
      </w:pPr>
    </w:p>
    <w:p w14:paraId="426DC470" w14:textId="1658BCB5" w:rsidR="00FF7482" w:rsidRDefault="00FF7482" w:rsidP="003A27F9">
      <w:pPr>
        <w:spacing w:after="0"/>
        <w:ind w:left="720" w:right="720"/>
        <w:jc w:val="both"/>
        <w:rPr>
          <w:rStyle w:val="Hyperlink"/>
          <w:rFonts w:ascii="Times New Roman" w:hAnsi="Times New Roman" w:cs="Times New Roman"/>
          <w:sz w:val="24"/>
          <w:szCs w:val="24"/>
          <w:vertAlign w:val="superscript"/>
        </w:rPr>
      </w:pPr>
      <w:r>
        <w:rPr>
          <w:rFonts w:ascii="Times New Roman" w:hAnsi="Times New Roman" w:cs="Times New Roman"/>
          <w:sz w:val="24"/>
          <w:szCs w:val="24"/>
        </w:rPr>
        <w:t>[I]</w:t>
      </w:r>
      <w:r w:rsidRPr="00CF4B80">
        <w:rPr>
          <w:rFonts w:ascii="Times New Roman" w:hAnsi="Times New Roman" w:cs="Times New Roman"/>
          <w:sz w:val="24"/>
          <w:szCs w:val="24"/>
        </w:rPr>
        <w:t>t would be impossible to ever cut off compensability if we were to adopt the hearing examiner's interpretation of the causation requirement. Would we compensate an employee who wrecked her car and died because she fell asleep at the wheel while she was on her way to see her doctor? Would we compensate an employee who was killed by a drunk driver while she was on her way home from her doctor's appointment? A logical end would not exist to the causation test which the hearing examiner proposes. Furthermore, it would lead to too many abuses, and the worker's compensation fund would, in effect, become a general health and accident insurance fund, a purpose for which it was not intended.</w:t>
      </w:r>
      <w:r w:rsidRPr="00910BB7">
        <w:rPr>
          <w:rFonts w:ascii="Times New Roman" w:hAnsi="Times New Roman" w:cs="Times New Roman"/>
          <w:sz w:val="24"/>
          <w:szCs w:val="24"/>
          <w:vertAlign w:val="superscript"/>
        </w:rPr>
        <w:footnoteReference w:id="607"/>
      </w:r>
    </w:p>
    <w:p w14:paraId="351BF44A" w14:textId="77777777" w:rsidR="003A27F9" w:rsidRPr="00595EB9" w:rsidRDefault="003A27F9" w:rsidP="003A27F9">
      <w:pPr>
        <w:spacing w:after="0"/>
        <w:ind w:left="720" w:right="720"/>
        <w:jc w:val="both"/>
        <w:rPr>
          <w:rFonts w:ascii="Times New Roman" w:hAnsi="Times New Roman" w:cs="Times New Roman"/>
          <w:sz w:val="24"/>
          <w:szCs w:val="24"/>
        </w:rPr>
      </w:pPr>
    </w:p>
    <w:p w14:paraId="3AFF045A" w14:textId="75174E97" w:rsidR="00FF7482" w:rsidRDefault="00FF7482" w:rsidP="006A134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is, of course, a debate about </w:t>
      </w:r>
      <w:r w:rsidRPr="0058280B">
        <w:rPr>
          <w:rFonts w:ascii="Times New Roman" w:hAnsi="Times New Roman" w:cs="Times New Roman"/>
          <w:i/>
          <w:sz w:val="24"/>
          <w:szCs w:val="24"/>
        </w:rPr>
        <w:t>proximate</w:t>
      </w:r>
      <w:r>
        <w:rPr>
          <w:rFonts w:ascii="Times New Roman" w:hAnsi="Times New Roman" w:cs="Times New Roman"/>
          <w:sz w:val="24"/>
          <w:szCs w:val="24"/>
        </w:rPr>
        <w:t xml:space="preserve"> cause. And the black letter treatise response is that an injury or death is compensable if it “arises out of” or “in the course of” employment. But as this Treatise explained in Chapter 3, Wyoming law does not precisely track </w:t>
      </w:r>
      <w:r w:rsidRPr="00F62270">
        <w:rPr>
          <w:rFonts w:ascii="Times New Roman" w:hAnsi="Times New Roman" w:cs="Times New Roman"/>
          <w:i/>
          <w:iCs/>
          <w:sz w:val="24"/>
          <w:szCs w:val="24"/>
        </w:rPr>
        <w:t>general principles</w:t>
      </w:r>
      <w:r>
        <w:rPr>
          <w:rFonts w:ascii="Times New Roman" w:hAnsi="Times New Roman" w:cs="Times New Roman"/>
          <w:sz w:val="24"/>
          <w:szCs w:val="24"/>
        </w:rPr>
        <w:t xml:space="preserve"> of “national compensation law” with respect to </w:t>
      </w:r>
      <w:r w:rsidRPr="00F62270">
        <w:rPr>
          <w:rFonts w:ascii="Times New Roman" w:hAnsi="Times New Roman" w:cs="Times New Roman"/>
          <w:i/>
          <w:iCs/>
          <w:sz w:val="24"/>
          <w:szCs w:val="24"/>
        </w:rPr>
        <w:t>causation</w:t>
      </w:r>
      <w:r>
        <w:rPr>
          <w:rFonts w:ascii="Times New Roman" w:hAnsi="Times New Roman" w:cs="Times New Roman"/>
          <w:sz w:val="24"/>
          <w:szCs w:val="24"/>
        </w:rPr>
        <w:t xml:space="preserve">. Thus, </w:t>
      </w:r>
      <w:r w:rsidRPr="00BB5430">
        <w:rPr>
          <w:rFonts w:ascii="Times New Roman" w:hAnsi="Times New Roman" w:cs="Times New Roman"/>
          <w:i/>
          <w:sz w:val="24"/>
          <w:szCs w:val="24"/>
        </w:rPr>
        <w:t>Bruhn</w:t>
      </w:r>
      <w:r>
        <w:rPr>
          <w:rFonts w:ascii="Times New Roman" w:hAnsi="Times New Roman" w:cs="Times New Roman"/>
          <w:sz w:val="24"/>
          <w:szCs w:val="24"/>
        </w:rPr>
        <w:t xml:space="preserve">’s discussion of the </w:t>
      </w:r>
      <w:r w:rsidRPr="0058280B">
        <w:rPr>
          <w:rFonts w:ascii="Times New Roman" w:hAnsi="Times New Roman" w:cs="Times New Roman"/>
          <w:i/>
          <w:sz w:val="24"/>
          <w:szCs w:val="24"/>
        </w:rPr>
        <w:t>Larson</w:t>
      </w:r>
      <w:r w:rsidR="003A27F9">
        <w:rPr>
          <w:rFonts w:ascii="Times New Roman" w:hAnsi="Times New Roman" w:cs="Times New Roman"/>
          <w:i/>
          <w:sz w:val="24"/>
          <w:szCs w:val="24"/>
        </w:rPr>
        <w:t>’s</w:t>
      </w:r>
      <w:r w:rsidRPr="0058280B">
        <w:rPr>
          <w:rFonts w:ascii="Times New Roman" w:hAnsi="Times New Roman" w:cs="Times New Roman"/>
          <w:i/>
          <w:sz w:val="24"/>
          <w:szCs w:val="24"/>
        </w:rPr>
        <w:t xml:space="preserve"> </w:t>
      </w:r>
      <w:r w:rsidR="003A27F9" w:rsidRPr="003A27F9">
        <w:rPr>
          <w:rFonts w:ascii="Times New Roman" w:hAnsi="Times New Roman" w:cs="Times New Roman"/>
          <w:iCs/>
          <w:sz w:val="24"/>
          <w:szCs w:val="24"/>
        </w:rPr>
        <w:t>t</w:t>
      </w:r>
      <w:r w:rsidRPr="003A27F9">
        <w:rPr>
          <w:rFonts w:ascii="Times New Roman" w:hAnsi="Times New Roman" w:cs="Times New Roman"/>
          <w:iCs/>
          <w:sz w:val="24"/>
          <w:szCs w:val="24"/>
        </w:rPr>
        <w:t>reatise’s</w:t>
      </w:r>
      <w:r w:rsidRPr="0058280B">
        <w:rPr>
          <w:rFonts w:ascii="Times New Roman" w:hAnsi="Times New Roman" w:cs="Times New Roman"/>
          <w:i/>
          <w:sz w:val="24"/>
          <w:szCs w:val="24"/>
        </w:rPr>
        <w:t xml:space="preserve"> </w:t>
      </w:r>
      <w:r>
        <w:rPr>
          <w:rFonts w:ascii="Times New Roman" w:hAnsi="Times New Roman" w:cs="Times New Roman"/>
          <w:sz w:val="24"/>
          <w:szCs w:val="24"/>
        </w:rPr>
        <w:t>“quasi course” analysis seems oddly out of place.</w:t>
      </w:r>
      <w:r w:rsidRPr="00910BB7">
        <w:rPr>
          <w:rFonts w:ascii="Times New Roman" w:hAnsi="Times New Roman" w:cs="Times New Roman"/>
          <w:sz w:val="24"/>
          <w:szCs w:val="24"/>
          <w:vertAlign w:val="superscript"/>
        </w:rPr>
        <w:footnoteReference w:id="608"/>
      </w:r>
      <w:r>
        <w:rPr>
          <w:rFonts w:ascii="Times New Roman" w:hAnsi="Times New Roman" w:cs="Times New Roman"/>
          <w:sz w:val="24"/>
          <w:szCs w:val="24"/>
        </w:rPr>
        <w:t xml:space="preserve"> </w:t>
      </w:r>
      <w:r w:rsidRPr="0058280B">
        <w:rPr>
          <w:rFonts w:ascii="Times New Roman" w:hAnsi="Times New Roman" w:cs="Times New Roman"/>
          <w:i/>
          <w:sz w:val="24"/>
          <w:szCs w:val="24"/>
        </w:rPr>
        <w:t>Fisher</w:t>
      </w:r>
      <w:r>
        <w:rPr>
          <w:rFonts w:ascii="Times New Roman" w:hAnsi="Times New Roman" w:cs="Times New Roman"/>
          <w:sz w:val="24"/>
          <w:szCs w:val="24"/>
        </w:rPr>
        <w:t>—which found a direct link between a work</w:t>
      </w:r>
      <w:r w:rsidR="00301EA9">
        <w:rPr>
          <w:rFonts w:ascii="Times New Roman" w:hAnsi="Times New Roman" w:cs="Times New Roman"/>
          <w:sz w:val="24"/>
          <w:szCs w:val="24"/>
        </w:rPr>
        <w:t>-</w:t>
      </w:r>
      <w:r>
        <w:rPr>
          <w:rFonts w:ascii="Times New Roman" w:hAnsi="Times New Roman" w:cs="Times New Roman"/>
          <w:sz w:val="24"/>
          <w:szCs w:val="24"/>
        </w:rPr>
        <w:t xml:space="preserve">related injury and subsequent death—does not grapple with this dilemma, and further case refinement appears necessary. Generic slippery-slope arguments seldom provide final words on important issues. </w:t>
      </w:r>
      <w:r>
        <w:rPr>
          <w:rFonts w:ascii="Times New Roman" w:hAnsi="Times New Roman" w:cs="Times New Roman"/>
          <w:sz w:val="24"/>
          <w:szCs w:val="24"/>
        </w:rPr>
        <w:tab/>
      </w:r>
    </w:p>
    <w:p w14:paraId="77491F17" w14:textId="77777777" w:rsidR="00FF7482" w:rsidRDefault="00FF7482" w:rsidP="006A1342">
      <w:pPr>
        <w:spacing w:after="0"/>
        <w:jc w:val="both"/>
        <w:rPr>
          <w:rFonts w:ascii="Times New Roman" w:hAnsi="Times New Roman" w:cs="Times New Roman"/>
          <w:sz w:val="24"/>
          <w:szCs w:val="24"/>
        </w:rPr>
      </w:pPr>
    </w:p>
    <w:p w14:paraId="77702F50" w14:textId="7B9ED26E" w:rsidR="00FF7482" w:rsidRPr="00A75A86" w:rsidRDefault="00FF7482" w:rsidP="003A27F9">
      <w:pPr>
        <w:pStyle w:val="Heading2"/>
        <w:rPr>
          <w:rFonts w:ascii="Times New Roman" w:hAnsi="Times New Roman" w:cs="Times New Roman"/>
          <w:color w:val="auto"/>
          <w:sz w:val="28"/>
          <w:szCs w:val="28"/>
        </w:rPr>
      </w:pPr>
      <w:bookmarkStart w:id="864" w:name="_Toc75269411"/>
      <w:r w:rsidRPr="00A75A86">
        <w:rPr>
          <w:rFonts w:ascii="Times New Roman" w:hAnsi="Times New Roman" w:cs="Times New Roman"/>
          <w:b/>
          <w:color w:val="auto"/>
          <w:sz w:val="28"/>
          <w:szCs w:val="28"/>
        </w:rPr>
        <w:t>Continuation Upon Death of Benefits from Existing Workers’ Compensation Award Entitlement</w:t>
      </w:r>
      <w:r w:rsidRPr="00910BB7">
        <w:rPr>
          <w:rFonts w:ascii="Times New Roman" w:hAnsi="Times New Roman" w:cs="Times New Roman"/>
          <w:bCs/>
          <w:sz w:val="28"/>
          <w:szCs w:val="28"/>
          <w:vertAlign w:val="superscript"/>
        </w:rPr>
        <w:footnoteReference w:id="609"/>
      </w:r>
      <w:bookmarkEnd w:id="864"/>
    </w:p>
    <w:p w14:paraId="06F69230" w14:textId="77777777" w:rsidR="00FF7482" w:rsidRDefault="00FF7482" w:rsidP="00595EB9">
      <w:pPr>
        <w:spacing w:after="0"/>
        <w:jc w:val="both"/>
        <w:rPr>
          <w:rFonts w:ascii="Times New Roman" w:hAnsi="Times New Roman" w:cs="Times New Roman"/>
          <w:sz w:val="24"/>
          <w:szCs w:val="24"/>
        </w:rPr>
      </w:pPr>
      <w:r>
        <w:rPr>
          <w:rFonts w:ascii="Times New Roman" w:hAnsi="Times New Roman" w:cs="Times New Roman"/>
          <w:sz w:val="24"/>
          <w:szCs w:val="24"/>
        </w:rPr>
        <w:tab/>
      </w:r>
    </w:p>
    <w:p w14:paraId="56495B22" w14:textId="3455411A" w:rsidR="00FF7482" w:rsidRDefault="00FF7482" w:rsidP="00595EB9">
      <w:pPr>
        <w:spacing w:after="0"/>
        <w:jc w:val="both"/>
        <w:rPr>
          <w:rFonts w:ascii="Times New Roman" w:hAnsi="Times New Roman" w:cs="Times New Roman"/>
          <w:sz w:val="24"/>
          <w:szCs w:val="24"/>
        </w:rPr>
      </w:pPr>
      <w:r>
        <w:rPr>
          <w:rFonts w:ascii="Times New Roman" w:hAnsi="Times New Roman" w:cs="Times New Roman"/>
          <w:sz w:val="24"/>
          <w:szCs w:val="24"/>
        </w:rPr>
        <w:t xml:space="preserve">The Wyoming statute distinguishes between “death benefits” that are </w:t>
      </w:r>
      <w:r w:rsidRPr="00911682">
        <w:rPr>
          <w:rFonts w:ascii="Times New Roman" w:hAnsi="Times New Roman" w:cs="Times New Roman"/>
          <w:b/>
          <w:sz w:val="24"/>
          <w:szCs w:val="24"/>
          <w:u w:val="single"/>
        </w:rPr>
        <w:t>in reality a continuation of disability benefits</w:t>
      </w:r>
      <w:r>
        <w:rPr>
          <w:rFonts w:ascii="Times New Roman" w:hAnsi="Times New Roman" w:cs="Times New Roman"/>
          <w:sz w:val="24"/>
          <w:szCs w:val="24"/>
        </w:rPr>
        <w:t xml:space="preserve">, until </w:t>
      </w:r>
      <w:r w:rsidRPr="00911682">
        <w:rPr>
          <w:rFonts w:ascii="Times New Roman" w:hAnsi="Times New Roman" w:cs="Times New Roman"/>
          <w:i/>
          <w:sz w:val="24"/>
          <w:szCs w:val="24"/>
        </w:rPr>
        <w:t>those</w:t>
      </w:r>
      <w:r>
        <w:rPr>
          <w:rFonts w:ascii="Times New Roman" w:hAnsi="Times New Roman" w:cs="Times New Roman"/>
          <w:sz w:val="24"/>
          <w:szCs w:val="24"/>
        </w:rPr>
        <w:t xml:space="preserve"> benefits are exhausted, and “true” death benefits.</w:t>
      </w:r>
      <w:r w:rsidRPr="00910BB7">
        <w:rPr>
          <w:rFonts w:ascii="Times New Roman" w:hAnsi="Times New Roman" w:cs="Times New Roman"/>
          <w:sz w:val="24"/>
          <w:szCs w:val="24"/>
          <w:vertAlign w:val="superscript"/>
        </w:rPr>
        <w:footnoteReference w:id="610"/>
      </w:r>
      <w:r>
        <w:rPr>
          <w:rFonts w:ascii="Times New Roman" w:hAnsi="Times New Roman" w:cs="Times New Roman"/>
          <w:sz w:val="24"/>
          <w:szCs w:val="24"/>
        </w:rPr>
        <w:t xml:space="preserve"> </w:t>
      </w:r>
      <w:r w:rsidRPr="007309AE">
        <w:rPr>
          <w:rFonts w:ascii="Times New Roman" w:hAnsi="Times New Roman" w:cs="Times New Roman"/>
          <w:sz w:val="24"/>
          <w:szCs w:val="24"/>
        </w:rPr>
        <w:t>If an injured employee</w:t>
      </w:r>
      <w:r>
        <w:rPr>
          <w:rFonts w:ascii="Times New Roman" w:hAnsi="Times New Roman" w:cs="Times New Roman"/>
          <w:sz w:val="24"/>
          <w:szCs w:val="24"/>
        </w:rPr>
        <w:t>,</w:t>
      </w:r>
      <w:r w:rsidRPr="007309AE">
        <w:rPr>
          <w:rFonts w:ascii="Times New Roman" w:hAnsi="Times New Roman" w:cs="Times New Roman"/>
          <w:sz w:val="24"/>
          <w:szCs w:val="24"/>
        </w:rPr>
        <w:t xml:space="preserve"> </w:t>
      </w:r>
      <w:r w:rsidRPr="00911682">
        <w:rPr>
          <w:rFonts w:ascii="Times New Roman" w:hAnsi="Times New Roman" w:cs="Times New Roman"/>
          <w:i/>
          <w:sz w:val="24"/>
          <w:szCs w:val="24"/>
        </w:rPr>
        <w:t>entitled</w:t>
      </w:r>
      <w:r w:rsidRPr="007309AE">
        <w:rPr>
          <w:rFonts w:ascii="Times New Roman" w:hAnsi="Times New Roman" w:cs="Times New Roman"/>
          <w:sz w:val="24"/>
          <w:szCs w:val="24"/>
        </w:rPr>
        <w:t xml:space="preserve"> to receive</w:t>
      </w:r>
      <w:r w:rsidRPr="00910BB7">
        <w:rPr>
          <w:rFonts w:ascii="Times New Roman" w:hAnsi="Times New Roman" w:cs="Times New Roman"/>
          <w:sz w:val="24"/>
          <w:szCs w:val="24"/>
          <w:vertAlign w:val="superscript"/>
        </w:rPr>
        <w:footnoteReference w:id="611"/>
      </w:r>
      <w:r w:rsidRPr="007309AE">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911682">
        <w:rPr>
          <w:rFonts w:ascii="Times New Roman" w:hAnsi="Times New Roman" w:cs="Times New Roman"/>
          <w:i/>
          <w:sz w:val="24"/>
          <w:szCs w:val="24"/>
        </w:rPr>
        <w:t>actually</w:t>
      </w:r>
      <w:r>
        <w:rPr>
          <w:rFonts w:ascii="Times New Roman" w:hAnsi="Times New Roman" w:cs="Times New Roman"/>
          <w:sz w:val="24"/>
          <w:szCs w:val="24"/>
        </w:rPr>
        <w:t xml:space="preserve"> (already)</w:t>
      </w:r>
      <w:r w:rsidRPr="007309AE">
        <w:rPr>
          <w:rFonts w:ascii="Times New Roman" w:hAnsi="Times New Roman" w:cs="Times New Roman"/>
          <w:sz w:val="24"/>
          <w:szCs w:val="24"/>
        </w:rPr>
        <w:t xml:space="preserve"> </w:t>
      </w:r>
      <w:r w:rsidRPr="00911682">
        <w:rPr>
          <w:rFonts w:ascii="Times New Roman" w:hAnsi="Times New Roman" w:cs="Times New Roman"/>
          <w:i/>
          <w:sz w:val="24"/>
          <w:szCs w:val="24"/>
        </w:rPr>
        <w:t>receiving</w:t>
      </w:r>
      <w:r w:rsidRPr="007309AE">
        <w:rPr>
          <w:rFonts w:ascii="Times New Roman" w:hAnsi="Times New Roman" w:cs="Times New Roman"/>
          <w:sz w:val="24"/>
          <w:szCs w:val="24"/>
        </w:rPr>
        <w:t xml:space="preserve"> a</w:t>
      </w:r>
      <w:r>
        <w:rPr>
          <w:rFonts w:ascii="Times New Roman" w:hAnsi="Times New Roman" w:cs="Times New Roman"/>
          <w:sz w:val="24"/>
          <w:szCs w:val="24"/>
        </w:rPr>
        <w:t xml:space="preserve"> permanent partial impairment, permanent partial disability, or permanent total disability</w:t>
      </w:r>
      <w:r w:rsidRPr="007309AE">
        <w:rPr>
          <w:rFonts w:ascii="Times New Roman" w:hAnsi="Times New Roman" w:cs="Times New Roman"/>
          <w:sz w:val="24"/>
          <w:szCs w:val="24"/>
        </w:rPr>
        <w:t xml:space="preserve"> award</w:t>
      </w:r>
      <w:r>
        <w:rPr>
          <w:rFonts w:ascii="Times New Roman" w:hAnsi="Times New Roman" w:cs="Times New Roman"/>
          <w:sz w:val="24"/>
          <w:szCs w:val="24"/>
        </w:rPr>
        <w:t>,</w:t>
      </w:r>
      <w:r w:rsidRPr="007309AE">
        <w:rPr>
          <w:rFonts w:ascii="Times New Roman" w:hAnsi="Times New Roman" w:cs="Times New Roman"/>
          <w:sz w:val="24"/>
          <w:szCs w:val="24"/>
        </w:rPr>
        <w:t xml:space="preserve"> </w:t>
      </w:r>
      <w:r w:rsidRPr="003A51BF">
        <w:rPr>
          <w:rFonts w:ascii="Times New Roman" w:hAnsi="Times New Roman" w:cs="Times New Roman"/>
          <w:b/>
          <w:sz w:val="24"/>
          <w:szCs w:val="24"/>
        </w:rPr>
        <w:t>dies</w:t>
      </w:r>
      <w:r w:rsidRPr="007309AE">
        <w:rPr>
          <w:rFonts w:ascii="Times New Roman" w:hAnsi="Times New Roman" w:cs="Times New Roman"/>
          <w:sz w:val="24"/>
          <w:szCs w:val="24"/>
        </w:rPr>
        <w:t xml:space="preserve"> </w:t>
      </w:r>
      <w:r w:rsidRPr="009E2C19">
        <w:rPr>
          <w:rFonts w:ascii="Times New Roman" w:hAnsi="Times New Roman" w:cs="Times New Roman"/>
          <w:b/>
          <w:sz w:val="24"/>
          <w:szCs w:val="24"/>
        </w:rPr>
        <w:t xml:space="preserve">due to causes </w:t>
      </w:r>
      <w:r w:rsidRPr="009E2C19">
        <w:rPr>
          <w:rFonts w:ascii="Times New Roman" w:hAnsi="Times New Roman" w:cs="Times New Roman"/>
          <w:b/>
          <w:sz w:val="24"/>
          <w:szCs w:val="24"/>
          <w:u w:val="single"/>
        </w:rPr>
        <w:t>other than</w:t>
      </w:r>
      <w:r w:rsidRPr="009E2C19">
        <w:rPr>
          <w:rFonts w:ascii="Times New Roman" w:hAnsi="Times New Roman" w:cs="Times New Roman"/>
          <w:b/>
          <w:sz w:val="24"/>
          <w:szCs w:val="24"/>
        </w:rPr>
        <w:t xml:space="preserve"> the work</w:t>
      </w:r>
      <w:r w:rsidR="00301EA9">
        <w:rPr>
          <w:rFonts w:ascii="Times New Roman" w:hAnsi="Times New Roman" w:cs="Times New Roman"/>
          <w:b/>
          <w:sz w:val="24"/>
          <w:szCs w:val="24"/>
        </w:rPr>
        <w:t>-</w:t>
      </w:r>
      <w:r w:rsidRPr="009E2C19">
        <w:rPr>
          <w:rFonts w:ascii="Times New Roman" w:hAnsi="Times New Roman" w:cs="Times New Roman"/>
          <w:b/>
          <w:sz w:val="24"/>
          <w:szCs w:val="24"/>
        </w:rPr>
        <w:t>related injury</w:t>
      </w:r>
      <w:r w:rsidRPr="007309AE">
        <w:rPr>
          <w:rFonts w:ascii="Times New Roman" w:hAnsi="Times New Roman" w:cs="Times New Roman"/>
          <w:sz w:val="24"/>
          <w:szCs w:val="24"/>
        </w:rPr>
        <w:t xml:space="preserve">, </w:t>
      </w:r>
      <w:r w:rsidRPr="00A330D8">
        <w:rPr>
          <w:rFonts w:ascii="Times New Roman" w:hAnsi="Times New Roman" w:cs="Times New Roman"/>
          <w:b/>
          <w:sz w:val="24"/>
          <w:szCs w:val="24"/>
          <w:u w:val="single"/>
        </w:rPr>
        <w:t>the balance of the award is paid to the surviving spouse (if alive and not remarried) or to any surviving dependent children of the employee in the event the spouse has died or remarried</w:t>
      </w:r>
      <w:r w:rsidRPr="007309AE">
        <w:rPr>
          <w:rFonts w:ascii="Times New Roman" w:hAnsi="Times New Roman" w:cs="Times New Roman"/>
          <w:sz w:val="24"/>
          <w:szCs w:val="24"/>
        </w:rPr>
        <w:t xml:space="preserve">. </w:t>
      </w:r>
      <w:r>
        <w:rPr>
          <w:rFonts w:ascii="Times New Roman" w:hAnsi="Times New Roman" w:cs="Times New Roman"/>
          <w:sz w:val="24"/>
          <w:szCs w:val="24"/>
        </w:rPr>
        <w:t>In the latter case, e</w:t>
      </w:r>
      <w:r w:rsidRPr="007309AE">
        <w:rPr>
          <w:rFonts w:ascii="Times New Roman" w:hAnsi="Times New Roman" w:cs="Times New Roman"/>
          <w:sz w:val="24"/>
          <w:szCs w:val="24"/>
        </w:rPr>
        <w:t>ach surviving dependent child receive</w:t>
      </w:r>
      <w:r>
        <w:rPr>
          <w:rFonts w:ascii="Times New Roman" w:hAnsi="Times New Roman" w:cs="Times New Roman"/>
          <w:sz w:val="24"/>
          <w:szCs w:val="24"/>
        </w:rPr>
        <w:t>s</w:t>
      </w:r>
      <w:r w:rsidRPr="007309AE">
        <w:rPr>
          <w:rFonts w:ascii="Times New Roman" w:hAnsi="Times New Roman" w:cs="Times New Roman"/>
          <w:sz w:val="24"/>
          <w:szCs w:val="24"/>
        </w:rPr>
        <w:t xml:space="preserve"> a </w:t>
      </w:r>
      <w:r>
        <w:rPr>
          <w:rFonts w:ascii="Times New Roman" w:hAnsi="Times New Roman" w:cs="Times New Roman"/>
          <w:sz w:val="24"/>
          <w:szCs w:val="24"/>
        </w:rPr>
        <w:t xml:space="preserve">proportional </w:t>
      </w:r>
      <w:r w:rsidRPr="007309AE">
        <w:rPr>
          <w:rFonts w:ascii="Times New Roman" w:hAnsi="Times New Roman" w:cs="Times New Roman"/>
          <w:sz w:val="24"/>
          <w:szCs w:val="24"/>
        </w:rPr>
        <w:t>share of the award</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12"/>
      </w:r>
      <w:r w:rsidRPr="007309AE">
        <w:rPr>
          <w:rFonts w:ascii="Times New Roman" w:hAnsi="Times New Roman" w:cs="Times New Roman"/>
          <w:sz w:val="24"/>
          <w:szCs w:val="24"/>
        </w:rPr>
        <w:t xml:space="preserve"> If there is </w:t>
      </w:r>
      <w:r w:rsidRPr="00B123B3">
        <w:rPr>
          <w:rFonts w:ascii="Times New Roman" w:hAnsi="Times New Roman" w:cs="Times New Roman"/>
          <w:b/>
          <w:sz w:val="24"/>
          <w:szCs w:val="24"/>
        </w:rPr>
        <w:t>no surviving spouse</w:t>
      </w:r>
      <w:r>
        <w:rPr>
          <w:rFonts w:ascii="Times New Roman" w:hAnsi="Times New Roman" w:cs="Times New Roman"/>
          <w:sz w:val="24"/>
          <w:szCs w:val="24"/>
        </w:rPr>
        <w:t>,</w:t>
      </w:r>
      <w:r w:rsidRPr="007309AE">
        <w:rPr>
          <w:rFonts w:ascii="Times New Roman" w:hAnsi="Times New Roman" w:cs="Times New Roman"/>
          <w:sz w:val="24"/>
          <w:szCs w:val="24"/>
        </w:rPr>
        <w:t xml:space="preserve"> or if the spouse</w:t>
      </w:r>
      <w:r>
        <w:rPr>
          <w:rFonts w:ascii="Times New Roman" w:hAnsi="Times New Roman" w:cs="Times New Roman"/>
          <w:sz w:val="24"/>
          <w:szCs w:val="24"/>
        </w:rPr>
        <w:t xml:space="preserve"> has</w:t>
      </w:r>
      <w:r w:rsidRPr="007309AE">
        <w:rPr>
          <w:rFonts w:ascii="Times New Roman" w:hAnsi="Times New Roman" w:cs="Times New Roman"/>
          <w:sz w:val="24"/>
          <w:szCs w:val="24"/>
        </w:rPr>
        <w:t xml:space="preserve"> remarrie</w:t>
      </w:r>
      <w:r>
        <w:rPr>
          <w:rFonts w:ascii="Times New Roman" w:hAnsi="Times New Roman" w:cs="Times New Roman"/>
          <w:sz w:val="24"/>
          <w:szCs w:val="24"/>
        </w:rPr>
        <w:t>d or died; and there are also</w:t>
      </w:r>
      <w:r w:rsidRPr="007309AE">
        <w:rPr>
          <w:rFonts w:ascii="Times New Roman" w:hAnsi="Times New Roman" w:cs="Times New Roman"/>
          <w:sz w:val="24"/>
          <w:szCs w:val="24"/>
        </w:rPr>
        <w:t xml:space="preserve"> </w:t>
      </w:r>
      <w:r w:rsidRPr="00B123B3">
        <w:rPr>
          <w:rFonts w:ascii="Times New Roman" w:hAnsi="Times New Roman" w:cs="Times New Roman"/>
          <w:b/>
          <w:sz w:val="24"/>
          <w:szCs w:val="24"/>
        </w:rPr>
        <w:t>no dependent children</w:t>
      </w:r>
      <w:r>
        <w:rPr>
          <w:rFonts w:ascii="Times New Roman" w:hAnsi="Times New Roman" w:cs="Times New Roman"/>
          <w:sz w:val="24"/>
          <w:szCs w:val="24"/>
        </w:rPr>
        <w:t>,</w:t>
      </w:r>
      <w:r w:rsidRPr="007309AE">
        <w:rPr>
          <w:rFonts w:ascii="Times New Roman" w:hAnsi="Times New Roman" w:cs="Times New Roman"/>
          <w:sz w:val="24"/>
          <w:szCs w:val="24"/>
        </w:rPr>
        <w:t xml:space="preserve"> or the children have </w:t>
      </w:r>
      <w:r>
        <w:rPr>
          <w:rFonts w:ascii="Times New Roman" w:hAnsi="Times New Roman" w:cs="Times New Roman"/>
          <w:sz w:val="24"/>
          <w:szCs w:val="24"/>
        </w:rPr>
        <w:t xml:space="preserve">either </w:t>
      </w:r>
      <w:r w:rsidRPr="007309AE">
        <w:rPr>
          <w:rFonts w:ascii="Times New Roman" w:hAnsi="Times New Roman" w:cs="Times New Roman"/>
          <w:sz w:val="24"/>
          <w:szCs w:val="24"/>
        </w:rPr>
        <w:t>attained the age of majority</w:t>
      </w:r>
      <w:r>
        <w:rPr>
          <w:rFonts w:ascii="Times New Roman" w:hAnsi="Times New Roman" w:cs="Times New Roman"/>
          <w:sz w:val="24"/>
          <w:szCs w:val="24"/>
        </w:rPr>
        <w:t xml:space="preserve"> or </w:t>
      </w:r>
      <w:r>
        <w:rPr>
          <w:rFonts w:ascii="Times New Roman" w:hAnsi="Times New Roman" w:cs="Times New Roman"/>
          <w:sz w:val="24"/>
          <w:szCs w:val="24"/>
        </w:rPr>
        <w:lastRenderedPageBreak/>
        <w:t>died</w:t>
      </w:r>
      <w:r w:rsidRPr="007309AE">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13"/>
      </w:r>
      <w:r w:rsidRPr="007309AE">
        <w:rPr>
          <w:rFonts w:ascii="Times New Roman" w:hAnsi="Times New Roman" w:cs="Times New Roman"/>
          <w:sz w:val="24"/>
          <w:szCs w:val="24"/>
        </w:rPr>
        <w:t xml:space="preserve"> the balance of the award </w:t>
      </w:r>
      <w:r>
        <w:rPr>
          <w:rFonts w:ascii="Times New Roman" w:hAnsi="Times New Roman" w:cs="Times New Roman"/>
          <w:sz w:val="24"/>
          <w:szCs w:val="24"/>
        </w:rPr>
        <w:t>is</w:t>
      </w:r>
      <w:r w:rsidRPr="007309AE">
        <w:rPr>
          <w:rFonts w:ascii="Times New Roman" w:hAnsi="Times New Roman" w:cs="Times New Roman"/>
          <w:sz w:val="24"/>
          <w:szCs w:val="24"/>
        </w:rPr>
        <w:t xml:space="preserve"> paid to a </w:t>
      </w:r>
      <w:r w:rsidRPr="00B123B3">
        <w:rPr>
          <w:rFonts w:ascii="Times New Roman" w:hAnsi="Times New Roman" w:cs="Times New Roman"/>
          <w:b/>
          <w:sz w:val="24"/>
          <w:szCs w:val="24"/>
        </w:rPr>
        <w:t>surviving parent</w:t>
      </w:r>
      <w:r w:rsidRPr="007309AE">
        <w:rPr>
          <w:rFonts w:ascii="Times New Roman" w:hAnsi="Times New Roman" w:cs="Times New Roman"/>
          <w:sz w:val="24"/>
          <w:szCs w:val="24"/>
        </w:rPr>
        <w:t xml:space="preserve"> of the employee</w:t>
      </w:r>
      <w:r>
        <w:rPr>
          <w:rFonts w:ascii="Times New Roman" w:hAnsi="Times New Roman" w:cs="Times New Roman"/>
          <w:sz w:val="24"/>
          <w:szCs w:val="24"/>
        </w:rPr>
        <w:t>,</w:t>
      </w:r>
      <w:r w:rsidRPr="007309AE">
        <w:rPr>
          <w:rFonts w:ascii="Times New Roman" w:hAnsi="Times New Roman" w:cs="Times New Roman"/>
          <w:sz w:val="24"/>
          <w:szCs w:val="24"/>
        </w:rPr>
        <w:t xml:space="preserve"> </w:t>
      </w:r>
      <w:r w:rsidRPr="00B123B3">
        <w:rPr>
          <w:rFonts w:ascii="Times New Roman" w:hAnsi="Times New Roman" w:cs="Times New Roman"/>
          <w:b/>
          <w:sz w:val="24"/>
          <w:szCs w:val="24"/>
          <w:u w:val="single"/>
        </w:rPr>
        <w:t>if</w:t>
      </w:r>
      <w:r w:rsidRPr="007309AE">
        <w:rPr>
          <w:rFonts w:ascii="Times New Roman" w:hAnsi="Times New Roman" w:cs="Times New Roman"/>
          <w:sz w:val="24"/>
          <w:szCs w:val="24"/>
        </w:rPr>
        <w:t xml:space="preserve"> the parent received </w:t>
      </w:r>
      <w:r w:rsidRPr="00B123B3">
        <w:rPr>
          <w:rFonts w:ascii="Times New Roman" w:hAnsi="Times New Roman" w:cs="Times New Roman"/>
          <w:b/>
          <w:sz w:val="24"/>
          <w:szCs w:val="24"/>
        </w:rPr>
        <w:t>“substantially all of his financial support”</w:t>
      </w:r>
      <w:r w:rsidRPr="007309AE">
        <w:rPr>
          <w:rFonts w:ascii="Times New Roman" w:hAnsi="Times New Roman" w:cs="Times New Roman"/>
          <w:sz w:val="24"/>
          <w:szCs w:val="24"/>
        </w:rPr>
        <w:t xml:space="preserve"> from the employee </w:t>
      </w:r>
      <w:r w:rsidRPr="00B335FA">
        <w:rPr>
          <w:rFonts w:ascii="Times New Roman" w:hAnsi="Times New Roman" w:cs="Times New Roman"/>
          <w:b/>
          <w:sz w:val="24"/>
          <w:szCs w:val="24"/>
          <w:u w:val="single"/>
        </w:rPr>
        <w:t>at the time of</w:t>
      </w:r>
      <w:r w:rsidRPr="00B335FA">
        <w:rPr>
          <w:rFonts w:ascii="Times New Roman" w:hAnsi="Times New Roman" w:cs="Times New Roman"/>
          <w:sz w:val="24"/>
          <w:szCs w:val="24"/>
          <w:u w:val="single"/>
        </w:rPr>
        <w:t xml:space="preserve"> </w:t>
      </w:r>
      <w:r w:rsidRPr="00B335FA">
        <w:rPr>
          <w:rFonts w:ascii="Times New Roman" w:hAnsi="Times New Roman" w:cs="Times New Roman"/>
          <w:b/>
          <w:sz w:val="24"/>
          <w:szCs w:val="24"/>
          <w:u w:val="single"/>
        </w:rPr>
        <w:t>injury</w:t>
      </w:r>
      <w:r w:rsidRPr="007309AE">
        <w:rPr>
          <w:rFonts w:ascii="Times New Roman" w:hAnsi="Times New Roman" w:cs="Times New Roman"/>
          <w:sz w:val="24"/>
          <w:szCs w:val="24"/>
        </w:rPr>
        <w:t>. If two remaining parents of the employee receiv</w:t>
      </w:r>
      <w:r>
        <w:rPr>
          <w:rFonts w:ascii="Times New Roman" w:hAnsi="Times New Roman" w:cs="Times New Roman"/>
          <w:sz w:val="24"/>
          <w:szCs w:val="24"/>
        </w:rPr>
        <w:t>ing</w:t>
      </w:r>
      <w:r w:rsidRPr="007309AE">
        <w:rPr>
          <w:rFonts w:ascii="Times New Roman" w:hAnsi="Times New Roman" w:cs="Times New Roman"/>
          <w:sz w:val="24"/>
          <w:szCs w:val="24"/>
        </w:rPr>
        <w:t xml:space="preserve"> </w:t>
      </w:r>
      <w:r>
        <w:rPr>
          <w:rFonts w:ascii="Times New Roman" w:hAnsi="Times New Roman" w:cs="Times New Roman"/>
          <w:sz w:val="24"/>
          <w:szCs w:val="24"/>
        </w:rPr>
        <w:t>“</w:t>
      </w:r>
      <w:r w:rsidRPr="007309AE">
        <w:rPr>
          <w:rFonts w:ascii="Times New Roman" w:hAnsi="Times New Roman" w:cs="Times New Roman"/>
          <w:sz w:val="24"/>
          <w:szCs w:val="24"/>
        </w:rPr>
        <w:t>substantially all of their financial support</w:t>
      </w:r>
      <w:r>
        <w:rPr>
          <w:rFonts w:ascii="Times New Roman" w:hAnsi="Times New Roman" w:cs="Times New Roman"/>
          <w:sz w:val="24"/>
          <w:szCs w:val="24"/>
        </w:rPr>
        <w:t>”</w:t>
      </w:r>
      <w:r w:rsidRPr="007309AE">
        <w:rPr>
          <w:rFonts w:ascii="Times New Roman" w:hAnsi="Times New Roman" w:cs="Times New Roman"/>
          <w:sz w:val="24"/>
          <w:szCs w:val="24"/>
        </w:rPr>
        <w:t xml:space="preserve"> from the employee </w:t>
      </w:r>
      <w:r w:rsidRPr="00B335FA">
        <w:rPr>
          <w:rFonts w:ascii="Times New Roman" w:hAnsi="Times New Roman" w:cs="Times New Roman"/>
          <w:b/>
          <w:sz w:val="24"/>
          <w:szCs w:val="24"/>
          <w:u w:val="single"/>
        </w:rPr>
        <w:t>at the time of the injury</w:t>
      </w:r>
      <w:r w:rsidRPr="003A51BF">
        <w:rPr>
          <w:rFonts w:ascii="Times New Roman" w:hAnsi="Times New Roman" w:cs="Times New Roman"/>
          <w:b/>
          <w:sz w:val="24"/>
          <w:szCs w:val="24"/>
        </w:rPr>
        <w:t xml:space="preserve"> </w:t>
      </w:r>
      <w:r w:rsidRPr="007309AE">
        <w:rPr>
          <w:rFonts w:ascii="Times New Roman" w:hAnsi="Times New Roman" w:cs="Times New Roman"/>
          <w:sz w:val="24"/>
          <w:szCs w:val="24"/>
        </w:rPr>
        <w:t xml:space="preserve">survive the employee, </w:t>
      </w:r>
      <w:r w:rsidRPr="003A51BF">
        <w:rPr>
          <w:rFonts w:ascii="Times New Roman" w:hAnsi="Times New Roman" w:cs="Times New Roman"/>
          <w:b/>
          <w:sz w:val="24"/>
          <w:szCs w:val="24"/>
        </w:rPr>
        <w:t>the balance of the award shall be divided equally between the two parents</w:t>
      </w:r>
      <w:r>
        <w:rPr>
          <w:rFonts w:ascii="Times New Roman" w:hAnsi="Times New Roman" w:cs="Times New Roman"/>
          <w:sz w:val="24"/>
          <w:szCs w:val="24"/>
        </w:rPr>
        <w:t xml:space="preserve">. </w:t>
      </w:r>
      <w:r w:rsidRPr="007309AE">
        <w:rPr>
          <w:rFonts w:ascii="Times New Roman" w:hAnsi="Times New Roman" w:cs="Times New Roman"/>
          <w:sz w:val="24"/>
          <w:szCs w:val="24"/>
        </w:rPr>
        <w:t>Payment of the award cease</w:t>
      </w:r>
      <w:r>
        <w:rPr>
          <w:rFonts w:ascii="Times New Roman" w:hAnsi="Times New Roman" w:cs="Times New Roman"/>
          <w:sz w:val="24"/>
          <w:szCs w:val="24"/>
        </w:rPr>
        <w:t>s i</w:t>
      </w:r>
      <w:r w:rsidRPr="007309AE">
        <w:rPr>
          <w:rFonts w:ascii="Times New Roman" w:hAnsi="Times New Roman" w:cs="Times New Roman"/>
          <w:sz w:val="24"/>
          <w:szCs w:val="24"/>
        </w:rPr>
        <w:t>f there is no surviving spouse, dependent children</w:t>
      </w:r>
      <w:r w:rsidR="00D0388C">
        <w:rPr>
          <w:rFonts w:ascii="Times New Roman" w:hAnsi="Times New Roman" w:cs="Times New Roman"/>
          <w:sz w:val="24"/>
          <w:szCs w:val="24"/>
        </w:rPr>
        <w:t>,</w:t>
      </w:r>
      <w:r w:rsidRPr="007309AE">
        <w:rPr>
          <w:rFonts w:ascii="Times New Roman" w:hAnsi="Times New Roman" w:cs="Times New Roman"/>
          <w:sz w:val="24"/>
          <w:szCs w:val="24"/>
        </w:rPr>
        <w:t xml:space="preserve"> or dependent parents</w:t>
      </w:r>
      <w:r>
        <w:rPr>
          <w:rFonts w:ascii="Times New Roman" w:hAnsi="Times New Roman" w:cs="Times New Roman"/>
          <w:sz w:val="24"/>
          <w:szCs w:val="24"/>
        </w:rPr>
        <w:t>;</w:t>
      </w:r>
      <w:r w:rsidRPr="007309AE">
        <w:rPr>
          <w:rFonts w:ascii="Times New Roman" w:hAnsi="Times New Roman" w:cs="Times New Roman"/>
          <w:sz w:val="24"/>
          <w:szCs w:val="24"/>
        </w:rPr>
        <w:t xml:space="preserve"> </w:t>
      </w:r>
      <w:r>
        <w:rPr>
          <w:rFonts w:ascii="Times New Roman" w:hAnsi="Times New Roman" w:cs="Times New Roman"/>
          <w:sz w:val="24"/>
          <w:szCs w:val="24"/>
        </w:rPr>
        <w:t xml:space="preserve">if the surviving spouse </w:t>
      </w:r>
      <w:r w:rsidRPr="007309AE">
        <w:rPr>
          <w:rFonts w:ascii="Times New Roman" w:hAnsi="Times New Roman" w:cs="Times New Roman"/>
          <w:sz w:val="24"/>
          <w:szCs w:val="24"/>
        </w:rPr>
        <w:t>remarri</w:t>
      </w:r>
      <w:r>
        <w:rPr>
          <w:rFonts w:ascii="Times New Roman" w:hAnsi="Times New Roman" w:cs="Times New Roman"/>
          <w:sz w:val="24"/>
          <w:szCs w:val="24"/>
        </w:rPr>
        <w:t>es or dies</w:t>
      </w:r>
      <w:r w:rsidRPr="007309AE">
        <w:rPr>
          <w:rFonts w:ascii="Times New Roman" w:hAnsi="Times New Roman" w:cs="Times New Roman"/>
          <w:sz w:val="24"/>
          <w:szCs w:val="24"/>
        </w:rPr>
        <w:t xml:space="preserve"> and there are no dependent children or dependent parents;</w:t>
      </w:r>
      <w:r>
        <w:rPr>
          <w:rFonts w:ascii="Times New Roman" w:hAnsi="Times New Roman" w:cs="Times New Roman"/>
          <w:sz w:val="24"/>
          <w:szCs w:val="24"/>
        </w:rPr>
        <w:t xml:space="preserve"> if </w:t>
      </w:r>
      <w:r w:rsidRPr="007309AE">
        <w:rPr>
          <w:rFonts w:ascii="Times New Roman" w:hAnsi="Times New Roman" w:cs="Times New Roman"/>
          <w:sz w:val="24"/>
          <w:szCs w:val="24"/>
        </w:rPr>
        <w:t xml:space="preserve">a dependent child </w:t>
      </w:r>
      <w:r>
        <w:rPr>
          <w:rFonts w:ascii="Times New Roman" w:hAnsi="Times New Roman" w:cs="Times New Roman"/>
          <w:sz w:val="24"/>
          <w:szCs w:val="24"/>
        </w:rPr>
        <w:t xml:space="preserve">dies </w:t>
      </w:r>
      <w:r w:rsidRPr="007309AE">
        <w:rPr>
          <w:rFonts w:ascii="Times New Roman" w:hAnsi="Times New Roman" w:cs="Times New Roman"/>
          <w:sz w:val="24"/>
          <w:szCs w:val="24"/>
        </w:rPr>
        <w:t>as to payments to that child; and</w:t>
      </w:r>
      <w:r>
        <w:rPr>
          <w:rFonts w:ascii="Times New Roman" w:hAnsi="Times New Roman" w:cs="Times New Roman"/>
          <w:sz w:val="24"/>
          <w:szCs w:val="24"/>
        </w:rPr>
        <w:t xml:space="preserve"> if a </w:t>
      </w:r>
      <w:r w:rsidRPr="007309AE">
        <w:rPr>
          <w:rFonts w:ascii="Times New Roman" w:hAnsi="Times New Roman" w:cs="Times New Roman"/>
          <w:sz w:val="24"/>
          <w:szCs w:val="24"/>
        </w:rPr>
        <w:t>dependent parent</w:t>
      </w:r>
      <w:r>
        <w:rPr>
          <w:rFonts w:ascii="Times New Roman" w:hAnsi="Times New Roman" w:cs="Times New Roman"/>
          <w:sz w:val="24"/>
          <w:szCs w:val="24"/>
        </w:rPr>
        <w:t xml:space="preserve"> dies</w:t>
      </w:r>
      <w:r w:rsidRPr="007309AE">
        <w:rPr>
          <w:rFonts w:ascii="Times New Roman" w:hAnsi="Times New Roman" w:cs="Times New Roman"/>
          <w:sz w:val="24"/>
          <w:szCs w:val="24"/>
        </w:rPr>
        <w:t xml:space="preserve"> as to payments to that parent.</w:t>
      </w:r>
    </w:p>
    <w:p w14:paraId="77583755" w14:textId="77777777" w:rsidR="00FF7482" w:rsidRDefault="00FF7482" w:rsidP="002404B7">
      <w:pPr>
        <w:pStyle w:val="ListParagraph"/>
        <w:spacing w:after="0"/>
        <w:ind w:left="0" w:firstLine="720"/>
        <w:jc w:val="both"/>
        <w:rPr>
          <w:rFonts w:ascii="Times New Roman" w:hAnsi="Times New Roman" w:cs="Times New Roman"/>
          <w:b/>
          <w:i/>
          <w:sz w:val="24"/>
          <w:szCs w:val="24"/>
        </w:rPr>
      </w:pPr>
    </w:p>
    <w:p w14:paraId="5AA0DF29" w14:textId="3A238523" w:rsidR="00FF7482" w:rsidRPr="00A75A86" w:rsidRDefault="00FF7482" w:rsidP="00D0388C">
      <w:pPr>
        <w:pStyle w:val="Heading2"/>
        <w:rPr>
          <w:rFonts w:ascii="Times New Roman" w:hAnsi="Times New Roman" w:cs="Times New Roman"/>
          <w:b/>
          <w:color w:val="auto"/>
          <w:sz w:val="28"/>
          <w:szCs w:val="28"/>
        </w:rPr>
      </w:pPr>
      <w:bookmarkStart w:id="870" w:name="_Toc75269412"/>
      <w:r w:rsidRPr="00A75A86">
        <w:rPr>
          <w:rFonts w:ascii="Times New Roman" w:hAnsi="Times New Roman" w:cs="Times New Roman"/>
          <w:b/>
          <w:color w:val="auto"/>
          <w:sz w:val="28"/>
          <w:szCs w:val="28"/>
        </w:rPr>
        <w:t>Death Benefits Independent of Preexisting Entitlement to Disability Awards</w:t>
      </w:r>
      <w:r w:rsidRPr="00910BB7">
        <w:rPr>
          <w:rFonts w:ascii="Times New Roman" w:hAnsi="Times New Roman" w:cs="Times New Roman"/>
          <w:sz w:val="28"/>
          <w:szCs w:val="28"/>
          <w:vertAlign w:val="superscript"/>
        </w:rPr>
        <w:footnoteReference w:id="614"/>
      </w:r>
      <w:bookmarkEnd w:id="870"/>
    </w:p>
    <w:p w14:paraId="6F172721" w14:textId="77777777" w:rsidR="00FF7482" w:rsidRDefault="00FF7482" w:rsidP="007309AE">
      <w:pPr>
        <w:pStyle w:val="ListParagraph"/>
        <w:ind w:left="0" w:firstLine="720"/>
        <w:jc w:val="both"/>
        <w:rPr>
          <w:rFonts w:ascii="Times New Roman" w:hAnsi="Times New Roman" w:cs="Times New Roman"/>
          <w:sz w:val="24"/>
          <w:szCs w:val="24"/>
        </w:rPr>
      </w:pPr>
    </w:p>
    <w:p w14:paraId="6FE1BBD5" w14:textId="3D01F5E2" w:rsidR="00FF7482" w:rsidRDefault="00FF7482" w:rsidP="00D0388C">
      <w:pPr>
        <w:pStyle w:val="ListParagraph"/>
        <w:ind w:left="0"/>
        <w:jc w:val="both"/>
        <w:rPr>
          <w:rFonts w:ascii="Times New Roman" w:hAnsi="Times New Roman" w:cs="Times New Roman"/>
          <w:sz w:val="24"/>
          <w:szCs w:val="24"/>
        </w:rPr>
      </w:pPr>
      <w:r w:rsidRPr="007309AE">
        <w:rPr>
          <w:rFonts w:ascii="Times New Roman" w:hAnsi="Times New Roman" w:cs="Times New Roman"/>
          <w:sz w:val="24"/>
          <w:szCs w:val="24"/>
        </w:rPr>
        <w:t xml:space="preserve">If an injured employee </w:t>
      </w:r>
      <w:r w:rsidRPr="0063653D">
        <w:rPr>
          <w:rFonts w:ascii="Times New Roman" w:hAnsi="Times New Roman" w:cs="Times New Roman"/>
          <w:b/>
          <w:sz w:val="24"/>
          <w:szCs w:val="24"/>
          <w:u w:val="single"/>
        </w:rPr>
        <w:t>dies as a result of the work</w:t>
      </w:r>
      <w:r w:rsidR="00301EA9">
        <w:rPr>
          <w:rFonts w:ascii="Times New Roman" w:hAnsi="Times New Roman" w:cs="Times New Roman"/>
          <w:b/>
          <w:sz w:val="24"/>
          <w:szCs w:val="24"/>
          <w:u w:val="single"/>
        </w:rPr>
        <w:t>-</w:t>
      </w:r>
      <w:r w:rsidRPr="0063653D">
        <w:rPr>
          <w:rFonts w:ascii="Times New Roman" w:hAnsi="Times New Roman" w:cs="Times New Roman"/>
          <w:b/>
          <w:sz w:val="24"/>
          <w:szCs w:val="24"/>
          <w:u w:val="single"/>
        </w:rPr>
        <w:t>related injury</w:t>
      </w:r>
      <w:r>
        <w:rPr>
          <w:rFonts w:ascii="Times New Roman" w:hAnsi="Times New Roman" w:cs="Times New Roman"/>
          <w:b/>
          <w:sz w:val="24"/>
          <w:szCs w:val="24"/>
        </w:rPr>
        <w:t>,</w:t>
      </w:r>
      <w:r w:rsidRPr="004C1C1E">
        <w:rPr>
          <w:rFonts w:ascii="Times New Roman" w:hAnsi="Times New Roman" w:cs="Times New Roman"/>
          <w:b/>
          <w:sz w:val="24"/>
          <w:szCs w:val="24"/>
        </w:rPr>
        <w:t xml:space="preserve"> whether or not an award </w:t>
      </w:r>
      <w:r>
        <w:rPr>
          <w:rFonts w:ascii="Times New Roman" w:hAnsi="Times New Roman" w:cs="Times New Roman"/>
          <w:b/>
          <w:sz w:val="24"/>
          <w:szCs w:val="24"/>
        </w:rPr>
        <w:t xml:space="preserve">already </w:t>
      </w:r>
      <w:r w:rsidRPr="004C1C1E">
        <w:rPr>
          <w:rFonts w:ascii="Times New Roman" w:hAnsi="Times New Roman" w:cs="Times New Roman"/>
          <w:b/>
          <w:sz w:val="24"/>
          <w:szCs w:val="24"/>
        </w:rPr>
        <w:t>has been made</w:t>
      </w:r>
      <w:r w:rsidRPr="004C1C76">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a</w:t>
      </w:r>
      <w:r w:rsidRPr="007309AE">
        <w:rPr>
          <w:rFonts w:ascii="Times New Roman" w:hAnsi="Times New Roman" w:cs="Times New Roman"/>
          <w:sz w:val="24"/>
          <w:szCs w:val="24"/>
        </w:rPr>
        <w:t>ll</w:t>
      </w:r>
      <w:r>
        <w:rPr>
          <w:rFonts w:ascii="Times New Roman" w:hAnsi="Times New Roman" w:cs="Times New Roman"/>
          <w:sz w:val="24"/>
          <w:szCs w:val="24"/>
        </w:rPr>
        <w:t xml:space="preserve"> other disability</w:t>
      </w:r>
      <w:r w:rsidRPr="007309AE">
        <w:rPr>
          <w:rFonts w:ascii="Times New Roman" w:hAnsi="Times New Roman" w:cs="Times New Roman"/>
          <w:sz w:val="24"/>
          <w:szCs w:val="24"/>
        </w:rPr>
        <w:t xml:space="preserve"> awards</w:t>
      </w:r>
      <w:r>
        <w:rPr>
          <w:rFonts w:ascii="Times New Roman" w:hAnsi="Times New Roman" w:cs="Times New Roman"/>
          <w:sz w:val="24"/>
          <w:szCs w:val="24"/>
        </w:rPr>
        <w:t xml:space="preserve"> </w:t>
      </w:r>
      <w:r w:rsidRPr="007309AE">
        <w:rPr>
          <w:rFonts w:ascii="Times New Roman" w:hAnsi="Times New Roman" w:cs="Times New Roman"/>
          <w:sz w:val="24"/>
          <w:szCs w:val="24"/>
        </w:rPr>
        <w:t>cease as of the date of death</w:t>
      </w:r>
      <w:r>
        <w:rPr>
          <w:rFonts w:ascii="Times New Roman" w:hAnsi="Times New Roman" w:cs="Times New Roman"/>
          <w:sz w:val="24"/>
          <w:szCs w:val="24"/>
        </w:rPr>
        <w:t>. B</w:t>
      </w:r>
      <w:r w:rsidRPr="007309AE">
        <w:rPr>
          <w:rFonts w:ascii="Times New Roman" w:hAnsi="Times New Roman" w:cs="Times New Roman"/>
          <w:sz w:val="24"/>
          <w:szCs w:val="24"/>
        </w:rPr>
        <w:t xml:space="preserve">urial expenses </w:t>
      </w:r>
      <w:r>
        <w:rPr>
          <w:rFonts w:ascii="Times New Roman" w:hAnsi="Times New Roman" w:cs="Times New Roman"/>
          <w:sz w:val="24"/>
          <w:szCs w:val="24"/>
        </w:rPr>
        <w:t>not</w:t>
      </w:r>
      <w:r w:rsidRPr="007309AE">
        <w:rPr>
          <w:rFonts w:ascii="Times New Roman" w:hAnsi="Times New Roman" w:cs="Times New Roman"/>
          <w:sz w:val="24"/>
          <w:szCs w:val="24"/>
        </w:rPr>
        <w:t xml:space="preserve"> exceed</w:t>
      </w:r>
      <w:r>
        <w:rPr>
          <w:rFonts w:ascii="Times New Roman" w:hAnsi="Times New Roman" w:cs="Times New Roman"/>
          <w:sz w:val="24"/>
          <w:szCs w:val="24"/>
        </w:rPr>
        <w:t>ing</w:t>
      </w:r>
      <w:r w:rsidRPr="007309AE">
        <w:rPr>
          <w:rFonts w:ascii="Times New Roman" w:hAnsi="Times New Roman" w:cs="Times New Roman"/>
          <w:sz w:val="24"/>
          <w:szCs w:val="24"/>
        </w:rPr>
        <w:t xml:space="preserve"> $5,000</w:t>
      </w:r>
      <w:r>
        <w:rPr>
          <w:rFonts w:ascii="Times New Roman" w:hAnsi="Times New Roman" w:cs="Times New Roman"/>
          <w:sz w:val="24"/>
          <w:szCs w:val="24"/>
        </w:rPr>
        <w:t xml:space="preserve"> </w:t>
      </w:r>
      <w:r w:rsidRPr="007309AE">
        <w:rPr>
          <w:rFonts w:ascii="Times New Roman" w:hAnsi="Times New Roman" w:cs="Times New Roman"/>
          <w:sz w:val="24"/>
          <w:szCs w:val="24"/>
        </w:rPr>
        <w:t>together with an additional amount of $5,000</w:t>
      </w:r>
      <w:r>
        <w:rPr>
          <w:rFonts w:ascii="Times New Roman" w:hAnsi="Times New Roman" w:cs="Times New Roman"/>
          <w:sz w:val="24"/>
          <w:szCs w:val="24"/>
        </w:rPr>
        <w:t xml:space="preserve"> </w:t>
      </w:r>
      <w:r w:rsidRPr="007309AE">
        <w:rPr>
          <w:rFonts w:ascii="Times New Roman" w:hAnsi="Times New Roman" w:cs="Times New Roman"/>
          <w:sz w:val="24"/>
          <w:szCs w:val="24"/>
        </w:rPr>
        <w:t>to cover other related expenses</w:t>
      </w:r>
      <w:r>
        <w:rPr>
          <w:rFonts w:ascii="Times New Roman" w:hAnsi="Times New Roman" w:cs="Times New Roman"/>
          <w:sz w:val="24"/>
          <w:szCs w:val="24"/>
        </w:rPr>
        <w:t xml:space="preserve"> are payable</w:t>
      </w:r>
      <w:r w:rsidRPr="007309AE">
        <w:rPr>
          <w:rFonts w:ascii="Times New Roman" w:hAnsi="Times New Roman" w:cs="Times New Roman"/>
          <w:sz w:val="24"/>
          <w:szCs w:val="24"/>
        </w:rPr>
        <w:t xml:space="preserve"> unless other arrangements exist between the employer and employee under agreement</w:t>
      </w:r>
      <w:r>
        <w:rPr>
          <w:rFonts w:ascii="Times New Roman" w:hAnsi="Times New Roman" w:cs="Times New Roman"/>
          <w:sz w:val="24"/>
          <w:szCs w:val="24"/>
        </w:rPr>
        <w:t xml:space="preserve">. </w:t>
      </w:r>
      <w:r w:rsidRPr="005408B5">
        <w:rPr>
          <w:rFonts w:ascii="Times New Roman" w:hAnsi="Times New Roman" w:cs="Times New Roman"/>
          <w:b/>
          <w:sz w:val="24"/>
          <w:szCs w:val="24"/>
          <w:u w:val="single"/>
        </w:rPr>
        <w:t>The surviving spouse is entitled to monthly payments for 100 months</w:t>
      </w:r>
      <w:r>
        <w:rPr>
          <w:rFonts w:ascii="Times New Roman" w:hAnsi="Times New Roman" w:cs="Times New Roman"/>
          <w:sz w:val="24"/>
          <w:szCs w:val="24"/>
        </w:rPr>
        <w:t xml:space="preserve">. </w:t>
      </w:r>
      <w:r w:rsidRPr="007309AE">
        <w:rPr>
          <w:rFonts w:ascii="Times New Roman" w:hAnsi="Times New Roman" w:cs="Times New Roman"/>
          <w:sz w:val="24"/>
          <w:szCs w:val="24"/>
        </w:rPr>
        <w:t>If the surviving spouse dies before the award is entirely paid</w:t>
      </w:r>
      <w:r>
        <w:rPr>
          <w:rFonts w:ascii="Times New Roman" w:hAnsi="Times New Roman" w:cs="Times New Roman"/>
          <w:sz w:val="24"/>
          <w:szCs w:val="24"/>
        </w:rPr>
        <w:t>,</w:t>
      </w:r>
      <w:r w:rsidRPr="007309AE">
        <w:rPr>
          <w:rFonts w:ascii="Times New Roman" w:hAnsi="Times New Roman" w:cs="Times New Roman"/>
          <w:sz w:val="24"/>
          <w:szCs w:val="24"/>
        </w:rPr>
        <w:t xml:space="preserve"> or if there is no surviving spouse, the unpaid balance of the award </w:t>
      </w:r>
      <w:r>
        <w:rPr>
          <w:rFonts w:ascii="Times New Roman" w:hAnsi="Times New Roman" w:cs="Times New Roman"/>
          <w:sz w:val="24"/>
          <w:szCs w:val="24"/>
        </w:rPr>
        <w:t>is</w:t>
      </w:r>
      <w:r w:rsidRPr="007309AE">
        <w:rPr>
          <w:rFonts w:ascii="Times New Roman" w:hAnsi="Times New Roman" w:cs="Times New Roman"/>
          <w:sz w:val="24"/>
          <w:szCs w:val="24"/>
        </w:rPr>
        <w:t xml:space="preserve"> paid to the surviving dependent children of the employee</w:t>
      </w:r>
      <w:r w:rsidRPr="004C1C76">
        <w:rPr>
          <w:rFonts w:ascii="Times New Roman" w:hAnsi="Times New Roman" w:cs="Times New Roman"/>
          <w:bCs/>
          <w:sz w:val="24"/>
          <w:szCs w:val="24"/>
        </w:rPr>
        <w:t>.</w:t>
      </w:r>
      <w:r w:rsidRPr="005408B5">
        <w:rPr>
          <w:rFonts w:ascii="Times New Roman" w:hAnsi="Times New Roman" w:cs="Times New Roman"/>
          <w:b/>
          <w:sz w:val="24"/>
          <w:szCs w:val="24"/>
        </w:rPr>
        <w:t xml:space="preserve"> If there are no dependent children, further payments cease as of the date of the spouse</w:t>
      </w:r>
      <w:r>
        <w:rPr>
          <w:rFonts w:ascii="Times New Roman" w:hAnsi="Times New Roman" w:cs="Times New Roman"/>
          <w:b/>
          <w:sz w:val="24"/>
          <w:szCs w:val="24"/>
        </w:rPr>
        <w:t>’</w:t>
      </w:r>
      <w:r w:rsidRPr="005408B5">
        <w:rPr>
          <w:rFonts w:ascii="Times New Roman" w:hAnsi="Times New Roman" w:cs="Times New Roman"/>
          <w:b/>
          <w:sz w:val="24"/>
          <w:szCs w:val="24"/>
        </w:rPr>
        <w:t>s death</w:t>
      </w:r>
      <w:r>
        <w:rPr>
          <w:rFonts w:ascii="Times New Roman" w:hAnsi="Times New Roman" w:cs="Times New Roman"/>
          <w:sz w:val="24"/>
          <w:szCs w:val="24"/>
        </w:rPr>
        <w:t xml:space="preserve">. </w:t>
      </w:r>
    </w:p>
    <w:p w14:paraId="2E97E3D8" w14:textId="77777777" w:rsidR="00FF7482" w:rsidRDefault="00FF7482" w:rsidP="006E440F">
      <w:pPr>
        <w:pStyle w:val="ListParagraph"/>
        <w:spacing w:after="0"/>
        <w:ind w:left="0" w:firstLine="720"/>
        <w:jc w:val="both"/>
        <w:rPr>
          <w:rFonts w:ascii="Times New Roman" w:hAnsi="Times New Roman" w:cs="Times New Roman"/>
          <w:b/>
          <w:sz w:val="24"/>
          <w:szCs w:val="24"/>
          <w:u w:val="single"/>
        </w:rPr>
      </w:pPr>
    </w:p>
    <w:p w14:paraId="226D6428" w14:textId="41AF9D95" w:rsidR="00FF7482" w:rsidRDefault="00FF7482" w:rsidP="004C1C76">
      <w:pPr>
        <w:pStyle w:val="ListParagraph"/>
        <w:spacing w:after="0"/>
        <w:ind w:left="0"/>
        <w:jc w:val="both"/>
        <w:rPr>
          <w:rFonts w:ascii="Times New Roman" w:hAnsi="Times New Roman" w:cs="Times New Roman"/>
          <w:sz w:val="24"/>
          <w:szCs w:val="24"/>
        </w:rPr>
      </w:pPr>
      <w:r w:rsidRPr="005408B5">
        <w:rPr>
          <w:rFonts w:ascii="Times New Roman" w:hAnsi="Times New Roman" w:cs="Times New Roman"/>
          <w:b/>
          <w:sz w:val="24"/>
          <w:szCs w:val="24"/>
          <w:u w:val="single"/>
        </w:rPr>
        <w:t>Each surviving child of an employee is entitled to $250.00 per month</w:t>
      </w:r>
      <w:r w:rsidRPr="005408B5">
        <w:rPr>
          <w:rFonts w:ascii="Times New Roman" w:hAnsi="Times New Roman" w:cs="Times New Roman"/>
          <w:b/>
          <w:sz w:val="24"/>
          <w:szCs w:val="24"/>
        </w:rPr>
        <w:t xml:space="preserve"> until the child dies or reaches 21 years old, whichever first occurs.</w:t>
      </w:r>
      <w:r>
        <w:rPr>
          <w:rFonts w:ascii="Times New Roman" w:hAnsi="Times New Roman" w:cs="Times New Roman"/>
          <w:sz w:val="24"/>
          <w:szCs w:val="24"/>
        </w:rPr>
        <w:t xml:space="preserve"> (This is the rate as of this writing, which became effective on July 1, 2009).</w:t>
      </w:r>
      <w:r w:rsidRPr="00910BB7">
        <w:rPr>
          <w:rFonts w:ascii="Times New Roman" w:hAnsi="Times New Roman" w:cs="Times New Roman"/>
          <w:sz w:val="24"/>
          <w:szCs w:val="24"/>
          <w:vertAlign w:val="superscript"/>
        </w:rPr>
        <w:footnoteReference w:id="615"/>
      </w:r>
      <w:r>
        <w:rPr>
          <w:rFonts w:ascii="Times New Roman" w:hAnsi="Times New Roman" w:cs="Times New Roman"/>
          <w:sz w:val="24"/>
          <w:szCs w:val="24"/>
        </w:rPr>
        <w:t xml:space="preserve"> </w:t>
      </w:r>
      <w:r w:rsidRPr="005408B5">
        <w:rPr>
          <w:rFonts w:ascii="Times New Roman" w:hAnsi="Times New Roman" w:cs="Times New Roman"/>
          <w:b/>
          <w:sz w:val="24"/>
          <w:szCs w:val="24"/>
        </w:rPr>
        <w:t>If physically or mentally incapacitated, a surviving child is entitled to payments until death</w:t>
      </w:r>
      <w:r>
        <w:rPr>
          <w:rFonts w:ascii="Times New Roman" w:hAnsi="Times New Roman" w:cs="Times New Roman"/>
          <w:sz w:val="24"/>
          <w:szCs w:val="24"/>
        </w:rPr>
        <w:t xml:space="preserve"> (</w:t>
      </w:r>
      <w:r w:rsidRPr="00EC4099">
        <w:rPr>
          <w:rFonts w:ascii="Times New Roman" w:hAnsi="Times New Roman" w:cs="Times New Roman"/>
          <w:sz w:val="24"/>
          <w:szCs w:val="24"/>
        </w:rPr>
        <w:t>unless</w:t>
      </w:r>
      <w:r>
        <w:rPr>
          <w:rFonts w:ascii="Times New Roman" w:hAnsi="Times New Roman" w:cs="Times New Roman"/>
          <w:sz w:val="24"/>
          <w:szCs w:val="24"/>
        </w:rPr>
        <w:t xml:space="preserve"> </w:t>
      </w:r>
      <w:r w:rsidRPr="00EC4099">
        <w:rPr>
          <w:rFonts w:ascii="Times New Roman" w:hAnsi="Times New Roman" w:cs="Times New Roman"/>
          <w:sz w:val="24"/>
          <w:szCs w:val="24"/>
        </w:rPr>
        <w:t>receiving benefits under the Medicaid home and community based waiver program</w:t>
      </w:r>
      <w:r>
        <w:rPr>
          <w:rFonts w:ascii="Times New Roman" w:hAnsi="Times New Roman" w:cs="Times New Roman"/>
          <w:sz w:val="24"/>
          <w:szCs w:val="24"/>
        </w:rPr>
        <w:t>)</w:t>
      </w:r>
      <w:r w:rsidRPr="00EC4099">
        <w:rPr>
          <w:rFonts w:ascii="Times New Roman" w:hAnsi="Times New Roman" w:cs="Times New Roman"/>
          <w:sz w:val="24"/>
          <w:szCs w:val="24"/>
        </w:rPr>
        <w:t xml:space="preserve">. </w:t>
      </w:r>
      <w:bookmarkStart w:id="874" w:name="_Hlk24634434"/>
      <w:r w:rsidRPr="00EC4099">
        <w:rPr>
          <w:rFonts w:ascii="Times New Roman" w:hAnsi="Times New Roman" w:cs="Times New Roman"/>
          <w:sz w:val="24"/>
          <w:szCs w:val="24"/>
        </w:rPr>
        <w:t xml:space="preserve">If the </w:t>
      </w:r>
      <w:r>
        <w:rPr>
          <w:rFonts w:ascii="Times New Roman" w:hAnsi="Times New Roman" w:cs="Times New Roman"/>
          <w:sz w:val="24"/>
          <w:szCs w:val="24"/>
        </w:rPr>
        <w:t xml:space="preserve">surviving </w:t>
      </w:r>
      <w:r w:rsidRPr="00EC4099">
        <w:rPr>
          <w:rFonts w:ascii="Times New Roman" w:hAnsi="Times New Roman" w:cs="Times New Roman"/>
          <w:sz w:val="24"/>
          <w:szCs w:val="24"/>
        </w:rPr>
        <w:t>child is enrolled or preregistered in a post-secondary educational institution</w:t>
      </w:r>
      <w:r w:rsidR="00B94FDA">
        <w:rPr>
          <w:rFonts w:ascii="Times New Roman" w:hAnsi="Times New Roman" w:cs="Times New Roman"/>
          <w:sz w:val="24"/>
          <w:szCs w:val="24"/>
        </w:rPr>
        <w:t>,</w:t>
      </w:r>
      <w:r w:rsidRPr="00EC4099">
        <w:rPr>
          <w:rFonts w:ascii="Times New Roman" w:hAnsi="Times New Roman" w:cs="Times New Roman"/>
          <w:sz w:val="24"/>
          <w:szCs w:val="24"/>
        </w:rPr>
        <w:t xml:space="preserve"> including a four-year college, community college</w:t>
      </w:r>
      <w:r w:rsidR="004C1C76">
        <w:rPr>
          <w:rFonts w:ascii="Times New Roman" w:hAnsi="Times New Roman" w:cs="Times New Roman"/>
          <w:sz w:val="24"/>
          <w:szCs w:val="24"/>
        </w:rPr>
        <w:t>,</w:t>
      </w:r>
      <w:r w:rsidRPr="00EC4099">
        <w:rPr>
          <w:rFonts w:ascii="Times New Roman" w:hAnsi="Times New Roman" w:cs="Times New Roman"/>
          <w:sz w:val="24"/>
          <w:szCs w:val="24"/>
        </w:rPr>
        <w:t xml:space="preserve"> or private trade school providing career, technical</w:t>
      </w:r>
      <w:r w:rsidR="004C1C76">
        <w:rPr>
          <w:rFonts w:ascii="Times New Roman" w:hAnsi="Times New Roman" w:cs="Times New Roman"/>
          <w:sz w:val="24"/>
          <w:szCs w:val="24"/>
        </w:rPr>
        <w:t>,</w:t>
      </w:r>
      <w:r w:rsidRPr="00EC4099">
        <w:rPr>
          <w:rFonts w:ascii="Times New Roman" w:hAnsi="Times New Roman" w:cs="Times New Roman"/>
          <w:sz w:val="24"/>
          <w:szCs w:val="24"/>
        </w:rPr>
        <w:t xml:space="preserve"> or apprenticeship training, the child </w:t>
      </w:r>
      <w:r>
        <w:rPr>
          <w:rFonts w:ascii="Times New Roman" w:hAnsi="Times New Roman" w:cs="Times New Roman"/>
          <w:sz w:val="24"/>
          <w:szCs w:val="24"/>
        </w:rPr>
        <w:t>is eligible for benefits</w:t>
      </w:r>
      <w:r w:rsidRPr="00EC4099">
        <w:rPr>
          <w:rFonts w:ascii="Times New Roman" w:hAnsi="Times New Roman" w:cs="Times New Roman"/>
          <w:sz w:val="24"/>
          <w:szCs w:val="24"/>
        </w:rPr>
        <w:t xml:space="preserve"> until </w:t>
      </w:r>
      <w:r>
        <w:rPr>
          <w:rFonts w:ascii="Times New Roman" w:hAnsi="Times New Roman" w:cs="Times New Roman"/>
          <w:sz w:val="24"/>
          <w:szCs w:val="24"/>
        </w:rPr>
        <w:t xml:space="preserve">age </w:t>
      </w:r>
      <w:r w:rsidRPr="00EC4099">
        <w:rPr>
          <w:rFonts w:ascii="Times New Roman" w:hAnsi="Times New Roman" w:cs="Times New Roman"/>
          <w:sz w:val="24"/>
          <w:szCs w:val="24"/>
        </w:rPr>
        <w:t xml:space="preserve">25. </w:t>
      </w:r>
      <w:bookmarkEnd w:id="874"/>
      <w:r>
        <w:rPr>
          <w:rFonts w:ascii="Times New Roman" w:hAnsi="Times New Roman" w:cs="Times New Roman"/>
          <w:sz w:val="24"/>
          <w:szCs w:val="24"/>
        </w:rPr>
        <w:t>Monthly benefits are subject to inflation adjustment</w:t>
      </w:r>
      <w:r w:rsidRPr="00EC4099">
        <w:rPr>
          <w:rFonts w:ascii="Times New Roman" w:hAnsi="Times New Roman" w:cs="Times New Roman"/>
          <w:sz w:val="24"/>
          <w:szCs w:val="24"/>
        </w:rPr>
        <w:t>.</w:t>
      </w:r>
    </w:p>
    <w:p w14:paraId="5F7AB54D" w14:textId="77777777" w:rsidR="007F7070" w:rsidRDefault="007F7070" w:rsidP="007F7070">
      <w:pPr>
        <w:pStyle w:val="ListParagraph"/>
        <w:spacing w:after="0"/>
        <w:ind w:left="0"/>
        <w:jc w:val="both"/>
        <w:rPr>
          <w:rFonts w:ascii="Times New Roman" w:hAnsi="Times New Roman" w:cs="Times New Roman"/>
          <w:sz w:val="24"/>
          <w:szCs w:val="24"/>
        </w:rPr>
      </w:pPr>
    </w:p>
    <w:p w14:paraId="4231B6B0" w14:textId="7E63157F" w:rsidR="00FF7482" w:rsidRDefault="00FF7482" w:rsidP="007F707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For constitutional reasons, i</w:t>
      </w:r>
      <w:r w:rsidRPr="003B144F">
        <w:rPr>
          <w:rFonts w:ascii="Times New Roman" w:hAnsi="Times New Roman" w:cs="Times New Roman"/>
          <w:sz w:val="24"/>
          <w:szCs w:val="24"/>
        </w:rPr>
        <w:t>llegitimate or unborn children are valid beneficiaries of a deceased worker for the purpose of workers’ compensation death benefits.</w:t>
      </w:r>
      <w:r w:rsidRPr="00910BB7">
        <w:rPr>
          <w:rFonts w:ascii="Times New Roman" w:hAnsi="Times New Roman" w:cs="Times New Roman"/>
          <w:sz w:val="24"/>
          <w:szCs w:val="24"/>
          <w:vertAlign w:val="superscript"/>
        </w:rPr>
        <w:footnoteReference w:id="616"/>
      </w:r>
      <w:r>
        <w:rPr>
          <w:rFonts w:ascii="Times New Roman" w:hAnsi="Times New Roman" w:cs="Times New Roman"/>
          <w:sz w:val="24"/>
          <w:szCs w:val="24"/>
        </w:rPr>
        <w:t xml:space="preserve"> </w:t>
      </w:r>
      <w:r w:rsidRPr="003B144F">
        <w:rPr>
          <w:rFonts w:ascii="Times New Roman" w:hAnsi="Times New Roman" w:cs="Times New Roman"/>
          <w:sz w:val="24"/>
          <w:szCs w:val="24"/>
        </w:rPr>
        <w:t>Where necessary to determine paternity, the statute of limitations may be tolled.</w:t>
      </w:r>
      <w:r w:rsidRPr="00910BB7">
        <w:rPr>
          <w:rFonts w:ascii="Times New Roman" w:hAnsi="Times New Roman" w:cs="Times New Roman"/>
          <w:sz w:val="24"/>
          <w:szCs w:val="24"/>
          <w:vertAlign w:val="superscript"/>
        </w:rPr>
        <w:footnoteReference w:id="617"/>
      </w:r>
      <w:r w:rsidRPr="003B144F">
        <w:rPr>
          <w:rFonts w:ascii="Times New Roman" w:hAnsi="Times New Roman" w:cs="Times New Roman"/>
          <w:sz w:val="24"/>
          <w:szCs w:val="24"/>
        </w:rPr>
        <w:t xml:space="preserve"> </w:t>
      </w:r>
      <w:r>
        <w:rPr>
          <w:rFonts w:ascii="Times New Roman" w:hAnsi="Times New Roman" w:cs="Times New Roman"/>
          <w:sz w:val="24"/>
          <w:szCs w:val="24"/>
        </w:rPr>
        <w:t>Generally</w:t>
      </w:r>
      <w:r w:rsidRPr="003B144F">
        <w:rPr>
          <w:rFonts w:ascii="Times New Roman" w:hAnsi="Times New Roman" w:cs="Times New Roman"/>
          <w:sz w:val="24"/>
          <w:szCs w:val="24"/>
        </w:rPr>
        <w:t>,</w:t>
      </w:r>
      <w:r>
        <w:rPr>
          <w:rFonts w:ascii="Times New Roman" w:hAnsi="Times New Roman" w:cs="Times New Roman"/>
          <w:sz w:val="24"/>
          <w:szCs w:val="24"/>
        </w:rPr>
        <w:t xml:space="preserve"> </w:t>
      </w:r>
      <w:r w:rsidRPr="003B144F">
        <w:rPr>
          <w:rFonts w:ascii="Times New Roman" w:hAnsi="Times New Roman" w:cs="Times New Roman"/>
          <w:sz w:val="24"/>
          <w:szCs w:val="24"/>
        </w:rPr>
        <w:t>“substantial dependency” must be proven on behalf of children in order</w:t>
      </w:r>
      <w:r>
        <w:rPr>
          <w:rFonts w:ascii="Times New Roman" w:hAnsi="Times New Roman" w:cs="Times New Roman"/>
          <w:sz w:val="24"/>
          <w:szCs w:val="24"/>
        </w:rPr>
        <w:t xml:space="preserve"> for them</w:t>
      </w:r>
      <w:r w:rsidRPr="003B144F">
        <w:rPr>
          <w:rFonts w:ascii="Times New Roman" w:hAnsi="Times New Roman" w:cs="Times New Roman"/>
          <w:sz w:val="24"/>
          <w:szCs w:val="24"/>
        </w:rPr>
        <w:t xml:space="preserve"> to qualify as beneficiaries.  The </w:t>
      </w:r>
      <w:r>
        <w:rPr>
          <w:rFonts w:ascii="Times New Roman" w:hAnsi="Times New Roman" w:cs="Times New Roman"/>
          <w:sz w:val="24"/>
          <w:szCs w:val="24"/>
        </w:rPr>
        <w:t xml:space="preserve">Wyoming Supreme </w:t>
      </w:r>
      <w:r w:rsidRPr="003B144F">
        <w:rPr>
          <w:rFonts w:ascii="Times New Roman" w:hAnsi="Times New Roman" w:cs="Times New Roman"/>
          <w:sz w:val="24"/>
          <w:szCs w:val="24"/>
        </w:rPr>
        <w:t xml:space="preserve">Court </w:t>
      </w:r>
      <w:r>
        <w:rPr>
          <w:rFonts w:ascii="Times New Roman" w:hAnsi="Times New Roman" w:cs="Times New Roman"/>
          <w:sz w:val="24"/>
          <w:szCs w:val="24"/>
        </w:rPr>
        <w:t>has said</w:t>
      </w:r>
      <w:r w:rsidRPr="003B144F">
        <w:rPr>
          <w:rFonts w:ascii="Times New Roman" w:hAnsi="Times New Roman" w:cs="Times New Roman"/>
          <w:sz w:val="24"/>
          <w:szCs w:val="24"/>
        </w:rPr>
        <w:t xml:space="preserve"> this is in order to “. . . eliminate the confusion and dispute existing before regarding stepchildren, adoption, legitimacy, lineage, and alienage.”</w:t>
      </w:r>
      <w:r w:rsidRPr="00910BB7">
        <w:rPr>
          <w:rFonts w:ascii="Times New Roman" w:hAnsi="Times New Roman" w:cs="Times New Roman"/>
          <w:sz w:val="24"/>
          <w:szCs w:val="24"/>
          <w:vertAlign w:val="superscript"/>
        </w:rPr>
        <w:footnoteReference w:id="618"/>
      </w:r>
    </w:p>
    <w:p w14:paraId="22E3287E" w14:textId="77777777" w:rsidR="00FF7482" w:rsidRPr="007309AE" w:rsidRDefault="00FF7482" w:rsidP="006E440F">
      <w:pPr>
        <w:pStyle w:val="ListParagraph"/>
        <w:spacing w:after="0"/>
        <w:ind w:left="0" w:firstLine="720"/>
        <w:jc w:val="both"/>
        <w:rPr>
          <w:rFonts w:ascii="Times New Roman" w:hAnsi="Times New Roman" w:cs="Times New Roman"/>
          <w:sz w:val="24"/>
          <w:szCs w:val="24"/>
        </w:rPr>
      </w:pPr>
    </w:p>
    <w:p w14:paraId="67E32166" w14:textId="58B848FB" w:rsidR="00FF7482" w:rsidRDefault="00FF7482" w:rsidP="00477C62">
      <w:pPr>
        <w:pStyle w:val="ListParagraph"/>
        <w:spacing w:after="0"/>
        <w:ind w:left="0"/>
        <w:jc w:val="both"/>
        <w:rPr>
          <w:rFonts w:ascii="Times New Roman" w:hAnsi="Times New Roman" w:cs="Times New Roman"/>
          <w:sz w:val="24"/>
          <w:szCs w:val="24"/>
        </w:rPr>
      </w:pPr>
      <w:r w:rsidRPr="007309AE">
        <w:rPr>
          <w:rFonts w:ascii="Times New Roman" w:hAnsi="Times New Roman" w:cs="Times New Roman"/>
          <w:sz w:val="24"/>
          <w:szCs w:val="24"/>
        </w:rPr>
        <w:t>If the employee died with no surviving spouse or dependent children</w:t>
      </w:r>
      <w:r>
        <w:rPr>
          <w:rFonts w:ascii="Times New Roman" w:hAnsi="Times New Roman" w:cs="Times New Roman"/>
          <w:sz w:val="24"/>
          <w:szCs w:val="24"/>
        </w:rPr>
        <w:t>,</w:t>
      </w:r>
      <w:r w:rsidRPr="007309AE">
        <w:rPr>
          <w:rFonts w:ascii="Times New Roman" w:hAnsi="Times New Roman" w:cs="Times New Roman"/>
          <w:sz w:val="24"/>
          <w:szCs w:val="24"/>
        </w:rPr>
        <w:t xml:space="preserve"> but with one or two surviving parents who received at least one-half</w:t>
      </w:r>
      <w:r>
        <w:rPr>
          <w:rFonts w:ascii="Times New Roman" w:hAnsi="Times New Roman" w:cs="Times New Roman"/>
          <w:sz w:val="24"/>
          <w:szCs w:val="24"/>
        </w:rPr>
        <w:t xml:space="preserve"> </w:t>
      </w:r>
      <w:r w:rsidRPr="007309AE">
        <w:rPr>
          <w:rFonts w:ascii="Times New Roman" w:hAnsi="Times New Roman" w:cs="Times New Roman"/>
          <w:sz w:val="24"/>
          <w:szCs w:val="24"/>
        </w:rPr>
        <w:t>of his</w:t>
      </w:r>
      <w:r>
        <w:rPr>
          <w:rFonts w:ascii="Times New Roman" w:hAnsi="Times New Roman" w:cs="Times New Roman"/>
          <w:sz w:val="24"/>
          <w:szCs w:val="24"/>
        </w:rPr>
        <w:t>, her,</w:t>
      </w:r>
      <w:r w:rsidRPr="007309AE">
        <w:rPr>
          <w:rFonts w:ascii="Times New Roman" w:hAnsi="Times New Roman" w:cs="Times New Roman"/>
          <w:sz w:val="24"/>
          <w:szCs w:val="24"/>
        </w:rPr>
        <w:t xml:space="preserve"> or their financial support from the employee </w:t>
      </w:r>
      <w:r w:rsidRPr="005408B5">
        <w:rPr>
          <w:rFonts w:ascii="Times New Roman" w:hAnsi="Times New Roman" w:cs="Times New Roman"/>
          <w:b/>
          <w:sz w:val="24"/>
          <w:szCs w:val="24"/>
        </w:rPr>
        <w:t>at the time of injury</w:t>
      </w:r>
      <w:r w:rsidRPr="007309AE">
        <w:rPr>
          <w:rFonts w:ascii="Times New Roman" w:hAnsi="Times New Roman" w:cs="Times New Roman"/>
          <w:sz w:val="24"/>
          <w:szCs w:val="24"/>
        </w:rPr>
        <w:t xml:space="preserve">, </w:t>
      </w:r>
      <w:r w:rsidRPr="005408B5">
        <w:rPr>
          <w:rFonts w:ascii="Times New Roman" w:hAnsi="Times New Roman" w:cs="Times New Roman"/>
          <w:b/>
          <w:sz w:val="24"/>
          <w:szCs w:val="24"/>
          <w:u w:val="single"/>
        </w:rPr>
        <w:t>the surviving parent or parents receive a monthly payment for 60 months</w:t>
      </w:r>
      <w:r w:rsidRPr="007309AE">
        <w:rPr>
          <w:rFonts w:ascii="Times New Roman" w:hAnsi="Times New Roman" w:cs="Times New Roman"/>
          <w:sz w:val="24"/>
          <w:szCs w:val="24"/>
        </w:rPr>
        <w:t xml:space="preserve"> until the parent or the survivor of them dies.</w:t>
      </w:r>
    </w:p>
    <w:p w14:paraId="30D4B7E6" w14:textId="77777777" w:rsidR="00FF7482" w:rsidRDefault="00FF7482" w:rsidP="00A928BA">
      <w:pPr>
        <w:pStyle w:val="ListParagraph"/>
        <w:spacing w:after="0"/>
        <w:ind w:left="0" w:firstLine="720"/>
        <w:jc w:val="both"/>
        <w:rPr>
          <w:rFonts w:ascii="Times New Roman" w:hAnsi="Times New Roman" w:cs="Times New Roman"/>
          <w:sz w:val="24"/>
          <w:szCs w:val="24"/>
        </w:rPr>
      </w:pPr>
    </w:p>
    <w:p w14:paraId="7FB36DEF" w14:textId="0177FA22" w:rsidR="00FF7482" w:rsidRPr="00A75A86" w:rsidRDefault="00FF7482" w:rsidP="006B50FC">
      <w:pPr>
        <w:pStyle w:val="Heading2"/>
        <w:spacing w:before="0"/>
        <w:rPr>
          <w:rFonts w:ascii="Times New Roman" w:hAnsi="Times New Roman" w:cs="Times New Roman"/>
          <w:b/>
          <w:color w:val="auto"/>
          <w:sz w:val="28"/>
          <w:szCs w:val="28"/>
        </w:rPr>
      </w:pPr>
      <w:bookmarkStart w:id="879" w:name="_Toc75269413"/>
      <w:bookmarkStart w:id="880" w:name="_Hlk1412229"/>
      <w:r w:rsidRPr="00A75A86">
        <w:rPr>
          <w:rFonts w:ascii="Times New Roman" w:hAnsi="Times New Roman" w:cs="Times New Roman"/>
          <w:b/>
          <w:color w:val="auto"/>
          <w:sz w:val="28"/>
          <w:szCs w:val="28"/>
        </w:rPr>
        <w:t>Amount of Death Benefit Award</w:t>
      </w:r>
      <w:bookmarkEnd w:id="879"/>
    </w:p>
    <w:bookmarkEnd w:id="880"/>
    <w:p w14:paraId="4CCE1E86" w14:textId="254FFAA4" w:rsidR="00FF7482" w:rsidRDefault="00FF7482" w:rsidP="00FF1557">
      <w:pPr>
        <w:spacing w:after="0"/>
      </w:pPr>
    </w:p>
    <w:p w14:paraId="4CDC49A9" w14:textId="7F302A32" w:rsidR="00FF7482" w:rsidRDefault="00FF7482" w:rsidP="006B50FC">
      <w:pPr>
        <w:pStyle w:val="ListParagraph"/>
        <w:spacing w:after="0"/>
        <w:ind w:left="0"/>
        <w:jc w:val="both"/>
        <w:rPr>
          <w:rFonts w:ascii="Times New Roman" w:hAnsi="Times New Roman" w:cs="Times New Roman"/>
          <w:sz w:val="24"/>
          <w:szCs w:val="24"/>
        </w:rPr>
      </w:pPr>
      <w:r w:rsidRPr="0020594A">
        <w:rPr>
          <w:rFonts w:ascii="Times New Roman" w:hAnsi="Times New Roman" w:cs="Times New Roman"/>
          <w:sz w:val="24"/>
          <w:szCs w:val="24"/>
        </w:rPr>
        <w:t>The</w:t>
      </w:r>
      <w:r>
        <w:rPr>
          <w:rFonts w:ascii="Times New Roman" w:hAnsi="Times New Roman" w:cs="Times New Roman"/>
          <w:sz w:val="24"/>
          <w:szCs w:val="24"/>
        </w:rPr>
        <w:t xml:space="preserve"> statute provides that in the case of death due to work</w:t>
      </w:r>
      <w:r w:rsidR="00301EA9">
        <w:rPr>
          <w:rFonts w:ascii="Times New Roman" w:hAnsi="Times New Roman" w:cs="Times New Roman"/>
          <w:sz w:val="24"/>
          <w:szCs w:val="24"/>
        </w:rPr>
        <w:t>-</w:t>
      </w:r>
      <w:r>
        <w:rPr>
          <w:rFonts w:ascii="Times New Roman" w:hAnsi="Times New Roman" w:cs="Times New Roman"/>
          <w:sz w:val="24"/>
          <w:szCs w:val="24"/>
        </w:rPr>
        <w:t xml:space="preserve">related causes </w:t>
      </w:r>
      <w:r w:rsidRPr="00603DB6">
        <w:rPr>
          <w:rFonts w:ascii="Times New Roman" w:hAnsi="Times New Roman" w:cs="Times New Roman"/>
          <w:b/>
          <w:sz w:val="24"/>
          <w:szCs w:val="24"/>
        </w:rPr>
        <w:t>the death benefit award is not less than 80% of the statewide average monthly wage or 75% of the deceased employee’s actual earnings at the time of injury (whichever is greater) to a ceiling of two times the statewide average monthly wage</w:t>
      </w:r>
      <w:r>
        <w:rPr>
          <w:rFonts w:ascii="Times New Roman" w:hAnsi="Times New Roman" w:cs="Times New Roman"/>
          <w:sz w:val="24"/>
          <w:szCs w:val="24"/>
        </w:rPr>
        <w:t xml:space="preserve"> for “the twelve month period immediately preceding the quarterly period in which the injury occurred . . .”</w:t>
      </w:r>
      <w:r w:rsidRPr="00910BB7">
        <w:rPr>
          <w:rFonts w:ascii="Times New Roman" w:hAnsi="Times New Roman" w:cs="Times New Roman"/>
          <w:sz w:val="24"/>
          <w:szCs w:val="24"/>
          <w:vertAlign w:val="superscript"/>
        </w:rPr>
        <w:footnoteReference w:id="619"/>
      </w:r>
      <w:r w:rsidRPr="0020594A">
        <w:rPr>
          <w:rFonts w:ascii="Times New Roman" w:hAnsi="Times New Roman" w:cs="Times New Roman"/>
          <w:sz w:val="24"/>
          <w:szCs w:val="24"/>
        </w:rPr>
        <w:t xml:space="preserve"> </w:t>
      </w:r>
    </w:p>
    <w:p w14:paraId="78A5BB80" w14:textId="77777777" w:rsidR="00FF7482" w:rsidRDefault="00FF7482" w:rsidP="00A928BA">
      <w:pPr>
        <w:pStyle w:val="ListParagraph"/>
        <w:spacing w:after="0"/>
        <w:ind w:left="0" w:firstLine="720"/>
        <w:jc w:val="both"/>
        <w:rPr>
          <w:rFonts w:ascii="Times New Roman" w:hAnsi="Times New Roman" w:cs="Times New Roman"/>
          <w:sz w:val="24"/>
          <w:szCs w:val="24"/>
        </w:rPr>
      </w:pPr>
    </w:p>
    <w:p w14:paraId="1403BEE7" w14:textId="308DC68F" w:rsidR="00FF7482" w:rsidRPr="00A75A86" w:rsidRDefault="00FF7482" w:rsidP="007329EC">
      <w:pPr>
        <w:pStyle w:val="Heading2"/>
        <w:spacing w:before="0"/>
        <w:rPr>
          <w:rFonts w:ascii="Times New Roman" w:hAnsi="Times New Roman" w:cs="Times New Roman"/>
          <w:b/>
          <w:color w:val="auto"/>
          <w:sz w:val="28"/>
          <w:szCs w:val="28"/>
        </w:rPr>
      </w:pPr>
      <w:bookmarkStart w:id="882" w:name="_Toc75269414"/>
      <w:bookmarkStart w:id="883" w:name="_Hlk1412285"/>
      <w:r w:rsidRPr="00A75A86">
        <w:rPr>
          <w:rFonts w:ascii="Times New Roman" w:hAnsi="Times New Roman" w:cs="Times New Roman"/>
          <w:b/>
          <w:color w:val="auto"/>
          <w:sz w:val="28"/>
          <w:szCs w:val="28"/>
        </w:rPr>
        <w:t>Suicide</w:t>
      </w:r>
      <w:bookmarkEnd w:id="882"/>
    </w:p>
    <w:bookmarkEnd w:id="883"/>
    <w:p w14:paraId="48408AD7" w14:textId="36ED3184" w:rsidR="00FF7482" w:rsidRDefault="00FF7482" w:rsidP="007309AE">
      <w:pPr>
        <w:pStyle w:val="ListParagraph"/>
        <w:ind w:left="0" w:firstLine="720"/>
        <w:jc w:val="both"/>
        <w:rPr>
          <w:rFonts w:ascii="Times New Roman" w:hAnsi="Times New Roman" w:cs="Times New Roman"/>
          <w:sz w:val="24"/>
          <w:szCs w:val="24"/>
        </w:rPr>
      </w:pPr>
    </w:p>
    <w:p w14:paraId="7D75542D" w14:textId="328A9B59" w:rsidR="00FF7482" w:rsidRDefault="00FF7482" w:rsidP="007329EC">
      <w:pPr>
        <w:pStyle w:val="ListParagraph"/>
        <w:spacing w:after="0"/>
        <w:ind w:left="0"/>
        <w:jc w:val="both"/>
        <w:rPr>
          <w:rFonts w:ascii="Times New Roman" w:hAnsi="Times New Roman" w:cs="Times New Roman"/>
          <w:sz w:val="24"/>
          <w:szCs w:val="24"/>
        </w:rPr>
      </w:pPr>
      <w:r w:rsidRPr="00D26FF7">
        <w:rPr>
          <w:rFonts w:ascii="Times New Roman" w:hAnsi="Times New Roman" w:cs="Times New Roman"/>
          <w:sz w:val="24"/>
          <w:szCs w:val="24"/>
        </w:rPr>
        <w:t>Beneficiaries of workers who committed suicide may be compensated where the suicide is a compensable injury.</w:t>
      </w:r>
      <w:r w:rsidRPr="00910BB7">
        <w:rPr>
          <w:rFonts w:ascii="Times New Roman" w:hAnsi="Times New Roman" w:cs="Times New Roman"/>
          <w:sz w:val="24"/>
          <w:szCs w:val="24"/>
          <w:vertAlign w:val="superscript"/>
        </w:rPr>
        <w:footnoteReference w:id="620"/>
      </w:r>
      <w:r w:rsidRPr="00D26FF7">
        <w:rPr>
          <w:rFonts w:ascii="Times New Roman" w:hAnsi="Times New Roman" w:cs="Times New Roman"/>
          <w:sz w:val="24"/>
          <w:szCs w:val="24"/>
        </w:rPr>
        <w:t xml:space="preserve"> </w:t>
      </w:r>
    </w:p>
    <w:p w14:paraId="75C4C8B4" w14:textId="77777777" w:rsidR="00FF7482" w:rsidRDefault="00FF7482" w:rsidP="00A928BA">
      <w:pPr>
        <w:pStyle w:val="ListParagraph"/>
        <w:spacing w:after="0"/>
        <w:ind w:left="0" w:firstLine="720"/>
        <w:jc w:val="both"/>
        <w:rPr>
          <w:rFonts w:ascii="Times New Roman" w:hAnsi="Times New Roman" w:cs="Times New Roman"/>
          <w:sz w:val="24"/>
          <w:szCs w:val="24"/>
        </w:rPr>
      </w:pPr>
    </w:p>
    <w:p w14:paraId="7DBD8F5F" w14:textId="2B11561A" w:rsidR="00FF7482" w:rsidRPr="00A75A86" w:rsidRDefault="00FF7482" w:rsidP="007329EC">
      <w:pPr>
        <w:pStyle w:val="Heading2"/>
        <w:spacing w:before="0"/>
        <w:rPr>
          <w:rFonts w:ascii="Times New Roman" w:hAnsi="Times New Roman" w:cs="Times New Roman"/>
          <w:b/>
          <w:color w:val="auto"/>
          <w:sz w:val="28"/>
          <w:szCs w:val="28"/>
        </w:rPr>
      </w:pPr>
      <w:bookmarkStart w:id="885" w:name="_Toc75269415"/>
      <w:r w:rsidRPr="00A75A86">
        <w:rPr>
          <w:rFonts w:ascii="Times New Roman" w:hAnsi="Times New Roman" w:cs="Times New Roman"/>
          <w:b/>
          <w:color w:val="auto"/>
          <w:sz w:val="28"/>
          <w:szCs w:val="28"/>
        </w:rPr>
        <w:t>Hospital and Medical Benefits Generally</w:t>
      </w:r>
      <w:bookmarkEnd w:id="885"/>
    </w:p>
    <w:p w14:paraId="44915A1D" w14:textId="5A6B6228" w:rsidR="00FF7482" w:rsidRDefault="00FF7482" w:rsidP="007309AE">
      <w:pPr>
        <w:pStyle w:val="ListParagraph"/>
        <w:ind w:left="0" w:firstLine="720"/>
        <w:jc w:val="both"/>
        <w:rPr>
          <w:rFonts w:ascii="Times New Roman" w:hAnsi="Times New Roman" w:cs="Times New Roman"/>
          <w:sz w:val="24"/>
          <w:szCs w:val="24"/>
        </w:rPr>
      </w:pPr>
    </w:p>
    <w:p w14:paraId="39C03DE7" w14:textId="7C04A7AF" w:rsidR="00FF7482" w:rsidRDefault="00FF7482" w:rsidP="007329E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Workers’ compensation statutes in the United States provide for payment of injured workers’ </w:t>
      </w:r>
      <w:r w:rsidRPr="002859BE">
        <w:rPr>
          <w:rFonts w:ascii="Times New Roman" w:hAnsi="Times New Roman" w:cs="Times New Roman"/>
          <w:i/>
          <w:sz w:val="24"/>
          <w:szCs w:val="24"/>
        </w:rPr>
        <w:t>reasonable and necessary</w:t>
      </w:r>
      <w:r>
        <w:rPr>
          <w:rFonts w:ascii="Times New Roman" w:hAnsi="Times New Roman" w:cs="Times New Roman"/>
          <w:sz w:val="24"/>
          <w:szCs w:val="24"/>
        </w:rPr>
        <w:t xml:space="preserve"> medical expenses.</w:t>
      </w:r>
      <w:r w:rsidRPr="00910BB7">
        <w:rPr>
          <w:rFonts w:ascii="Times New Roman" w:hAnsi="Times New Roman" w:cs="Times New Roman"/>
          <w:sz w:val="24"/>
          <w:szCs w:val="24"/>
          <w:vertAlign w:val="superscript"/>
        </w:rPr>
        <w:footnoteReference w:id="621"/>
      </w:r>
      <w:r>
        <w:rPr>
          <w:rFonts w:ascii="Times New Roman" w:hAnsi="Times New Roman" w:cs="Times New Roman"/>
          <w:sz w:val="24"/>
          <w:szCs w:val="24"/>
        </w:rPr>
        <w:t xml:space="preserve"> According to the </w:t>
      </w:r>
      <w:r w:rsidRPr="002859BE">
        <w:rPr>
          <w:rFonts w:ascii="Times New Roman" w:hAnsi="Times New Roman" w:cs="Times New Roman"/>
          <w:i/>
          <w:sz w:val="24"/>
          <w:szCs w:val="24"/>
        </w:rPr>
        <w:t>Larson</w:t>
      </w:r>
      <w:r>
        <w:rPr>
          <w:rFonts w:ascii="Times New Roman" w:hAnsi="Times New Roman" w:cs="Times New Roman"/>
          <w:sz w:val="24"/>
          <w:szCs w:val="24"/>
        </w:rPr>
        <w:t>’s treatise, “[i]</w:t>
      </w:r>
      <w:r w:rsidRPr="00617864">
        <w:rPr>
          <w:rFonts w:ascii="Times New Roman" w:hAnsi="Times New Roman" w:cs="Times New Roman"/>
          <w:sz w:val="24"/>
          <w:szCs w:val="24"/>
        </w:rPr>
        <w:t>n forty-five states</w:t>
      </w:r>
      <w:r>
        <w:rPr>
          <w:rFonts w:ascii="Times New Roman" w:hAnsi="Times New Roman" w:cs="Times New Roman"/>
          <w:sz w:val="24"/>
          <w:szCs w:val="24"/>
        </w:rPr>
        <w:t xml:space="preserve">, </w:t>
      </w:r>
      <w:r w:rsidRPr="00617864">
        <w:rPr>
          <w:rFonts w:ascii="Times New Roman" w:hAnsi="Times New Roman" w:cs="Times New Roman"/>
          <w:sz w:val="24"/>
          <w:szCs w:val="24"/>
        </w:rPr>
        <w:t xml:space="preserve">District of Columbia and Puerto Rico, and under the </w:t>
      </w:r>
      <w:r w:rsidRPr="00617864">
        <w:rPr>
          <w:rFonts w:ascii="Times New Roman" w:hAnsi="Times New Roman" w:cs="Times New Roman"/>
          <w:sz w:val="24"/>
          <w:szCs w:val="24"/>
        </w:rPr>
        <w:lastRenderedPageBreak/>
        <w:t>Longshore and Harbor Workers’ Act, and the Federal Employees’ Compensation Act, such benefits are unlimited as to duration and amount.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22"/>
      </w:r>
      <w:r>
        <w:rPr>
          <w:rFonts w:ascii="Times New Roman" w:hAnsi="Times New Roman" w:cs="Times New Roman"/>
          <w:sz w:val="24"/>
          <w:szCs w:val="24"/>
        </w:rPr>
        <w:t xml:space="preserve"> While it is sometimes thought that the original statutes provided payment of medical expense, this actually is not true: the American Acts were modeled on the British Act, which, unlike the German Act, did </w:t>
      </w:r>
      <w:r w:rsidRPr="002859BE">
        <w:rPr>
          <w:rFonts w:ascii="Times New Roman" w:hAnsi="Times New Roman" w:cs="Times New Roman"/>
          <w:i/>
          <w:sz w:val="24"/>
          <w:szCs w:val="24"/>
        </w:rPr>
        <w:t>not</w:t>
      </w:r>
      <w:r>
        <w:rPr>
          <w:rFonts w:ascii="Times New Roman" w:hAnsi="Times New Roman" w:cs="Times New Roman"/>
          <w:sz w:val="24"/>
          <w:szCs w:val="24"/>
        </w:rPr>
        <w:t xml:space="preserve"> provide for payment medical treatment necessitated by work-related injury.</w:t>
      </w:r>
      <w:r w:rsidRPr="00910BB7">
        <w:rPr>
          <w:rFonts w:ascii="Times New Roman" w:hAnsi="Times New Roman" w:cs="Times New Roman"/>
          <w:sz w:val="24"/>
          <w:szCs w:val="24"/>
          <w:vertAlign w:val="superscript"/>
        </w:rPr>
        <w:footnoteReference w:id="623"/>
      </w:r>
      <w:r>
        <w:rPr>
          <w:rFonts w:ascii="Times New Roman" w:hAnsi="Times New Roman" w:cs="Times New Roman"/>
          <w:sz w:val="24"/>
          <w:szCs w:val="24"/>
        </w:rPr>
        <w:t xml:space="preserve"> The United Kingdom, however, established universal health care in 1911, rendering compensation of medical expense through the workers’ compensation system essentially moot.</w:t>
      </w:r>
      <w:r w:rsidRPr="00910BB7">
        <w:rPr>
          <w:rFonts w:ascii="Times New Roman" w:hAnsi="Times New Roman" w:cs="Times New Roman"/>
          <w:sz w:val="24"/>
          <w:szCs w:val="24"/>
          <w:vertAlign w:val="superscript"/>
        </w:rPr>
        <w:footnoteReference w:id="624"/>
      </w:r>
    </w:p>
    <w:p w14:paraId="58368A58" w14:textId="77777777" w:rsidR="00FF7482" w:rsidRDefault="00FF7482" w:rsidP="00A928BA">
      <w:pPr>
        <w:pStyle w:val="ListParagraph"/>
        <w:spacing w:after="0"/>
        <w:ind w:left="0" w:firstLine="720"/>
        <w:jc w:val="both"/>
        <w:rPr>
          <w:rFonts w:ascii="Times New Roman" w:hAnsi="Times New Roman" w:cs="Times New Roman"/>
          <w:sz w:val="24"/>
          <w:szCs w:val="24"/>
        </w:rPr>
      </w:pPr>
    </w:p>
    <w:p w14:paraId="4E364DB8" w14:textId="6A481A79" w:rsidR="00FF7482" w:rsidRPr="00A75A86" w:rsidRDefault="00FF7482" w:rsidP="007329EC">
      <w:pPr>
        <w:pStyle w:val="Heading2"/>
        <w:spacing w:before="0"/>
        <w:rPr>
          <w:rFonts w:ascii="Times New Roman" w:hAnsi="Times New Roman" w:cs="Times New Roman"/>
          <w:b/>
          <w:color w:val="auto"/>
          <w:sz w:val="28"/>
          <w:szCs w:val="28"/>
        </w:rPr>
      </w:pPr>
      <w:bookmarkStart w:id="891" w:name="_Toc75269416"/>
      <w:bookmarkStart w:id="892" w:name="_Hlk1412350"/>
      <w:r w:rsidRPr="00A75A86">
        <w:rPr>
          <w:rFonts w:ascii="Times New Roman" w:hAnsi="Times New Roman" w:cs="Times New Roman"/>
          <w:b/>
          <w:color w:val="auto"/>
          <w:sz w:val="28"/>
          <w:szCs w:val="28"/>
        </w:rPr>
        <w:t>Medical, Hospital, and Ambulance Expenses in Wyoming</w:t>
      </w:r>
      <w:bookmarkEnd w:id="891"/>
    </w:p>
    <w:bookmarkEnd w:id="892"/>
    <w:p w14:paraId="44B972F2" w14:textId="77777777" w:rsidR="007329EC" w:rsidRDefault="007329EC" w:rsidP="007329EC">
      <w:pPr>
        <w:pStyle w:val="ListParagraph"/>
        <w:spacing w:after="0"/>
        <w:ind w:left="0"/>
        <w:jc w:val="both"/>
        <w:rPr>
          <w:rFonts w:ascii="Times New Roman" w:hAnsi="Times New Roman" w:cs="Times New Roman"/>
          <w:sz w:val="24"/>
          <w:szCs w:val="24"/>
        </w:rPr>
      </w:pPr>
    </w:p>
    <w:p w14:paraId="163F6F09" w14:textId="197B8AFA" w:rsidR="00FF7482" w:rsidRDefault="00FF7482" w:rsidP="007329E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allowance for payment of the medical and related expenses under the Wyoming statute is relatively straightforward and found in </w:t>
      </w:r>
      <w:bookmarkStart w:id="893" w:name="_Hlk4352353"/>
      <w:r w:rsidRPr="00BD6F81">
        <w:rPr>
          <w:rFonts w:ascii="Times New Roman" w:hAnsi="Times New Roman" w:cs="Times New Roman"/>
          <w:sz w:val="24"/>
          <w:szCs w:val="24"/>
        </w:rPr>
        <w:t xml:space="preserve">W.S. § </w:t>
      </w:r>
      <w:hyperlink r:id="rId113" w:history="1">
        <w:r w:rsidRPr="00BD6F81">
          <w:rPr>
            <w:rStyle w:val="Hyperlink"/>
            <w:rFonts w:ascii="Times New Roman" w:hAnsi="Times New Roman" w:cs="Times New Roman"/>
            <w:sz w:val="24"/>
            <w:szCs w:val="24"/>
          </w:rPr>
          <w:t>27-14-401</w:t>
        </w:r>
        <w:bookmarkEnd w:id="893"/>
      </w:hyperlink>
      <w:r>
        <w:rPr>
          <w:rFonts w:ascii="Times New Roman" w:hAnsi="Times New Roman" w:cs="Times New Roman"/>
          <w:sz w:val="24"/>
          <w:szCs w:val="24"/>
        </w:rPr>
        <w:t>:</w:t>
      </w:r>
    </w:p>
    <w:p w14:paraId="558A2316" w14:textId="77777777" w:rsidR="007329EC" w:rsidRDefault="007329EC" w:rsidP="007329EC">
      <w:pPr>
        <w:pStyle w:val="ListParagraph"/>
        <w:ind w:right="720"/>
        <w:jc w:val="both"/>
        <w:rPr>
          <w:rFonts w:ascii="Times New Roman" w:hAnsi="Times New Roman" w:cs="Times New Roman"/>
          <w:sz w:val="24"/>
          <w:szCs w:val="24"/>
        </w:rPr>
      </w:pPr>
    </w:p>
    <w:p w14:paraId="1BC59BA9" w14:textId="2D22DCF3" w:rsidR="007329EC" w:rsidRPr="007329EC" w:rsidRDefault="00FF7482" w:rsidP="007329EC">
      <w:pPr>
        <w:pStyle w:val="ListParagraph"/>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(a) The expense of medical and hospital care of an injured employee shall be paid from the date of the compensable injury unless under general arrangement the employee is entitled to free medical and hospital care or the employer furnishes adequate and proper medical and hospital care to his employees.</w:t>
      </w:r>
    </w:p>
    <w:p w14:paraId="7518EAEE" w14:textId="65C7ECF4" w:rsidR="007329EC" w:rsidRPr="007329EC" w:rsidRDefault="00FF7482" w:rsidP="007329EC">
      <w:pPr>
        <w:pStyle w:val="ListParagraph"/>
        <w:ind w:right="720"/>
        <w:contextualSpacing w:val="0"/>
        <w:jc w:val="both"/>
        <w:rPr>
          <w:rFonts w:ascii="Times New Roman" w:hAnsi="Times New Roman" w:cs="Times New Roman"/>
          <w:b/>
          <w:sz w:val="24"/>
          <w:szCs w:val="24"/>
        </w:rPr>
      </w:pPr>
      <w:r w:rsidRPr="00DC433D">
        <w:rPr>
          <w:rFonts w:ascii="Times New Roman" w:hAnsi="Times New Roman" w:cs="Times New Roman"/>
          <w:sz w:val="24"/>
          <w:szCs w:val="24"/>
        </w:rPr>
        <w:t xml:space="preserve">(b) No fee for medical or hospital care under this section shall be allowed by the division </w:t>
      </w:r>
      <w:r w:rsidRPr="00DC433D">
        <w:rPr>
          <w:rFonts w:ascii="Times New Roman" w:hAnsi="Times New Roman" w:cs="Times New Roman"/>
          <w:b/>
          <w:sz w:val="24"/>
          <w:szCs w:val="24"/>
        </w:rPr>
        <w:t>without first reviewing the fee for appropriateness and reasonableness</w:t>
      </w:r>
      <w:r w:rsidRPr="00DC433D">
        <w:rPr>
          <w:rFonts w:ascii="Times New Roman" w:hAnsi="Times New Roman" w:cs="Times New Roman"/>
          <w:sz w:val="24"/>
          <w:szCs w:val="24"/>
        </w:rPr>
        <w:t xml:space="preserve"> </w:t>
      </w:r>
      <w:r w:rsidRPr="00DC433D">
        <w:rPr>
          <w:rFonts w:ascii="Times New Roman" w:hAnsi="Times New Roman" w:cs="Times New Roman"/>
          <w:b/>
          <w:sz w:val="24"/>
          <w:szCs w:val="24"/>
        </w:rPr>
        <w:t>in accordance with its adopted fee schedules</w:t>
      </w:r>
      <w:r w:rsidRPr="007329EC">
        <w:rPr>
          <w:rFonts w:ascii="Times New Roman" w:hAnsi="Times New Roman" w:cs="Times New Roman"/>
          <w:bCs/>
          <w:sz w:val="24"/>
          <w:szCs w:val="24"/>
        </w:rPr>
        <w:t>.</w:t>
      </w:r>
    </w:p>
    <w:p w14:paraId="1D008E82" w14:textId="200544DB" w:rsidR="007329EC" w:rsidRPr="007329EC" w:rsidRDefault="00FF7482" w:rsidP="007329EC">
      <w:pPr>
        <w:pStyle w:val="ListParagraph"/>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(c) Hospital care includes private nursing or nursing home care if approved by the director.</w:t>
      </w:r>
    </w:p>
    <w:p w14:paraId="738F0D7E" w14:textId="2759654B" w:rsidR="00FF7482" w:rsidRPr="007329EC" w:rsidRDefault="00FF7482" w:rsidP="007329EC">
      <w:pPr>
        <w:pStyle w:val="ListParagraph"/>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 xml:space="preserve">(d) </w:t>
      </w:r>
      <w:r w:rsidRPr="00DC433D">
        <w:rPr>
          <w:rFonts w:ascii="Times New Roman" w:hAnsi="Times New Roman" w:cs="Times New Roman"/>
          <w:b/>
          <w:sz w:val="24"/>
          <w:szCs w:val="24"/>
        </w:rPr>
        <w:t>Medical and hospital care shall be obtained if possible within Wyoming, or in an adjoining state if the hospital or health care provider in the adjoining state is closer to the scene of the accident or to the usual place of employment of the employee than a hospital or health care provider in Wyoming</w:t>
      </w:r>
      <w:r w:rsidRPr="00DC433D">
        <w:rPr>
          <w:rFonts w:ascii="Times New Roman" w:hAnsi="Times New Roman" w:cs="Times New Roman"/>
          <w:sz w:val="24"/>
          <w:szCs w:val="24"/>
        </w:rPr>
        <w:t xml:space="preserve">, unless otherwise authorized by the division. Except as otherwise authorized by the division, </w:t>
      </w:r>
      <w:r w:rsidRPr="00DC433D">
        <w:rPr>
          <w:rFonts w:ascii="Times New Roman" w:hAnsi="Times New Roman" w:cs="Times New Roman"/>
          <w:b/>
          <w:sz w:val="24"/>
          <w:szCs w:val="24"/>
        </w:rPr>
        <w:t>reimbursements for travel</w:t>
      </w:r>
      <w:r w:rsidRPr="00DC433D">
        <w:rPr>
          <w:rFonts w:ascii="Times New Roman" w:hAnsi="Times New Roman" w:cs="Times New Roman"/>
          <w:sz w:val="24"/>
          <w:szCs w:val="24"/>
        </w:rPr>
        <w:t xml:space="preserve"> in obtaining medical and hospital care </w:t>
      </w:r>
      <w:r w:rsidRPr="00DC433D">
        <w:rPr>
          <w:rFonts w:ascii="Times New Roman" w:hAnsi="Times New Roman" w:cs="Times New Roman"/>
          <w:b/>
          <w:sz w:val="24"/>
          <w:szCs w:val="24"/>
          <w:u w:val="single"/>
        </w:rPr>
        <w:t>shall not</w:t>
      </w:r>
      <w:r w:rsidRPr="00DC433D">
        <w:rPr>
          <w:rFonts w:ascii="Times New Roman" w:hAnsi="Times New Roman" w:cs="Times New Roman"/>
          <w:sz w:val="24"/>
          <w:szCs w:val="24"/>
        </w:rPr>
        <w:t xml:space="preserve"> be paid:</w:t>
      </w:r>
    </w:p>
    <w:p w14:paraId="37C76C3B" w14:textId="7DA4F42C" w:rsidR="00FF7482" w:rsidRDefault="00FF7482" w:rsidP="007329EC">
      <w:pPr>
        <w:pStyle w:val="ListParagraph"/>
        <w:ind w:left="1440"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 xml:space="preserve">(i) For travel of </w:t>
      </w:r>
      <w:r w:rsidRPr="00DC433D">
        <w:rPr>
          <w:rFonts w:ascii="Times New Roman" w:hAnsi="Times New Roman" w:cs="Times New Roman"/>
          <w:b/>
          <w:sz w:val="24"/>
          <w:szCs w:val="24"/>
        </w:rPr>
        <w:t>less than ten miles</w:t>
      </w:r>
      <w:r w:rsidRPr="00DC433D">
        <w:rPr>
          <w:rFonts w:ascii="Times New Roman" w:hAnsi="Times New Roman" w:cs="Times New Roman"/>
          <w:sz w:val="24"/>
          <w:szCs w:val="24"/>
        </w:rPr>
        <w:t xml:space="preserve"> one way except by ambulance travel as set forth in W.S. 27-14-401(e);</w:t>
      </w:r>
    </w:p>
    <w:p w14:paraId="533C84CC" w14:textId="52057E34" w:rsidR="00FF7482" w:rsidRPr="00DC433D" w:rsidRDefault="00FF7482" w:rsidP="007329EC">
      <w:pPr>
        <w:pStyle w:val="ListParagraph"/>
        <w:ind w:left="1440"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lastRenderedPageBreak/>
        <w:t xml:space="preserve">(ii) For travel </w:t>
      </w:r>
      <w:r w:rsidRPr="00DC433D">
        <w:rPr>
          <w:rFonts w:ascii="Times New Roman" w:hAnsi="Times New Roman" w:cs="Times New Roman"/>
          <w:b/>
          <w:sz w:val="24"/>
          <w:szCs w:val="24"/>
        </w:rPr>
        <w:t>other than that necessary to obtain the closest available medical or hospital care needed by the employee</w:t>
      </w:r>
      <w:r w:rsidRPr="00DC433D">
        <w:rPr>
          <w:rFonts w:ascii="Times New Roman" w:hAnsi="Times New Roman" w:cs="Times New Roman"/>
          <w:sz w:val="24"/>
          <w:szCs w:val="24"/>
        </w:rPr>
        <w:t xml:space="preserve"> except in those instances where travel within Wyoming is at a greater distance than travel outside of Wyoming;</w:t>
      </w:r>
    </w:p>
    <w:p w14:paraId="2787619E" w14:textId="598D8FC2" w:rsidR="00FF7482" w:rsidRPr="007329EC" w:rsidRDefault="00FF7482" w:rsidP="007329EC">
      <w:pPr>
        <w:pStyle w:val="ListParagraph"/>
        <w:ind w:left="1440"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(iii) In excess of the rates at which state employees are paid per diem and mileage.</w:t>
      </w:r>
    </w:p>
    <w:p w14:paraId="3D16B7CD" w14:textId="2E9B87E9" w:rsidR="00FF7482" w:rsidRPr="007329EC" w:rsidRDefault="00FF7482" w:rsidP="007329EC">
      <w:pPr>
        <w:pStyle w:val="ListParagraph"/>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 xml:space="preserve">(e) If transportation by </w:t>
      </w:r>
      <w:r w:rsidRPr="00DC433D">
        <w:rPr>
          <w:rFonts w:ascii="Times New Roman" w:hAnsi="Times New Roman" w:cs="Times New Roman"/>
          <w:b/>
          <w:sz w:val="24"/>
          <w:szCs w:val="24"/>
        </w:rPr>
        <w:t xml:space="preserve">ambulance </w:t>
      </w:r>
      <w:r w:rsidRPr="00DC433D">
        <w:rPr>
          <w:rFonts w:ascii="Times New Roman" w:hAnsi="Times New Roman" w:cs="Times New Roman"/>
          <w:sz w:val="24"/>
          <w:szCs w:val="24"/>
        </w:rPr>
        <w:t xml:space="preserve">is necessary, the division </w:t>
      </w:r>
      <w:r w:rsidRPr="00DC433D">
        <w:rPr>
          <w:rFonts w:ascii="Times New Roman" w:hAnsi="Times New Roman" w:cs="Times New Roman"/>
          <w:b/>
          <w:sz w:val="24"/>
          <w:szCs w:val="24"/>
        </w:rPr>
        <w:t>shall allow a reasonable charge</w:t>
      </w:r>
      <w:r w:rsidRPr="00DC433D">
        <w:rPr>
          <w:rFonts w:ascii="Times New Roman" w:hAnsi="Times New Roman" w:cs="Times New Roman"/>
          <w:sz w:val="24"/>
          <w:szCs w:val="24"/>
        </w:rPr>
        <w:t xml:space="preserve"> for the ambulance service at a rate </w:t>
      </w:r>
      <w:r w:rsidRPr="00DC433D">
        <w:rPr>
          <w:rFonts w:ascii="Times New Roman" w:hAnsi="Times New Roman" w:cs="Times New Roman"/>
          <w:b/>
          <w:sz w:val="24"/>
          <w:szCs w:val="24"/>
        </w:rPr>
        <w:t>not in excess of the rate schedule</w:t>
      </w:r>
      <w:r w:rsidRPr="00DC433D">
        <w:rPr>
          <w:rFonts w:ascii="Times New Roman" w:hAnsi="Times New Roman" w:cs="Times New Roman"/>
          <w:sz w:val="24"/>
          <w:szCs w:val="24"/>
        </w:rPr>
        <w:t xml:space="preserve"> established by the director under the procedure set forth for payment of medical and hospital care.</w:t>
      </w:r>
    </w:p>
    <w:p w14:paraId="342DE2E5" w14:textId="5413DE57" w:rsidR="00FF7482" w:rsidRPr="007329EC" w:rsidRDefault="00FF7482" w:rsidP="007329EC">
      <w:pPr>
        <w:pStyle w:val="ListParagraph"/>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 xml:space="preserve">(f) Subject to subsection (h) of this section, </w:t>
      </w:r>
      <w:r w:rsidRPr="00DC433D">
        <w:rPr>
          <w:rFonts w:ascii="Times New Roman" w:hAnsi="Times New Roman" w:cs="Times New Roman"/>
          <w:b/>
          <w:sz w:val="24"/>
          <w:szCs w:val="24"/>
        </w:rPr>
        <w:t>an employer or the division may designate health care providers to provide nonemergency medical attention to his employees or to claimants</w:t>
      </w:r>
      <w:r w:rsidRPr="00DC433D">
        <w:rPr>
          <w:rFonts w:ascii="Times New Roman" w:hAnsi="Times New Roman" w:cs="Times New Roman"/>
          <w:sz w:val="24"/>
          <w:szCs w:val="24"/>
        </w:rPr>
        <w:t xml:space="preserve"> under this act. Except as provided in subsection (h) of this section, </w:t>
      </w:r>
      <w:r w:rsidRPr="00DC433D">
        <w:rPr>
          <w:rFonts w:ascii="Times New Roman" w:hAnsi="Times New Roman" w:cs="Times New Roman"/>
          <w:b/>
          <w:sz w:val="24"/>
          <w:szCs w:val="24"/>
        </w:rPr>
        <w:t>the employee may</w:t>
      </w:r>
      <w:r w:rsidRPr="00DC433D">
        <w:rPr>
          <w:rFonts w:ascii="Times New Roman" w:hAnsi="Times New Roman" w:cs="Times New Roman"/>
          <w:sz w:val="24"/>
          <w:szCs w:val="24"/>
        </w:rPr>
        <w:t xml:space="preserve"> for any reason, </w:t>
      </w:r>
      <w:r w:rsidRPr="00DC433D">
        <w:rPr>
          <w:rFonts w:ascii="Times New Roman" w:hAnsi="Times New Roman" w:cs="Times New Roman"/>
          <w:b/>
          <w:sz w:val="24"/>
          <w:szCs w:val="24"/>
        </w:rPr>
        <w:t>select any other health care provider</w:t>
      </w:r>
      <w:r w:rsidRPr="00DC433D">
        <w:rPr>
          <w:rFonts w:ascii="Times New Roman" w:hAnsi="Times New Roman" w:cs="Times New Roman"/>
          <w:sz w:val="24"/>
          <w:szCs w:val="24"/>
        </w:rPr>
        <w:t xml:space="preserve">. </w:t>
      </w:r>
      <w:r w:rsidRPr="00DC433D">
        <w:rPr>
          <w:rFonts w:ascii="Times New Roman" w:hAnsi="Times New Roman" w:cs="Times New Roman"/>
          <w:b/>
          <w:sz w:val="24"/>
          <w:szCs w:val="24"/>
        </w:rPr>
        <w:t>If the employee selects a health care provider other than the one selected by the employer or the division, the employer or division may require a second opinion</w:t>
      </w:r>
      <w:r w:rsidRPr="00DC433D">
        <w:rPr>
          <w:rFonts w:ascii="Times New Roman" w:hAnsi="Times New Roman" w:cs="Times New Roman"/>
          <w:sz w:val="24"/>
          <w:szCs w:val="24"/>
        </w:rPr>
        <w:t xml:space="preserve"> from a health care provider of their choice. </w:t>
      </w:r>
      <w:r w:rsidRPr="00DC433D">
        <w:rPr>
          <w:rFonts w:ascii="Times New Roman" w:hAnsi="Times New Roman" w:cs="Times New Roman"/>
          <w:b/>
          <w:sz w:val="24"/>
          <w:szCs w:val="24"/>
        </w:rPr>
        <w:t>The second opinion may include an independent medical evaluation, a functional capacity exam or a review of the diagnosis, prognosis, treatment and fees of the employee's health care provider</w:t>
      </w:r>
      <w:r w:rsidRPr="00DC433D">
        <w:rPr>
          <w:rFonts w:ascii="Times New Roman" w:hAnsi="Times New Roman" w:cs="Times New Roman"/>
          <w:sz w:val="24"/>
          <w:szCs w:val="24"/>
        </w:rPr>
        <w:t xml:space="preserve">. The independent medical evaluation, a functional capacity exam or the review by the employer's health care provider </w:t>
      </w:r>
      <w:r w:rsidRPr="00DC433D">
        <w:rPr>
          <w:rFonts w:ascii="Times New Roman" w:hAnsi="Times New Roman" w:cs="Times New Roman"/>
          <w:b/>
          <w:sz w:val="24"/>
          <w:szCs w:val="24"/>
        </w:rPr>
        <w:t>shall be paid for by the employer and the evaluation, a functional capacity exam or review by the division's health care provider shall be paid from the worker's compensation account</w:t>
      </w:r>
      <w:r w:rsidRPr="00DC433D">
        <w:rPr>
          <w:rFonts w:ascii="Times New Roman" w:hAnsi="Times New Roman" w:cs="Times New Roman"/>
          <w:sz w:val="24"/>
          <w:szCs w:val="24"/>
        </w:rPr>
        <w:t>.</w:t>
      </w:r>
    </w:p>
    <w:p w14:paraId="6ED83394" w14:textId="5FFDC0D0" w:rsidR="00FF7482" w:rsidRPr="007329EC" w:rsidRDefault="00FF7482" w:rsidP="007329EC">
      <w:pPr>
        <w:pStyle w:val="ListParagraph"/>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(g) The division may engage in and contract for medical bill review programs, medical case management programs and utilization review programs. The division may also negotiate with out-of-state health care providers regarding the payment of fees for necessary medical care to injured workers, not to exceed the usual, customary charges for the comparable treatment in the community where rendered or the amount payable for the same services by the worker's compensation fund or account of the state where rendered, whichever is less.</w:t>
      </w:r>
    </w:p>
    <w:p w14:paraId="5275E879" w14:textId="368D5476" w:rsidR="00FF7482" w:rsidRDefault="00FF7482" w:rsidP="007329EC">
      <w:pPr>
        <w:pStyle w:val="ListParagraph"/>
        <w:spacing w:after="0"/>
        <w:ind w:right="720"/>
        <w:contextualSpacing w:val="0"/>
        <w:jc w:val="both"/>
        <w:rPr>
          <w:rFonts w:ascii="Times New Roman" w:hAnsi="Times New Roman" w:cs="Times New Roman"/>
          <w:sz w:val="24"/>
          <w:szCs w:val="24"/>
        </w:rPr>
      </w:pPr>
      <w:r w:rsidRPr="00DC433D">
        <w:rPr>
          <w:rFonts w:ascii="Times New Roman" w:hAnsi="Times New Roman" w:cs="Times New Roman"/>
          <w:sz w:val="24"/>
          <w:szCs w:val="24"/>
        </w:rPr>
        <w:t>(h) In the case of an inmate employed in a correctional industries program authorized by </w:t>
      </w:r>
      <w:hyperlink r:id="rId114" w:history="1">
        <w:r w:rsidRPr="00DC433D">
          <w:rPr>
            <w:rFonts w:ascii="Times New Roman" w:hAnsi="Times New Roman" w:cs="Times New Roman"/>
            <w:sz w:val="24"/>
            <w:szCs w:val="24"/>
          </w:rPr>
          <w:t>W.S. 25-13-101</w:t>
        </w:r>
      </w:hyperlink>
      <w:r w:rsidRPr="00DC433D">
        <w:rPr>
          <w:rFonts w:ascii="Times New Roman" w:hAnsi="Times New Roman" w:cs="Times New Roman"/>
          <w:sz w:val="24"/>
          <w:szCs w:val="24"/>
        </w:rPr>
        <w:t> through </w:t>
      </w:r>
      <w:hyperlink r:id="rId115" w:history="1">
        <w:r w:rsidRPr="00DC433D">
          <w:rPr>
            <w:rFonts w:ascii="Times New Roman" w:hAnsi="Times New Roman" w:cs="Times New Roman"/>
            <w:sz w:val="24"/>
            <w:szCs w:val="24"/>
          </w:rPr>
          <w:t>25-13-107</w:t>
        </w:r>
      </w:hyperlink>
      <w:r w:rsidRPr="00DC433D">
        <w:rPr>
          <w:rFonts w:ascii="Times New Roman" w:hAnsi="Times New Roman" w:cs="Times New Roman"/>
          <w:sz w:val="24"/>
          <w:szCs w:val="24"/>
        </w:rPr>
        <w:t> or</w:t>
      </w:r>
      <w:r>
        <w:rPr>
          <w:rFonts w:ascii="Times New Roman" w:hAnsi="Times New Roman" w:cs="Times New Roman"/>
          <w:sz w:val="24"/>
          <w:szCs w:val="24"/>
        </w:rPr>
        <w:t xml:space="preserve"> </w:t>
      </w:r>
      <w:r w:rsidRPr="00DC433D">
        <w:rPr>
          <w:rFonts w:ascii="Times New Roman" w:hAnsi="Times New Roman" w:cs="Times New Roman"/>
          <w:sz w:val="24"/>
          <w:szCs w:val="24"/>
        </w:rPr>
        <w:lastRenderedPageBreak/>
        <w:t>performing services pursuant to </w:t>
      </w:r>
      <w:hyperlink r:id="rId116" w:history="1">
        <w:r w:rsidRPr="00DC433D">
          <w:rPr>
            <w:rFonts w:ascii="Times New Roman" w:hAnsi="Times New Roman" w:cs="Times New Roman"/>
            <w:sz w:val="24"/>
            <w:szCs w:val="24"/>
          </w:rPr>
          <w:t>W.S. 7-16-202</w:t>
        </w:r>
      </w:hyperlink>
      <w:r w:rsidRPr="00DC433D">
        <w:rPr>
          <w:rFonts w:ascii="Times New Roman" w:hAnsi="Times New Roman" w:cs="Times New Roman"/>
          <w:sz w:val="24"/>
          <w:szCs w:val="24"/>
        </w:rPr>
        <w:t>, the department of corrections shall select the health care provider for the inmate.</w:t>
      </w:r>
    </w:p>
    <w:p w14:paraId="6C100C0C" w14:textId="77777777" w:rsidR="007329EC" w:rsidRDefault="007329EC" w:rsidP="007329EC">
      <w:pPr>
        <w:pStyle w:val="ListParagraph"/>
        <w:spacing w:after="0"/>
        <w:ind w:left="0"/>
        <w:jc w:val="both"/>
        <w:rPr>
          <w:rFonts w:ascii="Times New Roman" w:hAnsi="Times New Roman" w:cs="Times New Roman"/>
          <w:sz w:val="24"/>
          <w:szCs w:val="24"/>
        </w:rPr>
      </w:pPr>
    </w:p>
    <w:p w14:paraId="16E61F92" w14:textId="1536BCD2" w:rsidR="00FF7482" w:rsidRDefault="00FF7482" w:rsidP="00E269B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Sundry cases have been decided under these statutory provisions, a few of which seem worth discussing. To begin with, </w:t>
      </w:r>
      <w:r w:rsidRPr="00BB047D">
        <w:rPr>
          <w:rFonts w:ascii="Times New Roman" w:hAnsi="Times New Roman" w:cs="Times New Roman"/>
          <w:b/>
          <w:sz w:val="24"/>
          <w:szCs w:val="24"/>
        </w:rPr>
        <w:t xml:space="preserve">venerable authority establishes that employees are entitled as a matter of both the Wyoming statute and the Wyoming </w:t>
      </w:r>
      <w:r w:rsidR="007329EC">
        <w:rPr>
          <w:rFonts w:ascii="Times New Roman" w:hAnsi="Times New Roman" w:cs="Times New Roman"/>
          <w:b/>
          <w:sz w:val="24"/>
          <w:szCs w:val="24"/>
        </w:rPr>
        <w:t>C</w:t>
      </w:r>
      <w:r w:rsidRPr="00BB047D">
        <w:rPr>
          <w:rFonts w:ascii="Times New Roman" w:hAnsi="Times New Roman" w:cs="Times New Roman"/>
          <w:b/>
          <w:sz w:val="24"/>
          <w:szCs w:val="24"/>
        </w:rPr>
        <w:t>onstitution to reasonable and necessary medical treatment occasioned by a work-related injury</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25"/>
      </w:r>
      <w:r>
        <w:rPr>
          <w:rFonts w:ascii="Times New Roman" w:hAnsi="Times New Roman" w:cs="Times New Roman"/>
          <w:sz w:val="24"/>
          <w:szCs w:val="24"/>
        </w:rPr>
        <w:t xml:space="preserve"> However, as the statutory language set forth above makes clear, and as Wyoming courts have emphasized, there are a few especially significant qualifications to the default right of reasonable and necessary medical care. First, </w:t>
      </w:r>
      <w:r w:rsidRPr="00F721A0">
        <w:rPr>
          <w:rFonts w:ascii="Times New Roman" w:hAnsi="Times New Roman" w:cs="Times New Roman"/>
          <w:b/>
          <w:sz w:val="24"/>
          <w:szCs w:val="24"/>
        </w:rPr>
        <w:t xml:space="preserve">the </w:t>
      </w:r>
      <w:r w:rsidR="00301EA9">
        <w:rPr>
          <w:rFonts w:ascii="Times New Roman" w:hAnsi="Times New Roman" w:cs="Times New Roman"/>
          <w:b/>
          <w:sz w:val="24"/>
          <w:szCs w:val="24"/>
        </w:rPr>
        <w:t>D</w:t>
      </w:r>
      <w:r w:rsidRPr="00F721A0">
        <w:rPr>
          <w:rFonts w:ascii="Times New Roman" w:hAnsi="Times New Roman" w:cs="Times New Roman"/>
          <w:b/>
          <w:sz w:val="24"/>
          <w:szCs w:val="24"/>
        </w:rPr>
        <w:t>ivision is required to review bills in accordance with preestablished fee schedules before payment may be authorized</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26"/>
      </w:r>
      <w:r>
        <w:rPr>
          <w:rFonts w:ascii="Times New Roman" w:hAnsi="Times New Roman" w:cs="Times New Roman"/>
          <w:sz w:val="24"/>
          <w:szCs w:val="24"/>
        </w:rPr>
        <w:t xml:space="preserve"> Next, </w:t>
      </w:r>
      <w:r w:rsidRPr="00F721A0">
        <w:rPr>
          <w:rFonts w:ascii="Times New Roman" w:hAnsi="Times New Roman" w:cs="Times New Roman"/>
          <w:b/>
          <w:sz w:val="24"/>
          <w:szCs w:val="24"/>
        </w:rPr>
        <w:t>there is clearly a strong statutory preference that medical and hospital care be within Wyoming, or in a nearby state if medical resources there are closer to the scene of the accident</w:t>
      </w:r>
      <w:r w:rsidRPr="00BB047D">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27"/>
      </w:r>
    </w:p>
    <w:p w14:paraId="1B81B61B" w14:textId="77777777" w:rsidR="00FF7482" w:rsidRDefault="00FF7482" w:rsidP="008F3153">
      <w:pPr>
        <w:pStyle w:val="ListParagraph"/>
        <w:ind w:left="0" w:firstLine="720"/>
        <w:jc w:val="both"/>
        <w:rPr>
          <w:rFonts w:ascii="Times New Roman" w:hAnsi="Times New Roman" w:cs="Times New Roman"/>
          <w:sz w:val="24"/>
          <w:szCs w:val="24"/>
        </w:rPr>
      </w:pPr>
    </w:p>
    <w:p w14:paraId="6B50634C" w14:textId="4E7C0AB1" w:rsidR="00FF7482" w:rsidRDefault="00FF7482" w:rsidP="00E269B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Wyoming Supreme Court has also upheld Wyoming administrators’ view that </w:t>
      </w:r>
      <w:r w:rsidRPr="00EE4063">
        <w:rPr>
          <w:rFonts w:ascii="Times New Roman" w:hAnsi="Times New Roman" w:cs="Times New Roman"/>
          <w:b/>
          <w:sz w:val="24"/>
          <w:szCs w:val="24"/>
        </w:rPr>
        <w:t>“alternative” medicine is definitively not reasonable and necessary treatment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28"/>
      </w:r>
      <w:r>
        <w:rPr>
          <w:rFonts w:ascii="Times New Roman" w:hAnsi="Times New Roman" w:cs="Times New Roman"/>
          <w:sz w:val="24"/>
          <w:szCs w:val="24"/>
        </w:rPr>
        <w:t xml:space="preserve"> In </w:t>
      </w:r>
      <w:r w:rsidRPr="0076540D">
        <w:rPr>
          <w:rFonts w:ascii="Times New Roman" w:hAnsi="Times New Roman" w:cs="Times New Roman"/>
          <w:i/>
          <w:sz w:val="24"/>
          <w:szCs w:val="24"/>
        </w:rPr>
        <w:t>Harboth v. Department of Workforce Services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29"/>
      </w:r>
      <w:r>
        <w:rPr>
          <w:rFonts w:ascii="Times New Roman" w:hAnsi="Times New Roman" w:cs="Times New Roman"/>
          <w:sz w:val="24"/>
          <w:szCs w:val="24"/>
        </w:rPr>
        <w:t xml:space="preserve"> the Court upheld, as not arbitrary and capricious, the Medical Commission’s determination that i</w:t>
      </w:r>
      <w:r w:rsidRPr="0076540D">
        <w:rPr>
          <w:rFonts w:ascii="Times New Roman" w:hAnsi="Times New Roman" w:cs="Times New Roman"/>
          <w:sz w:val="24"/>
          <w:szCs w:val="24"/>
        </w:rPr>
        <w:t>mplantation of non-FDA-approved artificial discs at adjacent levels of the lumbar spine</w:t>
      </w:r>
      <w:r>
        <w:rPr>
          <w:rFonts w:ascii="Times New Roman" w:hAnsi="Times New Roman" w:cs="Times New Roman"/>
          <w:sz w:val="24"/>
          <w:szCs w:val="24"/>
        </w:rPr>
        <w:t xml:space="preserve">, </w:t>
      </w:r>
      <w:r w:rsidRPr="002D1642">
        <w:rPr>
          <w:rFonts w:ascii="Times New Roman" w:hAnsi="Times New Roman" w:cs="Times New Roman"/>
          <w:i/>
          <w:iCs/>
          <w:sz w:val="24"/>
          <w:szCs w:val="24"/>
        </w:rPr>
        <w:t>even if</w:t>
      </w:r>
      <w:r w:rsidRPr="0076540D">
        <w:rPr>
          <w:rFonts w:ascii="Times New Roman" w:hAnsi="Times New Roman" w:cs="Times New Roman"/>
          <w:sz w:val="24"/>
          <w:szCs w:val="24"/>
        </w:rPr>
        <w:t xml:space="preserve"> not an “off-label” use of medical services</w:t>
      </w:r>
      <w:r>
        <w:rPr>
          <w:rFonts w:ascii="Times New Roman" w:hAnsi="Times New Roman" w:cs="Times New Roman"/>
          <w:sz w:val="24"/>
          <w:szCs w:val="24"/>
        </w:rPr>
        <w:t>, was unsupported by</w:t>
      </w:r>
      <w:r w:rsidRPr="0076540D">
        <w:rPr>
          <w:rFonts w:ascii="Times New Roman" w:hAnsi="Times New Roman" w:cs="Times New Roman"/>
          <w:sz w:val="24"/>
          <w:szCs w:val="24"/>
        </w:rPr>
        <w:t xml:space="preserve"> sufficient documentation of the procedure’s safety and effectiveness</w:t>
      </w:r>
      <w:r>
        <w:rPr>
          <w:rFonts w:ascii="Times New Roman" w:hAnsi="Times New Roman" w:cs="Times New Roman"/>
          <w:sz w:val="24"/>
          <w:szCs w:val="24"/>
        </w:rPr>
        <w:t xml:space="preserve"> (</w:t>
      </w:r>
      <w:r w:rsidRPr="0076540D">
        <w:rPr>
          <w:rFonts w:ascii="Times New Roman" w:hAnsi="Times New Roman" w:cs="Times New Roman"/>
          <w:sz w:val="24"/>
          <w:szCs w:val="24"/>
        </w:rPr>
        <w:t xml:space="preserve">rendering </w:t>
      </w:r>
      <w:r>
        <w:rPr>
          <w:rFonts w:ascii="Times New Roman" w:hAnsi="Times New Roman" w:cs="Times New Roman"/>
          <w:sz w:val="24"/>
          <w:szCs w:val="24"/>
        </w:rPr>
        <w:t>the procedure</w:t>
      </w:r>
      <w:r w:rsidRPr="0076540D">
        <w:rPr>
          <w:rFonts w:ascii="Times New Roman" w:hAnsi="Times New Roman" w:cs="Times New Roman"/>
          <w:sz w:val="24"/>
          <w:szCs w:val="24"/>
        </w:rPr>
        <w:t xml:space="preserve"> “alternative medicine” for which benefits were properly denied</w:t>
      </w:r>
      <w:r>
        <w:rPr>
          <w:rFonts w:ascii="Times New Roman" w:hAnsi="Times New Roman" w:cs="Times New Roman"/>
          <w:sz w:val="24"/>
          <w:szCs w:val="24"/>
        </w:rPr>
        <w:t>)</w:t>
      </w:r>
      <w:r w:rsidRPr="0076540D">
        <w:rPr>
          <w:rFonts w:ascii="Times New Roman" w:hAnsi="Times New Roman" w:cs="Times New Roman"/>
          <w:sz w:val="24"/>
          <w:szCs w:val="24"/>
        </w:rPr>
        <w:t>.</w:t>
      </w:r>
      <w:r>
        <w:rPr>
          <w:rFonts w:ascii="Times New Roman" w:hAnsi="Times New Roman" w:cs="Times New Roman"/>
          <w:sz w:val="24"/>
          <w:szCs w:val="24"/>
        </w:rPr>
        <w:t xml:space="preserve"> The Court reached this result </w:t>
      </w:r>
      <w:r w:rsidRPr="0076540D">
        <w:rPr>
          <w:rFonts w:ascii="Times New Roman" w:hAnsi="Times New Roman" w:cs="Times New Roman"/>
          <w:sz w:val="24"/>
          <w:szCs w:val="24"/>
        </w:rPr>
        <w:t xml:space="preserve">even though surgery was </w:t>
      </w:r>
      <w:r w:rsidRPr="001B2D17">
        <w:rPr>
          <w:rFonts w:ascii="Times New Roman" w:hAnsi="Times New Roman" w:cs="Times New Roman"/>
          <w:i/>
          <w:iCs/>
          <w:sz w:val="24"/>
          <w:szCs w:val="24"/>
        </w:rPr>
        <w:t>successful</w:t>
      </w:r>
      <w:r w:rsidRPr="0076540D">
        <w:rPr>
          <w:rFonts w:ascii="Times New Roman" w:hAnsi="Times New Roman" w:cs="Times New Roman"/>
          <w:sz w:val="24"/>
          <w:szCs w:val="24"/>
        </w:rPr>
        <w:t xml:space="preserve"> and allowed </w:t>
      </w:r>
      <w:r>
        <w:rPr>
          <w:rFonts w:ascii="Times New Roman" w:hAnsi="Times New Roman" w:cs="Times New Roman"/>
          <w:sz w:val="24"/>
          <w:szCs w:val="24"/>
        </w:rPr>
        <w:t xml:space="preserve">the </w:t>
      </w:r>
      <w:r w:rsidRPr="0076540D">
        <w:rPr>
          <w:rFonts w:ascii="Times New Roman" w:hAnsi="Times New Roman" w:cs="Times New Roman"/>
          <w:sz w:val="24"/>
          <w:szCs w:val="24"/>
        </w:rPr>
        <w:t>claimant to return to previous work duties with no restrictions and no pain medication</w:t>
      </w:r>
      <w:r>
        <w:rPr>
          <w:rFonts w:ascii="Times New Roman" w:hAnsi="Times New Roman" w:cs="Times New Roman"/>
          <w:sz w:val="24"/>
          <w:szCs w:val="24"/>
        </w:rPr>
        <w:t>.</w:t>
      </w:r>
    </w:p>
    <w:p w14:paraId="552579C7" w14:textId="37393C77" w:rsidR="00FF7482" w:rsidRDefault="00FF7482" w:rsidP="008F3153">
      <w:pPr>
        <w:pStyle w:val="ListParagraph"/>
        <w:ind w:left="0" w:firstLine="720"/>
        <w:jc w:val="both"/>
        <w:rPr>
          <w:rFonts w:ascii="Times New Roman" w:hAnsi="Times New Roman" w:cs="Times New Roman"/>
          <w:sz w:val="24"/>
          <w:szCs w:val="24"/>
        </w:rPr>
      </w:pPr>
    </w:p>
    <w:p w14:paraId="29D16FAF" w14:textId="56E1E4A5" w:rsidR="00FF7482" w:rsidRDefault="00FF7482" w:rsidP="00E269B5">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On the other hand, “</w:t>
      </w:r>
      <w:r w:rsidRPr="008B2D82">
        <w:rPr>
          <w:rFonts w:ascii="Times New Roman" w:hAnsi="Times New Roman" w:cs="Times New Roman"/>
          <w:sz w:val="24"/>
          <w:szCs w:val="24"/>
        </w:rPr>
        <w:t>FDA approval of a medical device or treatment is not required to establish that it is reasonable and necessary; but, under Chapter 10, § 3 of the Division Rules, the Division may require a claimant requesting a non-FDA-approved medical device or treatment to produce reliable documentation of its safety and effectiveness against her specific medical condition.</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30"/>
      </w:r>
      <w:r>
        <w:rPr>
          <w:rFonts w:ascii="Times New Roman" w:hAnsi="Times New Roman" w:cs="Times New Roman"/>
          <w:sz w:val="24"/>
          <w:szCs w:val="24"/>
        </w:rPr>
        <w:t xml:space="preserve"> And </w:t>
      </w:r>
      <w:r w:rsidRPr="00EE4063">
        <w:rPr>
          <w:rFonts w:ascii="Times New Roman" w:hAnsi="Times New Roman" w:cs="Times New Roman"/>
          <w:b/>
          <w:sz w:val="24"/>
          <w:szCs w:val="24"/>
        </w:rPr>
        <w:t xml:space="preserve">“[a]n </w:t>
      </w:r>
      <w:r w:rsidRPr="00EE4063">
        <w:rPr>
          <w:rFonts w:ascii="Times New Roman" w:hAnsi="Times New Roman" w:cs="Times New Roman"/>
          <w:b/>
          <w:sz w:val="24"/>
          <w:szCs w:val="24"/>
        </w:rPr>
        <w:lastRenderedPageBreak/>
        <w:t>appropriate diagnostic measure is not non-compensable merely because it fails to reveal an injury which is causally connected to an on-the-job injury.”</w:t>
      </w:r>
      <w:r w:rsidRPr="00910BB7">
        <w:rPr>
          <w:rFonts w:ascii="Times New Roman" w:hAnsi="Times New Roman" w:cs="Times New Roman"/>
          <w:bCs/>
          <w:sz w:val="24"/>
          <w:szCs w:val="24"/>
          <w:vertAlign w:val="superscript"/>
        </w:rPr>
        <w:footnoteReference w:id="631"/>
      </w:r>
    </w:p>
    <w:p w14:paraId="4073ECCE" w14:textId="3A5072A7" w:rsidR="00FF7482" w:rsidRDefault="00FF7482" w:rsidP="008F3153">
      <w:pPr>
        <w:pStyle w:val="ListParagraph"/>
        <w:ind w:left="0" w:firstLine="720"/>
        <w:jc w:val="both"/>
        <w:rPr>
          <w:rFonts w:ascii="Times New Roman" w:hAnsi="Times New Roman" w:cs="Times New Roman"/>
          <w:b/>
          <w:sz w:val="24"/>
          <w:szCs w:val="24"/>
        </w:rPr>
      </w:pPr>
    </w:p>
    <w:p w14:paraId="3B4B4603" w14:textId="3CF3469C" w:rsidR="00FF7482" w:rsidRPr="00BB7AED" w:rsidRDefault="00FF7482" w:rsidP="00E269B5">
      <w:pPr>
        <w:pStyle w:val="ListParagraph"/>
        <w:ind w:left="0"/>
        <w:jc w:val="both"/>
        <w:rPr>
          <w:rFonts w:ascii="Times New Roman" w:hAnsi="Times New Roman" w:cs="Times New Roman"/>
          <w:sz w:val="24"/>
          <w:szCs w:val="24"/>
        </w:rPr>
      </w:pPr>
      <w:r w:rsidRPr="00BB7AED">
        <w:rPr>
          <w:rFonts w:ascii="Times New Roman" w:hAnsi="Times New Roman" w:cs="Times New Roman"/>
          <w:sz w:val="24"/>
          <w:szCs w:val="24"/>
        </w:rPr>
        <w:t>As discussed above in Section 3.10</w:t>
      </w:r>
      <w:r>
        <w:rPr>
          <w:rFonts w:ascii="Times New Roman" w:hAnsi="Times New Roman" w:cs="Times New Roman"/>
          <w:sz w:val="24"/>
          <w:szCs w:val="24"/>
        </w:rPr>
        <w:t xml:space="preserve">, </w:t>
      </w:r>
      <w:r w:rsidRPr="00763F80">
        <w:rPr>
          <w:rFonts w:ascii="Times New Roman" w:hAnsi="Times New Roman" w:cs="Times New Roman"/>
          <w:b/>
          <w:sz w:val="24"/>
          <w:szCs w:val="24"/>
        </w:rPr>
        <w:t>the second compensable injury rule may allow for coverage of future medical (and disability) benefits when it is more likely than not that a second injury has been caused by a first compensable injury</w:t>
      </w:r>
      <w:r>
        <w:rPr>
          <w:rFonts w:ascii="Times New Roman" w:hAnsi="Times New Roman" w:cs="Times New Roman"/>
          <w:sz w:val="24"/>
          <w:szCs w:val="24"/>
        </w:rPr>
        <w:t>. Wyoming courts have recognized and continue to apply this principle.</w:t>
      </w:r>
      <w:r w:rsidRPr="00910BB7">
        <w:rPr>
          <w:rFonts w:ascii="Times New Roman" w:hAnsi="Times New Roman" w:cs="Times New Roman"/>
          <w:sz w:val="24"/>
          <w:szCs w:val="24"/>
          <w:vertAlign w:val="superscript"/>
        </w:rPr>
        <w:footnoteReference w:id="632"/>
      </w:r>
      <w:r>
        <w:rPr>
          <w:rFonts w:ascii="Times New Roman" w:hAnsi="Times New Roman" w:cs="Times New Roman"/>
          <w:sz w:val="24"/>
          <w:szCs w:val="24"/>
        </w:rPr>
        <w:t xml:space="preserve"> To repeat the point made in Section 3.10, great care should be taken to distinguish benefits for an original workers’ compensation claim—which are limited to a period of four years from the last benefit payment on that claim—from benefits in connection with a new injury caused by an original compensable claim. </w:t>
      </w:r>
      <w:r w:rsidRPr="00763F80">
        <w:rPr>
          <w:rFonts w:ascii="Times New Roman" w:hAnsi="Times New Roman" w:cs="Times New Roman"/>
          <w:b/>
          <w:sz w:val="24"/>
          <w:szCs w:val="24"/>
        </w:rPr>
        <w:t>A claimant seeking medical benefits for the second compensable injury is not (under current law) bound by the four year limitations period, nor is it clear whether there is a limitations period</w:t>
      </w:r>
      <w:r w:rsidR="00D4775A" w:rsidRPr="00D4775A">
        <w:rPr>
          <w:rFonts w:ascii="Times New Roman" w:hAnsi="Times New Roman" w:cs="Times New Roman"/>
          <w:bCs/>
          <w:sz w:val="24"/>
          <w:szCs w:val="24"/>
        </w:rPr>
        <w:t>.</w:t>
      </w:r>
      <w:r w:rsidR="00D4775A">
        <w:rPr>
          <w:rFonts w:ascii="Times New Roman" w:hAnsi="Times New Roman" w:cs="Times New Roman"/>
          <w:b/>
          <w:sz w:val="24"/>
          <w:szCs w:val="24"/>
        </w:rPr>
        <w:t xml:space="preserve"> </w:t>
      </w:r>
    </w:p>
    <w:p w14:paraId="3222AB94" w14:textId="0AFD7E86" w:rsidR="00FF7482" w:rsidRDefault="00FF7482" w:rsidP="008F3153">
      <w:pPr>
        <w:pStyle w:val="ListParagraph"/>
        <w:ind w:left="0" w:firstLine="720"/>
        <w:jc w:val="both"/>
        <w:rPr>
          <w:rFonts w:ascii="Times New Roman" w:hAnsi="Times New Roman" w:cs="Times New Roman"/>
          <w:sz w:val="24"/>
          <w:szCs w:val="24"/>
        </w:rPr>
      </w:pPr>
    </w:p>
    <w:p w14:paraId="39EBA323" w14:textId="628F6F3A" w:rsidR="00FF7482" w:rsidRDefault="00FF7482" w:rsidP="00E269B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Of course, any claimant for </w:t>
      </w:r>
      <w:r w:rsidRPr="00BE6DB7">
        <w:rPr>
          <w:rFonts w:ascii="Times New Roman" w:hAnsi="Times New Roman" w:cs="Times New Roman"/>
          <w:i/>
          <w:sz w:val="24"/>
          <w:szCs w:val="24"/>
        </w:rPr>
        <w:t>future</w:t>
      </w:r>
      <w:r>
        <w:rPr>
          <w:rFonts w:ascii="Times New Roman" w:hAnsi="Times New Roman" w:cs="Times New Roman"/>
          <w:sz w:val="24"/>
          <w:szCs w:val="24"/>
        </w:rPr>
        <w:t xml:space="preserve"> medical benefits subsequent to a compensable work-related injury must establish that a current medical condition is causally related to that (or some) work-related injury.</w:t>
      </w:r>
      <w:r w:rsidRPr="00910BB7">
        <w:rPr>
          <w:rFonts w:ascii="Times New Roman" w:hAnsi="Times New Roman" w:cs="Times New Roman"/>
          <w:sz w:val="24"/>
          <w:szCs w:val="24"/>
          <w:vertAlign w:val="superscript"/>
        </w:rPr>
        <w:footnoteReference w:id="633"/>
      </w:r>
      <w:r>
        <w:rPr>
          <w:rFonts w:ascii="Times New Roman" w:hAnsi="Times New Roman" w:cs="Times New Roman"/>
          <w:sz w:val="24"/>
          <w:szCs w:val="24"/>
        </w:rPr>
        <w:t xml:space="preserve"> There is, however, a different causation standard in connection with the second compensable injury which was explained in some detail in </w:t>
      </w:r>
      <w:r w:rsidRPr="00BE6DB7">
        <w:rPr>
          <w:rFonts w:ascii="Times New Roman" w:hAnsi="Times New Roman" w:cs="Times New Roman"/>
          <w:i/>
          <w:sz w:val="24"/>
          <w:szCs w:val="24"/>
        </w:rPr>
        <w:t>Hardy v. Workers’ Compensation Div</w:t>
      </w:r>
      <w:r>
        <w:rPr>
          <w:rFonts w:ascii="Times New Roman" w:hAnsi="Times New Roman" w:cs="Times New Roman"/>
          <w:i/>
          <w:sz w:val="24"/>
          <w:szCs w:val="24"/>
        </w:rPr>
        <w: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34"/>
      </w:r>
      <w:r>
        <w:rPr>
          <w:rFonts w:ascii="Times New Roman" w:hAnsi="Times New Roman" w:cs="Times New Roman"/>
          <w:sz w:val="24"/>
          <w:szCs w:val="24"/>
        </w:rPr>
        <w:t xml:space="preserve"> </w:t>
      </w:r>
    </w:p>
    <w:p w14:paraId="73D6EFCE" w14:textId="17BAA4B4" w:rsidR="00FF7482" w:rsidRDefault="00FF7482" w:rsidP="008F3153">
      <w:pPr>
        <w:pStyle w:val="ListParagraph"/>
        <w:ind w:left="0" w:firstLine="720"/>
        <w:jc w:val="both"/>
        <w:rPr>
          <w:rFonts w:ascii="Times New Roman" w:hAnsi="Times New Roman" w:cs="Times New Roman"/>
          <w:sz w:val="24"/>
          <w:szCs w:val="24"/>
        </w:rPr>
      </w:pPr>
    </w:p>
    <w:p w14:paraId="3C64C752" w14:textId="4642782B" w:rsidR="00FF7482" w:rsidRDefault="00FF7482" w:rsidP="00E269B5">
      <w:pPr>
        <w:pStyle w:val="ListParagraph"/>
        <w:spacing w:after="0"/>
        <w:ind w:right="720"/>
        <w:jc w:val="both"/>
        <w:rPr>
          <w:rFonts w:ascii="Times New Roman" w:hAnsi="Times New Roman" w:cs="Times New Roman"/>
          <w:sz w:val="24"/>
          <w:szCs w:val="24"/>
        </w:rPr>
      </w:pPr>
      <w:r w:rsidRPr="00BE6DB7">
        <w:rPr>
          <w:rFonts w:ascii="Times New Roman" w:hAnsi="Times New Roman" w:cs="Times New Roman"/>
          <w:sz w:val="24"/>
          <w:szCs w:val="24"/>
        </w:rPr>
        <w:t xml:space="preserve">In order to show that an injury qualifies under the second compensable injury principle, the claimant must show, by a preponderance of the evidence, that it is </w:t>
      </w:r>
      <w:r w:rsidRPr="00BE6DB7">
        <w:rPr>
          <w:rFonts w:ascii="Times New Roman" w:hAnsi="Times New Roman" w:cs="Times New Roman"/>
          <w:b/>
          <w:sz w:val="24"/>
          <w:szCs w:val="24"/>
          <w:u w:val="single"/>
        </w:rPr>
        <w:t>more probable than not</w:t>
      </w:r>
      <w:r w:rsidRPr="00BE6DB7">
        <w:rPr>
          <w:rFonts w:ascii="Times New Roman" w:hAnsi="Times New Roman" w:cs="Times New Roman"/>
          <w:sz w:val="24"/>
          <w:szCs w:val="24"/>
        </w:rPr>
        <w:t xml:space="preserve"> that a causal connection exists between the first and second injuries</w:t>
      </w:r>
      <w:r>
        <w:rPr>
          <w:rFonts w:ascii="Times New Roman" w:hAnsi="Times New Roman" w:cs="Times New Roman"/>
          <w:sz w:val="24"/>
          <w:szCs w:val="24"/>
        </w:rPr>
        <w:t xml:space="preserve"> . . . </w:t>
      </w:r>
      <w:r w:rsidRPr="00BE6DB7">
        <w:rPr>
          <w:rFonts w:ascii="Times New Roman" w:hAnsi="Times New Roman" w:cs="Times New Roman"/>
          <w:b/>
          <w:sz w:val="24"/>
          <w:szCs w:val="24"/>
        </w:rPr>
        <w:t xml:space="preserve">This standard </w:t>
      </w:r>
      <w:r w:rsidRPr="00BE6DB7">
        <w:rPr>
          <w:rFonts w:ascii="Times New Roman" w:hAnsi="Times New Roman" w:cs="Times New Roman"/>
          <w:b/>
          <w:sz w:val="24"/>
          <w:szCs w:val="24"/>
          <w:u w:val="single"/>
        </w:rPr>
        <w:t>does not require the claimant to prove to a degree of medical certainty that the second injury is due solely to the first injury</w:t>
      </w:r>
      <w:r w:rsidRPr="00BE6DB7">
        <w:rPr>
          <w:rFonts w:ascii="Times New Roman" w:hAnsi="Times New Roman" w:cs="Times New Roman"/>
          <w:b/>
          <w:sz w:val="24"/>
          <w:szCs w:val="24"/>
        </w:rPr>
        <w:t xml:space="preserve">, and medical testimony that establishes the first injury contributed to the second injury, or most likely caused the second injury, or probably caused the second injury suffices under this standard . . . However, medical testimony in </w:t>
      </w:r>
      <w:r w:rsidRPr="00BE6DB7">
        <w:rPr>
          <w:rFonts w:ascii="Times New Roman" w:hAnsi="Times New Roman" w:cs="Times New Roman"/>
          <w:b/>
          <w:sz w:val="24"/>
          <w:szCs w:val="24"/>
          <w:u w:val="single"/>
        </w:rPr>
        <w:t>terms of “can,” “could,” or “possibly” is insufficient</w:t>
      </w:r>
      <w:r w:rsidRPr="00BE6DB7">
        <w:rPr>
          <w:rFonts w:ascii="Times New Roman" w:hAnsi="Times New Roman" w:cs="Times New Roman"/>
          <w:b/>
          <w:sz w:val="24"/>
          <w:szCs w:val="24"/>
        </w:rPr>
        <w:t xml:space="preserve"> to meet a claimant’s burden of proof</w:t>
      </w:r>
      <w:r w:rsidRPr="00BE6DB7">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35"/>
      </w:r>
    </w:p>
    <w:p w14:paraId="739EF855" w14:textId="70610E18" w:rsidR="00FF7482" w:rsidRDefault="00FF7482" w:rsidP="00D4775A">
      <w:pPr>
        <w:spacing w:after="0"/>
        <w:ind w:right="720"/>
        <w:jc w:val="both"/>
        <w:rPr>
          <w:rFonts w:ascii="Times New Roman" w:hAnsi="Times New Roman" w:cs="Times New Roman"/>
          <w:sz w:val="24"/>
          <w:szCs w:val="24"/>
        </w:rPr>
      </w:pPr>
    </w:p>
    <w:p w14:paraId="56669059" w14:textId="77777777" w:rsidR="00C94B70" w:rsidRPr="00D4775A" w:rsidRDefault="00C94B70" w:rsidP="00D4775A">
      <w:pPr>
        <w:spacing w:after="0"/>
        <w:ind w:right="720"/>
        <w:jc w:val="both"/>
        <w:rPr>
          <w:rFonts w:ascii="Times New Roman" w:hAnsi="Times New Roman" w:cs="Times New Roman"/>
          <w:sz w:val="24"/>
          <w:szCs w:val="24"/>
        </w:rPr>
      </w:pPr>
    </w:p>
    <w:p w14:paraId="798EA51C" w14:textId="19E9E12F" w:rsidR="00C94B70" w:rsidRPr="00C94B70" w:rsidRDefault="00FF7482" w:rsidP="00C94B70">
      <w:pPr>
        <w:pStyle w:val="Heading2"/>
        <w:spacing w:before="0"/>
        <w:contextualSpacing/>
        <w:rPr>
          <w:rFonts w:ascii="Times New Roman" w:hAnsi="Times New Roman" w:cs="Times New Roman"/>
          <w:b/>
          <w:color w:val="auto"/>
          <w:sz w:val="28"/>
          <w:szCs w:val="28"/>
        </w:rPr>
      </w:pPr>
      <w:bookmarkStart w:id="905" w:name="_Toc75269417"/>
      <w:r w:rsidRPr="0062650E">
        <w:rPr>
          <w:rFonts w:ascii="Times New Roman" w:hAnsi="Times New Roman" w:cs="Times New Roman"/>
          <w:b/>
          <w:color w:val="auto"/>
          <w:sz w:val="28"/>
          <w:szCs w:val="28"/>
        </w:rPr>
        <w:lastRenderedPageBreak/>
        <w:t xml:space="preserve">Employee’s Rights and Duties </w:t>
      </w:r>
      <w:r>
        <w:rPr>
          <w:rFonts w:ascii="Times New Roman" w:hAnsi="Times New Roman" w:cs="Times New Roman"/>
          <w:b/>
          <w:color w:val="auto"/>
          <w:sz w:val="28"/>
          <w:szCs w:val="28"/>
        </w:rPr>
        <w:t>W</w:t>
      </w:r>
      <w:r w:rsidRPr="0062650E">
        <w:rPr>
          <w:rFonts w:ascii="Times New Roman" w:hAnsi="Times New Roman" w:cs="Times New Roman"/>
          <w:b/>
          <w:color w:val="auto"/>
          <w:sz w:val="28"/>
          <w:szCs w:val="28"/>
        </w:rPr>
        <w:t xml:space="preserve">ith </w:t>
      </w:r>
      <w:r>
        <w:rPr>
          <w:rFonts w:ascii="Times New Roman" w:hAnsi="Times New Roman" w:cs="Times New Roman"/>
          <w:b/>
          <w:color w:val="auto"/>
          <w:sz w:val="28"/>
          <w:szCs w:val="28"/>
        </w:rPr>
        <w:t>R</w:t>
      </w:r>
      <w:r w:rsidRPr="0062650E">
        <w:rPr>
          <w:rFonts w:ascii="Times New Roman" w:hAnsi="Times New Roman" w:cs="Times New Roman"/>
          <w:b/>
          <w:color w:val="auto"/>
          <w:sz w:val="28"/>
          <w:szCs w:val="28"/>
        </w:rPr>
        <w:t xml:space="preserve">espect to </w:t>
      </w:r>
      <w:r>
        <w:rPr>
          <w:rFonts w:ascii="Times New Roman" w:hAnsi="Times New Roman" w:cs="Times New Roman"/>
          <w:b/>
          <w:color w:val="auto"/>
          <w:sz w:val="28"/>
          <w:szCs w:val="28"/>
        </w:rPr>
        <w:t>Physician Selection</w:t>
      </w:r>
      <w:bookmarkEnd w:id="905"/>
    </w:p>
    <w:p w14:paraId="4729D8FD" w14:textId="28D75CE9" w:rsidR="00C94B70" w:rsidRDefault="00FF7482" w:rsidP="00C94B70">
      <w:pPr>
        <w:pStyle w:val="NormalWeb"/>
        <w:spacing w:after="0" w:afterAutospacing="0" w:line="259" w:lineRule="auto"/>
        <w:contextualSpacing/>
        <w:jc w:val="both"/>
      </w:pPr>
      <w:r w:rsidRPr="0062650E">
        <w:rPr>
          <w:b/>
          <w:bCs/>
          <w:u w:val="single"/>
        </w:rPr>
        <w:t>Workers with injuries compensable under the Act shall be provided reasonable and necessary health care benefits as a result of such injuries. A worker wishing to change treating health care providers while under treatment shall file a written request with the Division, stating all reasons for the change and the name of the intended new treating health-care provider. The Division shall send notice of the change to the employer, the worker, and the current and intended new treating health care providers</w:t>
      </w:r>
      <w:r>
        <w:t>.</w:t>
      </w:r>
      <w:r w:rsidRPr="00910BB7">
        <w:rPr>
          <w:vertAlign w:val="superscript"/>
        </w:rPr>
        <w:footnoteReference w:id="636"/>
      </w:r>
    </w:p>
    <w:p w14:paraId="69142372" w14:textId="77777777" w:rsidR="00C94B70" w:rsidRDefault="00C94B70" w:rsidP="00C94B70">
      <w:pPr>
        <w:pStyle w:val="NormalWeb"/>
        <w:spacing w:after="0" w:afterAutospacing="0" w:line="259" w:lineRule="auto"/>
        <w:contextualSpacing/>
        <w:jc w:val="both"/>
      </w:pPr>
    </w:p>
    <w:p w14:paraId="204854A2" w14:textId="0A892749" w:rsidR="00FF7482" w:rsidRDefault="00FF7482" w:rsidP="00C94B70">
      <w:pPr>
        <w:pStyle w:val="NormalWeb"/>
        <w:spacing w:before="0" w:beforeAutospacing="0" w:after="0" w:afterAutospacing="0" w:line="259" w:lineRule="auto"/>
        <w:contextualSpacing/>
        <w:jc w:val="both"/>
        <w:rPr>
          <w:rStyle w:val="Hyperlink"/>
          <w:vertAlign w:val="superscript"/>
        </w:rPr>
      </w:pPr>
      <w:r>
        <w:t>Requests for reimbursement may be submitted to the Division by an injured worker for expense paid out-of-pocket for medical services deemed reasonable, necessary and directly related to the work-related injury on a form provided by the Division.</w:t>
      </w:r>
      <w:r w:rsidRPr="00910BB7">
        <w:rPr>
          <w:vertAlign w:val="superscript"/>
        </w:rPr>
        <w:footnoteReference w:id="637"/>
      </w:r>
    </w:p>
    <w:p w14:paraId="5DE6089A" w14:textId="77777777" w:rsidR="00D4775A" w:rsidRDefault="00D4775A" w:rsidP="00E269B5">
      <w:pPr>
        <w:pStyle w:val="NormalWeb"/>
        <w:spacing w:before="0" w:beforeAutospacing="0" w:after="0" w:afterAutospacing="0" w:line="259" w:lineRule="auto"/>
        <w:jc w:val="both"/>
      </w:pPr>
    </w:p>
    <w:p w14:paraId="0F8E6982" w14:textId="40FC70EA" w:rsidR="00FF7482" w:rsidRDefault="00FF7482" w:rsidP="00E269B5">
      <w:pPr>
        <w:pStyle w:val="NormalWeb"/>
        <w:spacing w:before="0" w:beforeAutospacing="0" w:after="0" w:afterAutospacing="0" w:line="259" w:lineRule="auto"/>
        <w:jc w:val="both"/>
      </w:pPr>
      <w:r w:rsidRPr="00B7099A">
        <w:t>TTD benefits</w:t>
      </w:r>
      <w:r>
        <w:t xml:space="preserve"> (and presumably other forms of indemnity benefits)</w:t>
      </w:r>
      <w:r w:rsidRPr="00B7099A">
        <w:t xml:space="preserve"> shall be suspended if the worker fails to appear and cooperate in any examination or testing at an appointment with his</w:t>
      </w:r>
      <w:r>
        <w:t xml:space="preserve"> or her</w:t>
      </w:r>
      <w:r w:rsidRPr="00B7099A">
        <w:t xml:space="preserve"> health care provider, or one scheduled by the Division. Payment shall be suspended until such time as the worker appears at a subsequent rescheduled appointment.</w:t>
      </w:r>
      <w:r w:rsidRPr="00910BB7">
        <w:rPr>
          <w:vertAlign w:val="superscript"/>
        </w:rPr>
        <w:footnoteReference w:id="638"/>
      </w:r>
    </w:p>
    <w:p w14:paraId="36113F68" w14:textId="4EBA3B8B" w:rsidR="00FF7482" w:rsidRDefault="00FF7482" w:rsidP="00E269B5">
      <w:pPr>
        <w:pStyle w:val="NormalWeb"/>
        <w:spacing w:before="0" w:beforeAutospacing="0" w:after="0" w:afterAutospacing="0" w:line="259" w:lineRule="auto"/>
        <w:ind w:firstLine="662"/>
        <w:jc w:val="both"/>
      </w:pPr>
    </w:p>
    <w:p w14:paraId="1B7B318F" w14:textId="613C2AEC" w:rsidR="00FF7482" w:rsidRDefault="00FF7482" w:rsidP="00E269B5">
      <w:pPr>
        <w:pStyle w:val="NormalWeb"/>
        <w:spacing w:before="0" w:beforeAutospacing="0" w:after="0" w:afterAutospacing="0" w:line="259" w:lineRule="auto"/>
        <w:jc w:val="both"/>
      </w:pPr>
      <w:r>
        <w:t xml:space="preserve">The Wyoming statute has very little restriction on an injured employee’s </w:t>
      </w:r>
      <w:r w:rsidRPr="00C02540">
        <w:rPr>
          <w:b/>
          <w:bCs/>
        </w:rPr>
        <w:t>initial</w:t>
      </w:r>
      <w:r>
        <w:rPr>
          <w:b/>
          <w:bCs/>
        </w:rPr>
        <w:t>,</w:t>
      </w:r>
      <w:r>
        <w:t xml:space="preserve"> </w:t>
      </w:r>
      <w:r w:rsidRPr="00C02540">
        <w:rPr>
          <w:b/>
          <w:bCs/>
        </w:rPr>
        <w:t>in-state</w:t>
      </w:r>
      <w:r>
        <w:t xml:space="preserve"> selection of a physician. Explanatory language from an older Wyoming Supreme Court opinion, </w:t>
      </w:r>
      <w:r w:rsidRPr="00C02540">
        <w:rPr>
          <w:i/>
          <w:iCs/>
        </w:rPr>
        <w:t>Dyna-Drill v. Wallingford</w:t>
      </w:r>
      <w:r>
        <w:t>,</w:t>
      </w:r>
      <w:r w:rsidRPr="00910BB7">
        <w:rPr>
          <w:vertAlign w:val="superscript"/>
        </w:rPr>
        <w:footnoteReference w:id="639"/>
      </w:r>
      <w:r>
        <w:t xml:space="preserve"> seems still to be good law in Wyoming:</w:t>
      </w:r>
    </w:p>
    <w:p w14:paraId="4FCBDBF1" w14:textId="77777777" w:rsidR="00D4775A" w:rsidRDefault="00D4775A" w:rsidP="00E269B5">
      <w:pPr>
        <w:pStyle w:val="NormalWeb"/>
        <w:spacing w:before="0" w:beforeAutospacing="0" w:after="0" w:afterAutospacing="0" w:line="259" w:lineRule="auto"/>
        <w:ind w:firstLine="662"/>
        <w:jc w:val="both"/>
      </w:pPr>
    </w:p>
    <w:p w14:paraId="21B66A93" w14:textId="1B150B2F" w:rsidR="00FF7482" w:rsidRDefault="00FF7482" w:rsidP="00E269B5">
      <w:pPr>
        <w:pStyle w:val="NormalWeb"/>
        <w:spacing w:before="0" w:beforeAutospacing="0" w:after="0" w:afterAutospacing="0" w:line="259" w:lineRule="auto"/>
        <w:ind w:left="720" w:right="720"/>
        <w:jc w:val="both"/>
      </w:pPr>
      <w:r w:rsidRPr="00C02540">
        <w:t>In other states, the employee must submit to examination by the employer's physician, or by the physician of the worker's compensation department. Some states require the employer to furnish the medical treatment. See 2 Larson, Workmen's Compensation Law, s 61.12 (1976). Our Worker's Compensation Act is peculiar to our state. The Act requires the physician or hospital to give notice of acceptance of the case, but the choice of physician or hospital, at least initially, is that of the employee.</w:t>
      </w:r>
      <w:r w:rsidRPr="00910BB7">
        <w:rPr>
          <w:vertAlign w:val="superscript"/>
        </w:rPr>
        <w:footnoteReference w:id="640"/>
      </w:r>
    </w:p>
    <w:p w14:paraId="598B1744" w14:textId="60290BCC" w:rsidR="00FF7482" w:rsidRDefault="00FF7482" w:rsidP="00E269B5">
      <w:pPr>
        <w:pStyle w:val="NormalWeb"/>
        <w:spacing w:before="0" w:beforeAutospacing="0" w:after="0" w:afterAutospacing="0" w:line="259" w:lineRule="auto"/>
        <w:ind w:firstLine="662"/>
        <w:jc w:val="both"/>
      </w:pPr>
      <w:r>
        <w:t xml:space="preserve">   </w:t>
      </w:r>
    </w:p>
    <w:p w14:paraId="17F1075E" w14:textId="2A15BF00" w:rsidR="00FF7482" w:rsidRDefault="00FF7482" w:rsidP="00E269B5">
      <w:pPr>
        <w:pStyle w:val="NormalWeb"/>
        <w:spacing w:before="0" w:beforeAutospacing="0" w:after="0" w:afterAutospacing="0" w:line="259" w:lineRule="auto"/>
        <w:jc w:val="both"/>
      </w:pPr>
      <w:r>
        <w:t>As explained at the end of the passage, is the requirement—still a feature of Wyoming law—that:</w:t>
      </w:r>
    </w:p>
    <w:p w14:paraId="1F4D1C19" w14:textId="77777777" w:rsidR="00D4775A" w:rsidRDefault="00D4775A" w:rsidP="00E269B5">
      <w:pPr>
        <w:pStyle w:val="NormalWeb"/>
        <w:spacing w:before="0" w:beforeAutospacing="0" w:after="0" w:afterAutospacing="0" w:line="259" w:lineRule="auto"/>
        <w:jc w:val="both"/>
      </w:pPr>
    </w:p>
    <w:p w14:paraId="489A4A76" w14:textId="01579407" w:rsidR="00D4775A" w:rsidRDefault="00FF7482" w:rsidP="00E269B5">
      <w:pPr>
        <w:pStyle w:val="NormalWeb"/>
        <w:spacing w:before="0" w:beforeAutospacing="0" w:after="0" w:afterAutospacing="0" w:line="259" w:lineRule="auto"/>
        <w:ind w:left="720" w:right="720"/>
        <w:jc w:val="both"/>
      </w:pPr>
      <w:r w:rsidRPr="000B4E6E">
        <w:t>Within thirty</w:t>
      </w:r>
      <w:r>
        <w:t xml:space="preserve"> </w:t>
      </w:r>
      <w:r w:rsidRPr="000B4E6E">
        <w:t>days after accepting the case of an injured employee and within thirty days after each examination or treatment, a health care provider or a hospital shall file without charge a written medical report with the division</w:t>
      </w:r>
      <w:r>
        <w:t xml:space="preserve"> . . . </w:t>
      </w:r>
      <w:r w:rsidRPr="000B4E6E">
        <w:t xml:space="preserve">The report shall state the nature of the injury, the diagnosis, prognosis and prescribed treatment. Any health care provider or hospital failing or refusing to file the report or transmit copies within the time prescribed by this subsection or presenting a claim for services not reasonably justified or which was not required as a result of the work related injury </w:t>
      </w:r>
      <w:r w:rsidRPr="000B4E6E">
        <w:rPr>
          <w:b/>
          <w:bCs/>
        </w:rPr>
        <w:t>shall forfeit any remuneration or award under this act for services rendered or facilities furnished the employee</w:t>
      </w:r>
      <w:r>
        <w:t xml:space="preserve"> . . .</w:t>
      </w:r>
      <w:r w:rsidRPr="00910BB7">
        <w:rPr>
          <w:vertAlign w:val="superscript"/>
        </w:rPr>
        <w:footnoteReference w:id="641"/>
      </w:r>
      <w:r>
        <w:t xml:space="preserve"> </w:t>
      </w:r>
    </w:p>
    <w:p w14:paraId="6A655F26" w14:textId="77777777" w:rsidR="00E269B5" w:rsidRDefault="00E269B5" w:rsidP="00E269B5">
      <w:pPr>
        <w:pStyle w:val="NormalWeb"/>
        <w:spacing w:before="0" w:beforeAutospacing="0" w:after="0" w:afterAutospacing="0" w:line="259" w:lineRule="auto"/>
        <w:ind w:left="720" w:right="720"/>
        <w:jc w:val="both"/>
      </w:pPr>
    </w:p>
    <w:p w14:paraId="2947B84D" w14:textId="61E93EB3" w:rsidR="00E269B5" w:rsidRDefault="00FF7482" w:rsidP="00E269B5">
      <w:pPr>
        <w:pStyle w:val="NormalWeb"/>
        <w:spacing w:before="0" w:beforeAutospacing="0" w:after="0" w:afterAutospacing="0" w:line="259" w:lineRule="auto"/>
        <w:jc w:val="both"/>
      </w:pPr>
      <w:r>
        <w:t>Of course, this is a right that properly inheres in the employee’s treating physician and no duty appears imposed upon the employee. As also made plain in Section 5.20 of th</w:t>
      </w:r>
      <w:r w:rsidR="00E269B5">
        <w:t>is</w:t>
      </w:r>
      <w:r>
        <w:t xml:space="preserve"> </w:t>
      </w:r>
      <w:r w:rsidRPr="00E269B5">
        <w:t xml:space="preserve">Treatise </w:t>
      </w:r>
      <w:r w:rsidRPr="00EC4583">
        <w:rPr>
          <w:b/>
          <w:bCs/>
        </w:rPr>
        <w:t>the freedom of selection is qualified in the case of out of state medical treatment</w:t>
      </w:r>
      <w:r w:rsidR="00E269B5">
        <w:t xml:space="preserve">. </w:t>
      </w:r>
    </w:p>
    <w:p w14:paraId="4C1730D8" w14:textId="77777777" w:rsidR="00E269B5" w:rsidRPr="00E269B5" w:rsidRDefault="00E269B5" w:rsidP="00E269B5">
      <w:pPr>
        <w:pStyle w:val="NormalWeb"/>
        <w:spacing w:before="0" w:beforeAutospacing="0" w:after="0" w:afterAutospacing="0" w:line="259" w:lineRule="auto"/>
        <w:jc w:val="both"/>
      </w:pPr>
    </w:p>
    <w:p w14:paraId="01191C30" w14:textId="14CCB25D" w:rsidR="00FF7482" w:rsidRPr="00E61144" w:rsidRDefault="00FF7482" w:rsidP="00E269B5">
      <w:pPr>
        <w:pStyle w:val="Heading2"/>
        <w:spacing w:before="0"/>
        <w:rPr>
          <w:rFonts w:ascii="Times New Roman" w:hAnsi="Times New Roman" w:cs="Times New Roman"/>
          <w:b/>
          <w:color w:val="auto"/>
          <w:sz w:val="28"/>
          <w:szCs w:val="28"/>
        </w:rPr>
      </w:pPr>
      <w:bookmarkStart w:id="913" w:name="_Toc75269418"/>
      <w:r w:rsidRPr="00E61144">
        <w:rPr>
          <w:rFonts w:ascii="Times New Roman" w:hAnsi="Times New Roman" w:cs="Times New Roman"/>
          <w:b/>
          <w:color w:val="auto"/>
          <w:sz w:val="28"/>
          <w:szCs w:val="28"/>
        </w:rPr>
        <w:t>The Air Ambulance Controversy</w:t>
      </w:r>
      <w:bookmarkEnd w:id="913"/>
      <w:r w:rsidRPr="00E61144">
        <w:rPr>
          <w:rFonts w:ascii="Times New Roman" w:hAnsi="Times New Roman" w:cs="Times New Roman"/>
          <w:b/>
          <w:color w:val="auto"/>
          <w:sz w:val="28"/>
          <w:szCs w:val="28"/>
        </w:rPr>
        <w:t xml:space="preserve"> </w:t>
      </w:r>
    </w:p>
    <w:p w14:paraId="6A728D27" w14:textId="77777777" w:rsidR="00FF7482" w:rsidRDefault="00FF7482" w:rsidP="00E269B5">
      <w:pPr>
        <w:pStyle w:val="NormalWeb"/>
        <w:spacing w:before="0" w:beforeAutospacing="0" w:after="0" w:afterAutospacing="0" w:line="259" w:lineRule="auto"/>
        <w:jc w:val="both"/>
      </w:pPr>
    </w:p>
    <w:p w14:paraId="26752582" w14:textId="328BBF3A" w:rsidR="00FF7482" w:rsidRDefault="00FF7482" w:rsidP="00E269B5">
      <w:pPr>
        <w:pStyle w:val="NormalWeb"/>
        <w:spacing w:before="0" w:beforeAutospacing="0" w:after="0" w:afterAutospacing="0" w:line="259" w:lineRule="auto"/>
        <w:jc w:val="both"/>
      </w:pPr>
      <w:r>
        <w:t xml:space="preserve">In </w:t>
      </w:r>
      <w:r w:rsidRPr="00081377">
        <w:rPr>
          <w:i/>
        </w:rPr>
        <w:t>EagleMed LLC v. Cox</w:t>
      </w:r>
      <w:r>
        <w:t>,</w:t>
      </w:r>
      <w:r w:rsidRPr="00910BB7">
        <w:rPr>
          <w:vertAlign w:val="superscript"/>
        </w:rPr>
        <w:footnoteReference w:id="642"/>
      </w:r>
      <w:r>
        <w:t xml:space="preserve"> t</w:t>
      </w:r>
      <w:r w:rsidRPr="00081377">
        <w:t xml:space="preserve">he </w:t>
      </w:r>
      <w:r>
        <w:t>10</w:t>
      </w:r>
      <w:r w:rsidRPr="00081377">
        <w:rPr>
          <w:vertAlign w:val="superscript"/>
        </w:rPr>
        <w:t>th</w:t>
      </w:r>
      <w:r>
        <w:t xml:space="preserve"> Circuit Court of Appeals found that the </w:t>
      </w:r>
      <w:r w:rsidRPr="00081377">
        <w:t>federal Airline Deregulation Act</w:t>
      </w:r>
      <w:r>
        <w:t xml:space="preserve"> preempts</w:t>
      </w:r>
      <w:r w:rsidRPr="00081377">
        <w:t xml:space="preserve"> </w:t>
      </w:r>
      <w:r>
        <w:t>Wyoming</w:t>
      </w:r>
      <w:r>
        <w:rPr>
          <w:rFonts w:ascii="Helvetica" w:eastAsia="Helvetica" w:hAnsi="Helvetica" w:cs="Helvetica"/>
        </w:rPr>
        <w:t>’</w:t>
      </w:r>
      <w:r>
        <w:t>s medical reimbursement schedule as it pertains to air ambulance expense.</w:t>
      </w:r>
      <w:r w:rsidRPr="00910BB7">
        <w:rPr>
          <w:vertAlign w:val="superscript"/>
        </w:rPr>
        <w:footnoteReference w:id="643"/>
      </w:r>
      <w:r>
        <w:t xml:space="preserve"> The litigation surrounding </w:t>
      </w:r>
      <w:r w:rsidRPr="00504A0A">
        <w:rPr>
          <w:i/>
        </w:rPr>
        <w:t>EagleMed</w:t>
      </w:r>
      <w:r>
        <w:t xml:space="preserve"> shone a national spotlight on what is normally a sleepy (if important) corner of state workers</w:t>
      </w:r>
      <w:r>
        <w:rPr>
          <w:rFonts w:ascii="Helvetica" w:eastAsia="Helvetica" w:hAnsi="Helvetica" w:cs="Helvetica"/>
        </w:rPr>
        <w:t>’</w:t>
      </w:r>
      <w:r>
        <w:t xml:space="preserve"> compensation law. Other states have been facing a similar litigation conundrum in connection with workers’ compensation rate regulation.</w:t>
      </w:r>
      <w:r w:rsidRPr="00910BB7">
        <w:rPr>
          <w:vertAlign w:val="superscript"/>
        </w:rPr>
        <w:footnoteReference w:id="644"/>
      </w:r>
      <w:r>
        <w:t xml:space="preserve"> The Circuit Courts consistently find that the ADA preempts al</w:t>
      </w:r>
      <w:r w:rsidR="00E53EA7">
        <w:t>l</w:t>
      </w:r>
      <w:r w:rsidRPr="00876FC2">
        <w:t xml:space="preserve"> attempts by state workers’ compensation regulators to set ra</w:t>
      </w:r>
      <w:r>
        <w:t xml:space="preserve">tes—any rates—applicable to air </w:t>
      </w:r>
      <w:r w:rsidRPr="00876FC2">
        <w:t>amb</w:t>
      </w:r>
      <w:r>
        <w:t xml:space="preserve">ulance carriers. Driving the result is that air ambulance carriers are (curiously) </w:t>
      </w:r>
      <w:r w:rsidRPr="00876FC2">
        <w:t>under the ADA’s jurisdiction. The ADA</w:t>
      </w:r>
      <w:r>
        <w:t>’s aggressive preemption provision declares</w:t>
      </w:r>
      <w:r w:rsidRPr="00876FC2">
        <w:t xml:space="preserve"> that states “may not enact or enforce a law, regulation, or other provision having the force and effect of law </w:t>
      </w:r>
      <w:r w:rsidRPr="00876FC2">
        <w:rPr>
          <w:i/>
          <w:iCs/>
        </w:rPr>
        <w:t>related to</w:t>
      </w:r>
      <w:r w:rsidRPr="00876FC2">
        <w:t> a price, route, or service of an air carrier ...”</w:t>
      </w:r>
      <w:r w:rsidRPr="00910BB7">
        <w:rPr>
          <w:vertAlign w:val="superscript"/>
        </w:rPr>
        <w:footnoteReference w:id="645"/>
      </w:r>
      <w:r w:rsidRPr="00876FC2">
        <w:t xml:space="preserve"> In keeping with </w:t>
      </w:r>
      <w:r>
        <w:t xml:space="preserve">the ADA’s </w:t>
      </w:r>
      <w:r w:rsidRPr="00876FC2">
        <w:t xml:space="preserve">aim to achieve maximum reliance on </w:t>
      </w:r>
      <w:r w:rsidRPr="00876FC2">
        <w:lastRenderedPageBreak/>
        <w:t>competitive market forces, Congress sought to ensure that the states would not undo federal deregulation with regulation of their own by including a preemption provision prohibiting states from enacting or enforcing any law related to a price, route</w:t>
      </w:r>
      <w:r>
        <w:t>, or service of an air carrier.</w:t>
      </w:r>
      <w:r w:rsidRPr="00910BB7">
        <w:rPr>
          <w:vertAlign w:val="superscript"/>
        </w:rPr>
        <w:footnoteReference w:id="646"/>
      </w:r>
      <w:r>
        <w:t xml:space="preserve"> A full rehashing of the EagleMed litigation is beyond the scope of the present discussion. It may be enough to observe that a</w:t>
      </w:r>
      <w:r w:rsidRPr="00E61144">
        <w:t>ir ambulance costs have been skyrocketing and</w:t>
      </w:r>
      <w:r>
        <w:t xml:space="preserve"> that ultimately t</w:t>
      </w:r>
      <w:r w:rsidRPr="00E61144">
        <w:t xml:space="preserve">he state refused to pay </w:t>
      </w:r>
      <w:r>
        <w:t xml:space="preserve">full price, attempting to cap reimbursement to </w:t>
      </w:r>
      <w:r w:rsidRPr="00E61144">
        <w:t>state</w:t>
      </w:r>
      <w:r>
        <w:t>-defined limits</w:t>
      </w:r>
      <w:r w:rsidRPr="00E61144">
        <w:t xml:space="preserve">. </w:t>
      </w:r>
      <w:r>
        <w:t>As stated, t</w:t>
      </w:r>
      <w:r w:rsidRPr="00E61144">
        <w:t>he 10th </w:t>
      </w:r>
      <w:r>
        <w:t>C</w:t>
      </w:r>
      <w:r w:rsidRPr="00E61144">
        <w:t xml:space="preserve">ircuit </w:t>
      </w:r>
      <w:r>
        <w:t>rebuffed the effort</w:t>
      </w:r>
      <w:r w:rsidRPr="00E61144">
        <w:t>.</w:t>
      </w:r>
    </w:p>
    <w:p w14:paraId="4D911BD4" w14:textId="77777777" w:rsidR="00E269B5" w:rsidRPr="00E61144" w:rsidRDefault="00E269B5" w:rsidP="00E269B5">
      <w:pPr>
        <w:pStyle w:val="NormalWeb"/>
        <w:spacing w:before="0" w:beforeAutospacing="0" w:after="0" w:afterAutospacing="0" w:line="259" w:lineRule="auto"/>
        <w:jc w:val="both"/>
      </w:pPr>
    </w:p>
    <w:p w14:paraId="0844D38E" w14:textId="65823103" w:rsidR="00FF7482" w:rsidRDefault="00FF7482" w:rsidP="00E53EA7">
      <w:pPr>
        <w:pStyle w:val="NormalWeb"/>
        <w:spacing w:before="0" w:beforeAutospacing="0" w:after="0" w:afterAutospacing="0" w:line="259" w:lineRule="auto"/>
        <w:jc w:val="both"/>
      </w:pPr>
      <w:r>
        <w:t xml:space="preserve">Left undecided by </w:t>
      </w:r>
      <w:r w:rsidRPr="00CF0B81">
        <w:rPr>
          <w:i/>
        </w:rPr>
        <w:t>EagleMed</w:t>
      </w:r>
      <w:r>
        <w:t xml:space="preserve"> was what, precisely, was to happen post-preemption. </w:t>
      </w:r>
      <w:r w:rsidRPr="00E61144">
        <w:t xml:space="preserve">On this question, the </w:t>
      </w:r>
      <w:r>
        <w:t>Circuit</w:t>
      </w:r>
      <w:r w:rsidRPr="00E61144">
        <w:t xml:space="preserve"> remanded to </w:t>
      </w:r>
      <w:r>
        <w:t>Wyoming</w:t>
      </w:r>
      <w:r w:rsidRPr="00E61144">
        <w:t xml:space="preserve"> of</w:t>
      </w:r>
      <w:r>
        <w:t xml:space="preserve">ficials. At the administrative level, </w:t>
      </w:r>
      <w:r w:rsidRPr="00E61144">
        <w:t>hearing officials</w:t>
      </w:r>
      <w:r>
        <w:t xml:space="preserve"> took the position that, </w:t>
      </w:r>
      <w:r w:rsidRPr="00E61144">
        <w:t>with the fee schedule gone, the state was required to pay whatever the air ambulance companies charge</w:t>
      </w:r>
      <w:r>
        <w:t>d</w:t>
      </w:r>
      <w:r w:rsidRPr="00E61144">
        <w:t>. The state appealed</w:t>
      </w:r>
      <w:r>
        <w:t>, t</w:t>
      </w:r>
      <w:r w:rsidRPr="00E61144">
        <w:t>he attorney general argu</w:t>
      </w:r>
      <w:r>
        <w:t>ing (essentially)</w:t>
      </w:r>
      <w:r w:rsidRPr="00E61144">
        <w:t xml:space="preserve"> that the state legislature would never have</w:t>
      </w:r>
      <w:r>
        <w:t xml:space="preserve"> originally</w:t>
      </w:r>
      <w:r w:rsidRPr="00E61144">
        <w:t xml:space="preserve"> provided </w:t>
      </w:r>
      <w:r>
        <w:t>for</w:t>
      </w:r>
      <w:r w:rsidRPr="00E61144">
        <w:t xml:space="preserve"> reimbursement </w:t>
      </w:r>
      <w:r>
        <w:t xml:space="preserve">of </w:t>
      </w:r>
      <w:r w:rsidRPr="00E61144">
        <w:t xml:space="preserve">air ambulance </w:t>
      </w:r>
      <w:r>
        <w:t>expense that was not reasonable</w:t>
      </w:r>
      <w:r w:rsidR="00E53EA7">
        <w:t xml:space="preserve">. </w:t>
      </w:r>
    </w:p>
    <w:p w14:paraId="05BD585D" w14:textId="77777777" w:rsidR="00E53EA7" w:rsidRPr="00E61144" w:rsidRDefault="00E53EA7" w:rsidP="00E53EA7">
      <w:pPr>
        <w:pStyle w:val="NormalWeb"/>
        <w:spacing w:before="0" w:beforeAutospacing="0" w:after="0" w:afterAutospacing="0" w:line="259" w:lineRule="auto"/>
        <w:jc w:val="both"/>
      </w:pPr>
    </w:p>
    <w:p w14:paraId="3C4C138E" w14:textId="7818CF03" w:rsidR="00FF7482" w:rsidRPr="00E61144" w:rsidRDefault="00FF7482" w:rsidP="00E53EA7">
      <w:pPr>
        <w:pStyle w:val="NormalWeb"/>
        <w:spacing w:before="0" w:beforeAutospacing="0" w:after="0" w:afterAutospacing="0" w:line="259" w:lineRule="auto"/>
        <w:jc w:val="both"/>
      </w:pPr>
      <w:r>
        <w:t xml:space="preserve">Even if Wyoming could set an air ambulance fee ceiling, </w:t>
      </w:r>
      <w:r w:rsidRPr="00BD6F81">
        <w:t xml:space="preserve">W.S. § </w:t>
      </w:r>
      <w:hyperlink r:id="rId117" w:history="1">
        <w:r w:rsidRPr="00BD6F81">
          <w:rPr>
            <w:rStyle w:val="Hyperlink"/>
          </w:rPr>
          <w:t>27-14-501</w:t>
        </w:r>
      </w:hyperlink>
      <w:r>
        <w:t xml:space="preserve">(a) states in relevant part, </w:t>
      </w:r>
      <w:r w:rsidRPr="0070346B">
        <w:rPr>
          <w:b/>
        </w:rPr>
        <w:t>“Fees or portions of fees for injury related services or products rendered shall not be billed to or collected from the injured employee.”</w:t>
      </w:r>
      <w:r>
        <w:t xml:space="preserve"> But it is difficult to see how the state (or any state contending with air ambulance expenses) can explicitly say anything at all about air ambulance services, let alone set rates for them</w:t>
      </w:r>
      <w:r w:rsidR="00E53EA7">
        <w:t xml:space="preserve">. </w:t>
      </w:r>
    </w:p>
    <w:p w14:paraId="61CB6DE2" w14:textId="77777777" w:rsidR="00FF7482" w:rsidRDefault="00FF7482" w:rsidP="00E53EA7">
      <w:pPr>
        <w:pStyle w:val="ListParagraph"/>
        <w:spacing w:after="0"/>
        <w:ind w:right="720"/>
        <w:jc w:val="both"/>
        <w:rPr>
          <w:rFonts w:ascii="Times New Roman" w:hAnsi="Times New Roman" w:cs="Times New Roman"/>
          <w:sz w:val="24"/>
          <w:szCs w:val="24"/>
        </w:rPr>
      </w:pPr>
    </w:p>
    <w:p w14:paraId="07A163D1" w14:textId="345363E3" w:rsidR="00FF7482" w:rsidRDefault="00FF7482" w:rsidP="00E53EA7">
      <w:pPr>
        <w:pStyle w:val="Heading2"/>
        <w:spacing w:before="0"/>
        <w:rPr>
          <w:rFonts w:ascii="Times New Roman" w:hAnsi="Times New Roman" w:cs="Times New Roman"/>
          <w:b/>
          <w:color w:val="auto"/>
          <w:sz w:val="28"/>
          <w:szCs w:val="28"/>
        </w:rPr>
      </w:pPr>
      <w:bookmarkStart w:id="919" w:name="_Toc75269419"/>
      <w:r w:rsidRPr="002859BE">
        <w:rPr>
          <w:rFonts w:ascii="Times New Roman" w:hAnsi="Times New Roman" w:cs="Times New Roman"/>
          <w:b/>
          <w:color w:val="auto"/>
          <w:sz w:val="28"/>
          <w:szCs w:val="28"/>
        </w:rPr>
        <w:t>Vocational Benefits</w:t>
      </w:r>
      <w:bookmarkEnd w:id="919"/>
    </w:p>
    <w:p w14:paraId="2EBA25B0" w14:textId="31BA4B2F" w:rsidR="00FF7482" w:rsidRDefault="00FF7482" w:rsidP="00E53EA7">
      <w:pPr>
        <w:pStyle w:val="ListParagraph"/>
        <w:spacing w:after="0"/>
        <w:ind w:left="0" w:firstLine="720"/>
        <w:jc w:val="both"/>
      </w:pPr>
    </w:p>
    <w:p w14:paraId="5FB119D4" w14:textId="60E9C302" w:rsidR="00FF7482" w:rsidRDefault="00FF7482" w:rsidP="00E53EA7">
      <w:pPr>
        <w:pStyle w:val="ListParagraph"/>
        <w:spacing w:after="0"/>
        <w:ind w:left="0"/>
        <w:jc w:val="both"/>
        <w:rPr>
          <w:rFonts w:ascii="Times New Roman" w:hAnsi="Times New Roman" w:cs="Times New Roman"/>
          <w:sz w:val="24"/>
          <w:szCs w:val="24"/>
        </w:rPr>
      </w:pPr>
      <w:r w:rsidRPr="002859BE">
        <w:rPr>
          <w:rFonts w:ascii="Times New Roman" w:hAnsi="Times New Roman" w:cs="Times New Roman"/>
          <w:sz w:val="24"/>
          <w:szCs w:val="24"/>
        </w:rPr>
        <w:t>Vocational benefits</w:t>
      </w:r>
      <w:r>
        <w:rPr>
          <w:rFonts w:ascii="Times New Roman" w:hAnsi="Times New Roman" w:cs="Times New Roman"/>
          <w:sz w:val="24"/>
          <w:szCs w:val="24"/>
        </w:rPr>
        <w:t xml:space="preserve"> are theoretically available under the Wyoming Workers’ Compensation Act, but the structure of the benefit suggests that most injured workers would prefer participating in the Federal/State vocational rehabilitation program under the Workforce and Innovation and Opportunity Act administered by the Rehabilitation Service Administration of the Department of Education.</w:t>
      </w:r>
      <w:r w:rsidRPr="00910BB7">
        <w:rPr>
          <w:rFonts w:ascii="Times New Roman" w:hAnsi="Times New Roman" w:cs="Times New Roman"/>
          <w:sz w:val="24"/>
          <w:szCs w:val="24"/>
          <w:vertAlign w:val="superscript"/>
        </w:rPr>
        <w:footnoteReference w:id="647"/>
      </w:r>
    </w:p>
    <w:p w14:paraId="25EDA0FA" w14:textId="77777777" w:rsidR="00FF7482" w:rsidRDefault="00FF7482" w:rsidP="002859BE">
      <w:pPr>
        <w:pStyle w:val="ListParagraph"/>
        <w:ind w:left="0" w:firstLine="720"/>
        <w:jc w:val="both"/>
        <w:rPr>
          <w:rFonts w:ascii="Times New Roman" w:hAnsi="Times New Roman" w:cs="Times New Roman"/>
          <w:sz w:val="24"/>
          <w:szCs w:val="24"/>
        </w:rPr>
      </w:pPr>
    </w:p>
    <w:p w14:paraId="4F4EA41E" w14:textId="4A8CCCF1" w:rsidR="00FF7482" w:rsidRDefault="00FF7482" w:rsidP="00E53EA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Under </w:t>
      </w:r>
      <w:r w:rsidRPr="00BD6F81">
        <w:rPr>
          <w:rFonts w:ascii="Times New Roman" w:hAnsi="Times New Roman" w:cs="Times New Roman"/>
          <w:sz w:val="24"/>
          <w:szCs w:val="24"/>
        </w:rPr>
        <w:t xml:space="preserve">W.S. §  </w:t>
      </w:r>
      <w:hyperlink r:id="rId118" w:history="1">
        <w:r w:rsidRPr="00BD6F81">
          <w:rPr>
            <w:rStyle w:val="Hyperlink"/>
            <w:rFonts w:ascii="Times New Roman" w:hAnsi="Times New Roman" w:cs="Times New Roman"/>
            <w:sz w:val="24"/>
            <w:szCs w:val="24"/>
          </w:rPr>
          <w:t>27-14-408</w:t>
        </w:r>
      </w:hyperlink>
      <w:r>
        <w:rPr>
          <w:rFonts w:ascii="Times New Roman" w:hAnsi="Times New Roman" w:cs="Times New Roman"/>
          <w:sz w:val="24"/>
          <w:szCs w:val="24"/>
        </w:rPr>
        <w:t>, “[a]</w:t>
      </w:r>
      <w:r w:rsidRPr="003E01EF">
        <w:rPr>
          <w:rFonts w:ascii="Times New Roman" w:hAnsi="Times New Roman" w:cs="Times New Roman"/>
          <w:sz w:val="24"/>
          <w:szCs w:val="24"/>
        </w:rPr>
        <w:t>n injured employee may apply to the division to participate in a vocational rehabilitation program if</w:t>
      </w:r>
      <w:r>
        <w:rPr>
          <w:rFonts w:ascii="Times New Roman" w:hAnsi="Times New Roman" w:cs="Times New Roman"/>
          <w:sz w:val="24"/>
          <w:szCs w:val="24"/>
        </w:rPr>
        <w:t>” a work-related injury has caused or is reasonably expected to cause a permanent partial impairment that “</w:t>
      </w:r>
      <w:r w:rsidRPr="003E01EF">
        <w:rPr>
          <w:rFonts w:ascii="Times New Roman" w:hAnsi="Times New Roman" w:cs="Times New Roman"/>
          <w:sz w:val="24"/>
          <w:szCs w:val="24"/>
        </w:rPr>
        <w:t>will prevent the employee from returning to any occupation for which the employee has previous training or experience and in which the employee was gainfully employed at any time during the three</w:t>
      </w:r>
      <w:r>
        <w:rPr>
          <w:rFonts w:ascii="Times New Roman" w:hAnsi="Times New Roman" w:cs="Times New Roman"/>
          <w:sz w:val="24"/>
          <w:szCs w:val="24"/>
        </w:rPr>
        <w:t xml:space="preserve"> </w:t>
      </w:r>
      <w:r w:rsidRPr="003E01EF">
        <w:rPr>
          <w:rFonts w:ascii="Times New Roman" w:hAnsi="Times New Roman" w:cs="Times New Roman"/>
          <w:sz w:val="24"/>
          <w:szCs w:val="24"/>
        </w:rPr>
        <w:t>year period before the injury</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48"/>
      </w:r>
      <w:r>
        <w:rPr>
          <w:rFonts w:ascii="Times New Roman" w:hAnsi="Times New Roman" w:cs="Times New Roman"/>
          <w:sz w:val="24"/>
          <w:szCs w:val="24"/>
        </w:rPr>
        <w:t xml:space="preserve"> Crucially, the employee must </w:t>
      </w:r>
      <w:r w:rsidRPr="003E01EF">
        <w:rPr>
          <w:rFonts w:ascii="Times New Roman" w:hAnsi="Times New Roman" w:cs="Times New Roman"/>
          <w:sz w:val="24"/>
          <w:szCs w:val="24"/>
        </w:rPr>
        <w:t xml:space="preserve">elect </w:t>
      </w:r>
      <w:r>
        <w:rPr>
          <w:rFonts w:ascii="Times New Roman" w:hAnsi="Times New Roman" w:cs="Times New Roman"/>
          <w:sz w:val="24"/>
          <w:szCs w:val="24"/>
        </w:rPr>
        <w:t>“</w:t>
      </w:r>
      <w:r w:rsidRPr="003E01EF">
        <w:rPr>
          <w:rFonts w:ascii="Times New Roman" w:hAnsi="Times New Roman" w:cs="Times New Roman"/>
          <w:sz w:val="24"/>
          <w:szCs w:val="24"/>
        </w:rPr>
        <w:t xml:space="preserve">in writing to accept vocational rehabilitation instead of any </w:t>
      </w:r>
      <w:r w:rsidRPr="003E01EF">
        <w:rPr>
          <w:rFonts w:ascii="Times New Roman" w:hAnsi="Times New Roman" w:cs="Times New Roman"/>
          <w:sz w:val="24"/>
          <w:szCs w:val="24"/>
        </w:rPr>
        <w:lastRenderedPageBreak/>
        <w:t xml:space="preserve">permanent partial disability award under </w:t>
      </w:r>
      <w:hyperlink r:id="rId119" w:history="1">
        <w:r w:rsidRPr="00BD6F81">
          <w:rPr>
            <w:rStyle w:val="Hyperlink"/>
            <w:rFonts w:ascii="Times New Roman" w:hAnsi="Times New Roman" w:cs="Times New Roman"/>
            <w:sz w:val="24"/>
            <w:szCs w:val="24"/>
          </w:rPr>
          <w:t>W.S. 27-14-405</w:t>
        </w:r>
      </w:hyperlink>
      <w:r w:rsidRPr="003E01EF">
        <w:rPr>
          <w:rFonts w:ascii="Times New Roman" w:hAnsi="Times New Roman" w:cs="Times New Roman"/>
          <w:sz w:val="24"/>
          <w:szCs w:val="24"/>
        </w:rPr>
        <w:t>(h) and (j) arising from the same physical injury.</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49"/>
      </w:r>
      <w:r>
        <w:rPr>
          <w:rFonts w:ascii="Times New Roman" w:hAnsi="Times New Roman" w:cs="Times New Roman"/>
          <w:sz w:val="24"/>
          <w:szCs w:val="24"/>
        </w:rPr>
        <w:t xml:space="preserve"> Furthermore, a vocational rehabilitation benefit “[s]</w:t>
      </w:r>
      <w:r w:rsidRPr="00BE1F0F">
        <w:rPr>
          <w:rFonts w:ascii="Times New Roman" w:hAnsi="Times New Roman" w:cs="Times New Roman"/>
          <w:sz w:val="24"/>
          <w:szCs w:val="24"/>
        </w:rPr>
        <w:t>hall not exceed five</w:t>
      </w:r>
      <w:r>
        <w:rPr>
          <w:rFonts w:ascii="Times New Roman" w:hAnsi="Times New Roman" w:cs="Times New Roman"/>
          <w:sz w:val="24"/>
          <w:szCs w:val="24"/>
        </w:rPr>
        <w:t xml:space="preserve"> </w:t>
      </w:r>
      <w:r w:rsidRPr="00BE1F0F">
        <w:rPr>
          <w:rFonts w:ascii="Times New Roman" w:hAnsi="Times New Roman" w:cs="Times New Roman"/>
          <w:sz w:val="24"/>
          <w:szCs w:val="24"/>
        </w:rPr>
        <w:t>years or a total cost of thirty thousand dollars unless extended or increased for extenuating circumstances as defined by rule and regulation of the division</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50"/>
      </w:r>
      <w:r>
        <w:rPr>
          <w:rFonts w:ascii="Times New Roman" w:hAnsi="Times New Roman" w:cs="Times New Roman"/>
          <w:sz w:val="24"/>
          <w:szCs w:val="24"/>
        </w:rPr>
        <w:t xml:space="preserve"> It does not seem plausible that many employees would trade their entitlement to a permanent partial disability benefit for a maximum of $30,000 of vocational rehabilitation benefits and for this reason th</w:t>
      </w:r>
      <w:r w:rsidR="00E53EA7">
        <w:rPr>
          <w:rFonts w:ascii="Times New Roman" w:hAnsi="Times New Roman" w:cs="Times New Roman"/>
          <w:sz w:val="24"/>
          <w:szCs w:val="24"/>
        </w:rPr>
        <w:t>is</w:t>
      </w:r>
      <w:r>
        <w:rPr>
          <w:rFonts w:ascii="Times New Roman" w:hAnsi="Times New Roman" w:cs="Times New Roman"/>
          <w:sz w:val="24"/>
          <w:szCs w:val="24"/>
        </w:rPr>
        <w:t xml:space="preserve"> </w:t>
      </w:r>
      <w:r w:rsidR="00E53EA7">
        <w:rPr>
          <w:rFonts w:ascii="Times New Roman" w:hAnsi="Times New Roman" w:cs="Times New Roman"/>
          <w:sz w:val="24"/>
          <w:szCs w:val="24"/>
        </w:rPr>
        <w:t>T</w:t>
      </w:r>
      <w:r>
        <w:rPr>
          <w:rFonts w:ascii="Times New Roman" w:hAnsi="Times New Roman" w:cs="Times New Roman"/>
          <w:sz w:val="24"/>
          <w:szCs w:val="24"/>
        </w:rPr>
        <w:t xml:space="preserve">reatise will not discuss them in further detail.  </w:t>
      </w:r>
    </w:p>
    <w:p w14:paraId="35B1A54E" w14:textId="77777777" w:rsidR="00FF7482" w:rsidRDefault="00FF7482" w:rsidP="002859BE">
      <w:pPr>
        <w:pStyle w:val="ListParagraph"/>
        <w:ind w:left="0" w:firstLine="720"/>
        <w:jc w:val="both"/>
        <w:rPr>
          <w:rFonts w:ascii="Times New Roman" w:hAnsi="Times New Roman" w:cs="Times New Roman"/>
          <w:sz w:val="24"/>
          <w:szCs w:val="24"/>
        </w:rPr>
      </w:pPr>
    </w:p>
    <w:p w14:paraId="0A111D50" w14:textId="1488134C" w:rsidR="00FF7482" w:rsidRDefault="00FF7482" w:rsidP="00E53EA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Vocational rehabilitation seems of greater financial significance in jurisdictions basing partial benefits on diminished earning capacity. In those jurisdictions an increase in earning capacity created by vocational rehabilitation has a direct impact on the amount of benefits payable to injured employees. While it is often claimed that vocational rehabilitation is generally considered part of a broad restitution for work-related injuries,</w:t>
      </w:r>
      <w:r w:rsidRPr="00910BB7">
        <w:rPr>
          <w:rFonts w:ascii="Times New Roman" w:hAnsi="Times New Roman" w:cs="Times New Roman"/>
          <w:sz w:val="24"/>
          <w:szCs w:val="24"/>
          <w:vertAlign w:val="superscript"/>
        </w:rPr>
        <w:footnoteReference w:id="651"/>
      </w:r>
      <w:r>
        <w:rPr>
          <w:rFonts w:ascii="Times New Roman" w:hAnsi="Times New Roman" w:cs="Times New Roman"/>
          <w:sz w:val="24"/>
          <w:szCs w:val="24"/>
        </w:rPr>
        <w:t xml:space="preserve"> a number of statutes (including Wyoming’s) do not appear to reflect such a restitutionary premise. </w:t>
      </w:r>
    </w:p>
    <w:p w14:paraId="63F18E74" w14:textId="77777777" w:rsidR="00E53EA7" w:rsidRPr="00E53EA7" w:rsidRDefault="00E53EA7" w:rsidP="00E53EA7">
      <w:pPr>
        <w:pStyle w:val="ListParagraph"/>
        <w:spacing w:after="0"/>
        <w:ind w:left="0"/>
        <w:jc w:val="both"/>
        <w:rPr>
          <w:rFonts w:ascii="Times New Roman" w:hAnsi="Times New Roman" w:cs="Times New Roman"/>
          <w:sz w:val="24"/>
          <w:szCs w:val="24"/>
        </w:rPr>
      </w:pPr>
    </w:p>
    <w:p w14:paraId="52E30558" w14:textId="3D16E94C" w:rsidR="00FF7482" w:rsidRDefault="00FF7482" w:rsidP="001C6B4D">
      <w:pPr>
        <w:pStyle w:val="Heading2"/>
        <w:spacing w:before="0"/>
        <w:rPr>
          <w:rFonts w:ascii="Times New Roman" w:hAnsi="Times New Roman" w:cs="Times New Roman"/>
          <w:b/>
          <w:color w:val="auto"/>
          <w:sz w:val="28"/>
          <w:szCs w:val="28"/>
        </w:rPr>
      </w:pPr>
      <w:bookmarkStart w:id="927" w:name="_Toc75269420"/>
      <w:r w:rsidRPr="00D12948">
        <w:rPr>
          <w:rFonts w:ascii="Times New Roman" w:hAnsi="Times New Roman" w:cs="Times New Roman"/>
          <w:b/>
          <w:color w:val="auto"/>
          <w:sz w:val="28"/>
          <w:szCs w:val="28"/>
        </w:rPr>
        <w:t>Permanent Disfigurement</w:t>
      </w:r>
      <w:bookmarkEnd w:id="927"/>
      <w:r w:rsidRPr="00D12948">
        <w:rPr>
          <w:rFonts w:ascii="Times New Roman" w:hAnsi="Times New Roman" w:cs="Times New Roman"/>
          <w:b/>
          <w:color w:val="auto"/>
          <w:sz w:val="28"/>
          <w:szCs w:val="28"/>
        </w:rPr>
        <w:t xml:space="preserve"> </w:t>
      </w:r>
    </w:p>
    <w:p w14:paraId="691039E3" w14:textId="77777777" w:rsidR="00FF7482" w:rsidRDefault="00FF7482" w:rsidP="00E53EA7">
      <w:pPr>
        <w:pStyle w:val="ListParagraph"/>
        <w:spacing w:after="0"/>
        <w:ind w:left="0" w:firstLine="720"/>
        <w:jc w:val="both"/>
        <w:rPr>
          <w:rFonts w:ascii="Times New Roman" w:hAnsi="Times New Roman" w:cs="Times New Roman"/>
          <w:sz w:val="24"/>
          <w:szCs w:val="24"/>
        </w:rPr>
      </w:pPr>
    </w:p>
    <w:p w14:paraId="470566CC" w14:textId="03A82188" w:rsidR="00FF7482" w:rsidRDefault="00FF7482" w:rsidP="001C6B4D">
      <w:pPr>
        <w:pStyle w:val="ListParagraph"/>
        <w:spacing w:after="0"/>
        <w:ind w:left="0"/>
        <w:jc w:val="both"/>
        <w:rPr>
          <w:rFonts w:ascii="Times New Roman" w:hAnsi="Times New Roman" w:cs="Times New Roman"/>
          <w:sz w:val="24"/>
          <w:szCs w:val="24"/>
        </w:rPr>
      </w:pPr>
      <w:r w:rsidRPr="00BD6F81">
        <w:rPr>
          <w:rFonts w:ascii="Times New Roman" w:hAnsi="Times New Roman" w:cs="Times New Roman"/>
          <w:sz w:val="24"/>
          <w:szCs w:val="24"/>
        </w:rPr>
        <w:t xml:space="preserve">W.S. </w:t>
      </w:r>
      <w:hyperlink r:id="rId120" w:history="1">
        <w:r w:rsidRPr="00BD6F81">
          <w:rPr>
            <w:rStyle w:val="Hyperlink"/>
            <w:rFonts w:ascii="Times New Roman" w:hAnsi="Times New Roman" w:cs="Times New Roman"/>
            <w:sz w:val="24"/>
            <w:szCs w:val="24"/>
          </w:rPr>
          <w:t>27-14-405</w:t>
        </w:r>
      </w:hyperlink>
      <w:r w:rsidRPr="00BD6F81">
        <w:rPr>
          <w:rFonts w:ascii="Times New Roman" w:hAnsi="Times New Roman" w:cs="Times New Roman"/>
          <w:sz w:val="24"/>
          <w:szCs w:val="24"/>
        </w:rPr>
        <w:t>(k)</w:t>
      </w:r>
      <w:r>
        <w:rPr>
          <w:rFonts w:ascii="Times New Roman" w:hAnsi="Times New Roman" w:cs="Times New Roman"/>
          <w:sz w:val="24"/>
          <w:szCs w:val="24"/>
        </w:rPr>
        <w:t xml:space="preserve"> states: “</w:t>
      </w:r>
      <w:r w:rsidRPr="00D12948">
        <w:rPr>
          <w:rFonts w:ascii="Times New Roman" w:hAnsi="Times New Roman" w:cs="Times New Roman"/>
          <w:sz w:val="24"/>
          <w:szCs w:val="24"/>
        </w:rPr>
        <w:t xml:space="preserve">An employee incurring permanent disfigurement due to an injury to the face or head which affects his earning capacity or ability to secure gainful employment shall receive in proportion to the extent of the disfigurement, an additional physical impairment award not to exceed six (6) months of compensation payable monthly as provided by </w:t>
      </w:r>
      <w:hyperlink r:id="rId121" w:history="1">
        <w:r w:rsidRPr="00BD6F81">
          <w:rPr>
            <w:rStyle w:val="Hyperlink"/>
            <w:rFonts w:ascii="Times New Roman" w:hAnsi="Times New Roman" w:cs="Times New Roman"/>
            <w:sz w:val="24"/>
            <w:szCs w:val="24"/>
          </w:rPr>
          <w:t>W.S. 27-14-403</w:t>
        </w:r>
      </w:hyperlink>
      <w:r w:rsidRPr="00D12948">
        <w:rPr>
          <w:rFonts w:ascii="Times New Roman" w:hAnsi="Times New Roman" w:cs="Times New Roman"/>
          <w:sz w:val="24"/>
          <w:szCs w:val="24"/>
        </w:rPr>
        <w:t>(c). Any previous disfigurement to the face or head of the employee shall be considered when authorizing the award.</w:t>
      </w:r>
      <w:r>
        <w:rPr>
          <w:rFonts w:ascii="Times New Roman" w:hAnsi="Times New Roman" w:cs="Times New Roman"/>
          <w:sz w:val="24"/>
          <w:szCs w:val="24"/>
        </w:rPr>
        <w:t>” This writer has been unable to locate significant case discussion of, or regulatory guidance on, the provision.</w:t>
      </w:r>
    </w:p>
    <w:p w14:paraId="09F23CAE" w14:textId="3341A8EA" w:rsidR="00FF7482" w:rsidRDefault="00FF7482" w:rsidP="00D12948">
      <w:pPr>
        <w:pStyle w:val="ListParagraph"/>
        <w:ind w:left="0" w:firstLine="720"/>
        <w:jc w:val="both"/>
        <w:rPr>
          <w:rFonts w:ascii="Times New Roman" w:hAnsi="Times New Roman" w:cs="Times New Roman"/>
          <w:sz w:val="24"/>
          <w:szCs w:val="24"/>
        </w:rPr>
      </w:pPr>
    </w:p>
    <w:p w14:paraId="78F9E20F" w14:textId="146F4B1C" w:rsidR="00FF7482" w:rsidRDefault="00FF7482">
      <w:pPr>
        <w:rPr>
          <w:rFonts w:ascii="Times New Roman" w:hAnsi="Times New Roman" w:cs="Times New Roman"/>
          <w:sz w:val="24"/>
          <w:szCs w:val="24"/>
        </w:rPr>
      </w:pPr>
      <w:r>
        <w:rPr>
          <w:rFonts w:ascii="Times New Roman" w:hAnsi="Times New Roman" w:cs="Times New Roman"/>
          <w:sz w:val="24"/>
          <w:szCs w:val="24"/>
        </w:rPr>
        <w:br w:type="page"/>
      </w:r>
    </w:p>
    <w:p w14:paraId="0CA13283" w14:textId="7C50D0EF" w:rsidR="00FF7482" w:rsidRDefault="00FF7482" w:rsidP="00D64E8B">
      <w:pPr>
        <w:pStyle w:val="Heading1"/>
        <w:rPr>
          <w:rFonts w:ascii="Times New Roman" w:hAnsi="Times New Roman" w:cs="Times New Roman"/>
          <w:b/>
          <w:color w:val="auto"/>
        </w:rPr>
      </w:pPr>
      <w:bookmarkStart w:id="928" w:name="_Toc75269421"/>
      <w:r>
        <w:rPr>
          <w:rFonts w:ascii="Times New Roman" w:hAnsi="Times New Roman" w:cs="Times New Roman"/>
          <w:b/>
          <w:color w:val="auto"/>
        </w:rPr>
        <w:lastRenderedPageBreak/>
        <w:t>Wyoming Workers’ Compensation: Evidence and Procedure</w:t>
      </w:r>
      <w:bookmarkEnd w:id="928"/>
    </w:p>
    <w:p w14:paraId="37117660" w14:textId="0746361C" w:rsidR="00FF7482" w:rsidRDefault="00FF7482" w:rsidP="00A928BA">
      <w:pPr>
        <w:spacing w:after="0"/>
      </w:pPr>
    </w:p>
    <w:p w14:paraId="2B96928F" w14:textId="673D73BF" w:rsidR="00FF7482" w:rsidRDefault="00FF7482" w:rsidP="001C6B4D">
      <w:pPr>
        <w:pStyle w:val="Heading2"/>
        <w:spacing w:before="0"/>
        <w:rPr>
          <w:rFonts w:ascii="Times New Roman" w:hAnsi="Times New Roman" w:cs="Times New Roman"/>
          <w:b/>
          <w:color w:val="auto"/>
          <w:sz w:val="28"/>
          <w:szCs w:val="28"/>
        </w:rPr>
      </w:pPr>
      <w:bookmarkStart w:id="929" w:name="_Toc75269422"/>
      <w:r>
        <w:rPr>
          <w:rFonts w:ascii="Times New Roman" w:hAnsi="Times New Roman" w:cs="Times New Roman"/>
          <w:b/>
          <w:color w:val="auto"/>
          <w:sz w:val="28"/>
          <w:szCs w:val="28"/>
        </w:rPr>
        <w:t xml:space="preserve">Competency of </w:t>
      </w:r>
      <w:r w:rsidRPr="00D64E8B">
        <w:rPr>
          <w:rFonts w:ascii="Times New Roman" w:hAnsi="Times New Roman" w:cs="Times New Roman"/>
          <w:b/>
          <w:color w:val="auto"/>
          <w:sz w:val="28"/>
          <w:szCs w:val="28"/>
        </w:rPr>
        <w:t>Evidence Generally</w:t>
      </w:r>
      <w:bookmarkEnd w:id="929"/>
    </w:p>
    <w:p w14:paraId="7BBDEEE4" w14:textId="0B350877" w:rsidR="00FF7482" w:rsidRDefault="00FF7482" w:rsidP="00A928BA">
      <w:pPr>
        <w:spacing w:after="0"/>
      </w:pPr>
    </w:p>
    <w:p w14:paraId="0C92756E" w14:textId="43D594BF" w:rsidR="00FF7482" w:rsidRDefault="00FF7482" w:rsidP="001C6B4D">
      <w:pPr>
        <w:pStyle w:val="ListParagraph"/>
        <w:ind w:left="0"/>
        <w:jc w:val="both"/>
        <w:rPr>
          <w:rFonts w:ascii="Times New Roman" w:hAnsi="Times New Roman" w:cs="Times New Roman"/>
          <w:sz w:val="24"/>
          <w:szCs w:val="24"/>
        </w:rPr>
      </w:pPr>
      <w:r w:rsidRPr="00D64E8B">
        <w:rPr>
          <w:rFonts w:ascii="Times New Roman" w:hAnsi="Times New Roman" w:cs="Times New Roman"/>
          <w:sz w:val="24"/>
          <w:szCs w:val="24"/>
        </w:rPr>
        <w:t xml:space="preserve">As is often the case in workers’ compensation </w:t>
      </w:r>
      <w:r>
        <w:rPr>
          <w:rFonts w:ascii="Times New Roman" w:hAnsi="Times New Roman" w:cs="Times New Roman"/>
          <w:sz w:val="24"/>
          <w:szCs w:val="24"/>
        </w:rPr>
        <w:t xml:space="preserve">cases conducted in administrative settings, </w:t>
      </w:r>
    </w:p>
    <w:p w14:paraId="73B83BA6" w14:textId="725D62CA" w:rsidR="00FF7482" w:rsidRDefault="00FF7482" w:rsidP="00D64E8B">
      <w:pPr>
        <w:pStyle w:val="ListParagraph"/>
        <w:ind w:left="0" w:firstLine="720"/>
        <w:jc w:val="both"/>
        <w:rPr>
          <w:rFonts w:ascii="Times New Roman" w:hAnsi="Times New Roman" w:cs="Times New Roman"/>
          <w:sz w:val="24"/>
          <w:szCs w:val="24"/>
        </w:rPr>
      </w:pPr>
    </w:p>
    <w:p w14:paraId="03A3CCEF" w14:textId="06EBD87C" w:rsidR="00FF7482" w:rsidRDefault="00FF7482" w:rsidP="00E572F4">
      <w:pPr>
        <w:pStyle w:val="ListParagraph"/>
        <w:ind w:right="720"/>
        <w:jc w:val="both"/>
        <w:rPr>
          <w:rFonts w:ascii="Times New Roman" w:hAnsi="Times New Roman" w:cs="Times New Roman"/>
          <w:sz w:val="24"/>
          <w:szCs w:val="24"/>
        </w:rPr>
      </w:pPr>
      <w:r w:rsidRPr="00D64E8B">
        <w:rPr>
          <w:rFonts w:ascii="Times New Roman" w:hAnsi="Times New Roman" w:cs="Times New Roman"/>
          <w:sz w:val="24"/>
          <w:szCs w:val="24"/>
        </w:rPr>
        <w:t>A hearing examiner in a worker's compensation hearing is not bound b</w:t>
      </w:r>
      <w:r>
        <w:rPr>
          <w:rFonts w:ascii="Times New Roman" w:hAnsi="Times New Roman" w:cs="Times New Roman"/>
          <w:sz w:val="24"/>
          <w:szCs w:val="24"/>
        </w:rPr>
        <w:t xml:space="preserve">y the Wyoming Rules of Evidence . . . </w:t>
      </w:r>
      <w:r w:rsidRPr="00D64E8B">
        <w:rPr>
          <w:rFonts w:ascii="Times New Roman" w:hAnsi="Times New Roman" w:cs="Times New Roman"/>
          <w:sz w:val="24"/>
          <w:szCs w:val="24"/>
        </w:rPr>
        <w:t>Instead, “irrelevant, immaterial or unduly repetitious evidenc</w:t>
      </w:r>
      <w:r>
        <w:rPr>
          <w:rFonts w:ascii="Times New Roman" w:hAnsi="Times New Roman" w:cs="Times New Roman"/>
          <w:sz w:val="24"/>
          <w:szCs w:val="24"/>
        </w:rPr>
        <w:t xml:space="preserve">e” is excluded . . . </w:t>
      </w:r>
      <w:r w:rsidRPr="00D64E8B">
        <w:rPr>
          <w:rFonts w:ascii="Times New Roman" w:hAnsi="Times New Roman" w:cs="Times New Roman"/>
          <w:sz w:val="24"/>
          <w:szCs w:val="24"/>
        </w:rPr>
        <w:t>The decision regarding admissibility of evidence is committed to the sound discretion of the hearing exami</w:t>
      </w:r>
      <w:r>
        <w:rPr>
          <w:rFonts w:ascii="Times New Roman" w:hAnsi="Times New Roman" w:cs="Times New Roman"/>
          <w:sz w:val="24"/>
          <w:szCs w:val="24"/>
        </w:rPr>
        <w:t xml:space="preserve">ner . . . </w:t>
      </w:r>
      <w:r w:rsidRPr="00D64E8B">
        <w:rPr>
          <w:rFonts w:ascii="Times New Roman" w:hAnsi="Times New Roman" w:cs="Times New Roman"/>
          <w:sz w:val="24"/>
          <w:szCs w:val="24"/>
        </w:rPr>
        <w:t>A hearing examiner abuses his discretion when his decision “shocks t</w:t>
      </w:r>
      <w:r>
        <w:rPr>
          <w:rFonts w:ascii="Times New Roman" w:hAnsi="Times New Roman" w:cs="Times New Roman"/>
          <w:sz w:val="24"/>
          <w:szCs w:val="24"/>
        </w:rPr>
        <w:t>he conscience of the court.”</w:t>
      </w:r>
      <w:r w:rsidRPr="00910BB7">
        <w:rPr>
          <w:rFonts w:ascii="Times New Roman" w:hAnsi="Times New Roman" w:cs="Times New Roman"/>
          <w:sz w:val="24"/>
          <w:szCs w:val="24"/>
          <w:vertAlign w:val="superscript"/>
        </w:rPr>
        <w:footnoteReference w:id="652"/>
      </w:r>
    </w:p>
    <w:p w14:paraId="3B63F44C" w14:textId="188CB5E9" w:rsidR="00FF7482" w:rsidRDefault="00FF7482" w:rsidP="00D64E8B">
      <w:pPr>
        <w:pStyle w:val="ListParagraph"/>
        <w:ind w:right="720"/>
        <w:jc w:val="both"/>
        <w:rPr>
          <w:rFonts w:ascii="Times New Roman" w:hAnsi="Times New Roman" w:cs="Times New Roman"/>
          <w:sz w:val="24"/>
          <w:szCs w:val="24"/>
        </w:rPr>
      </w:pPr>
    </w:p>
    <w:p w14:paraId="692B5B4C" w14:textId="5F3CD25E" w:rsidR="00FF7482" w:rsidRDefault="00FF7482" w:rsidP="00E572F4">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Yet, this formulation is perhaps a bit too sweeping, for, as the Wyoming Supreme Court has also said in connection with an administrative agency’s admitting hearsay evidence into the official administrative record, </w:t>
      </w:r>
    </w:p>
    <w:p w14:paraId="1FD3E538" w14:textId="33616E4A" w:rsidR="00FF7482" w:rsidRDefault="00FF7482" w:rsidP="006B0442">
      <w:pPr>
        <w:pStyle w:val="ListParagraph"/>
        <w:ind w:left="0" w:firstLine="720"/>
        <w:jc w:val="both"/>
        <w:rPr>
          <w:rFonts w:ascii="Times New Roman" w:hAnsi="Times New Roman" w:cs="Times New Roman"/>
          <w:sz w:val="24"/>
          <w:szCs w:val="24"/>
        </w:rPr>
      </w:pPr>
    </w:p>
    <w:p w14:paraId="3BD0E8AC" w14:textId="78661B05" w:rsidR="00FF7482" w:rsidRDefault="00FF7482" w:rsidP="00E572F4">
      <w:pPr>
        <w:pStyle w:val="ListParagraph"/>
        <w:ind w:right="720"/>
        <w:jc w:val="both"/>
        <w:rPr>
          <w:rFonts w:ascii="Times New Roman" w:hAnsi="Times New Roman" w:cs="Times New Roman"/>
          <w:sz w:val="24"/>
          <w:szCs w:val="24"/>
        </w:rPr>
      </w:pPr>
      <w:r w:rsidRPr="006B0442">
        <w:rPr>
          <w:rFonts w:ascii="Times New Roman" w:hAnsi="Times New Roman" w:cs="Times New Roman"/>
          <w:sz w:val="24"/>
          <w:szCs w:val="24"/>
        </w:rPr>
        <w:t>[A]dministrative agencies acting in a judicial or quasi judicial capacity are not bound by technical rules of evidence that govern trials by courts or juries, and it is usually held that evidence will not be excluded merely because it is hearsay. Where hearsay evidence is by statute admissible in administrative proceedings, it is often held that it must be probative, trustworthy and credible; and, although it may not be the sole basis for establishing an essential fact and is insufficient to support an administrative decision it may be considered as corroborative of facts otherwise established.</w:t>
      </w:r>
      <w:r w:rsidRPr="00910BB7">
        <w:rPr>
          <w:rFonts w:ascii="Times New Roman" w:hAnsi="Times New Roman" w:cs="Times New Roman"/>
          <w:sz w:val="24"/>
          <w:szCs w:val="24"/>
          <w:vertAlign w:val="superscript"/>
        </w:rPr>
        <w:footnoteReference w:id="653"/>
      </w:r>
    </w:p>
    <w:p w14:paraId="700F2B99" w14:textId="0D614E33" w:rsidR="00FF7482" w:rsidRDefault="00FF7482" w:rsidP="006B0442">
      <w:pPr>
        <w:pStyle w:val="ListParagraph"/>
        <w:ind w:right="720"/>
        <w:jc w:val="both"/>
        <w:rPr>
          <w:rFonts w:ascii="Times New Roman" w:hAnsi="Times New Roman" w:cs="Times New Roman"/>
          <w:sz w:val="24"/>
          <w:szCs w:val="24"/>
        </w:rPr>
      </w:pPr>
    </w:p>
    <w:p w14:paraId="144B3E5D" w14:textId="1816C56D" w:rsidR="00FF7482" w:rsidRDefault="00FF7482" w:rsidP="00E572F4">
      <w:pPr>
        <w:pStyle w:val="ListParagraph"/>
        <w:spacing w:after="0"/>
        <w:ind w:left="0"/>
        <w:jc w:val="both"/>
        <w:rPr>
          <w:rStyle w:val="Hyperlink"/>
          <w:rFonts w:ascii="Times New Roman" w:hAnsi="Times New Roman" w:cs="Times New Roman"/>
          <w:sz w:val="24"/>
          <w:szCs w:val="24"/>
          <w:vertAlign w:val="superscript"/>
        </w:rPr>
      </w:pPr>
      <w:r>
        <w:rPr>
          <w:rFonts w:ascii="Times New Roman" w:hAnsi="Times New Roman" w:cs="Times New Roman"/>
          <w:sz w:val="24"/>
          <w:szCs w:val="24"/>
        </w:rPr>
        <w:t>So while something less than a “shock to the conscience” may establish that an administrative decision hangs on insufficient evidentiary grounds—namely, something like a residuum rule</w:t>
      </w:r>
      <w:r w:rsidRPr="00910BB7">
        <w:rPr>
          <w:rFonts w:ascii="Times New Roman" w:hAnsi="Times New Roman" w:cs="Times New Roman"/>
          <w:sz w:val="24"/>
          <w:szCs w:val="24"/>
          <w:vertAlign w:val="superscript"/>
        </w:rPr>
        <w:footnoteReference w:id="654"/>
      </w:r>
      <w:r>
        <w:rPr>
          <w:rFonts w:ascii="Times New Roman" w:hAnsi="Times New Roman" w:cs="Times New Roman"/>
          <w:sz w:val="24"/>
          <w:szCs w:val="24"/>
        </w:rPr>
        <w:t xml:space="preserve"> is applied—it is very clear that most evidence in </w:t>
      </w:r>
      <w:r>
        <w:rPr>
          <w:rFonts w:ascii="Times New Roman" w:hAnsi="Times New Roman" w:cs="Times New Roman"/>
          <w:sz w:val="24"/>
          <w:szCs w:val="24"/>
        </w:rPr>
        <w:lastRenderedPageBreak/>
        <w:t xml:space="preserve">a Wyoming administrative proceeding will be admissible. Presumably, however, consistent with relaxed hearsay admissibility rules, </w:t>
      </w:r>
      <w:r w:rsidRPr="00943DE7">
        <w:rPr>
          <w:rFonts w:ascii="Times New Roman" w:hAnsi="Times New Roman" w:cs="Times New Roman"/>
          <w:i/>
          <w:sz w:val="24"/>
          <w:szCs w:val="24"/>
        </w:rPr>
        <w:t>all</w:t>
      </w:r>
      <w:r>
        <w:rPr>
          <w:rFonts w:ascii="Times New Roman" w:hAnsi="Times New Roman" w:cs="Times New Roman"/>
          <w:sz w:val="24"/>
          <w:szCs w:val="24"/>
        </w:rPr>
        <w:t xml:space="preserve"> evidence not otherwise admissible under the formal rules of evidence must </w:t>
      </w:r>
      <w:r w:rsidRPr="00943DE7">
        <w:rPr>
          <w:rFonts w:ascii="Times New Roman" w:hAnsi="Times New Roman" w:cs="Times New Roman"/>
          <w:i/>
          <w:sz w:val="24"/>
          <w:szCs w:val="24"/>
        </w:rPr>
        <w:t>generally</w:t>
      </w:r>
      <w:r>
        <w:rPr>
          <w:rFonts w:ascii="Times New Roman" w:hAnsi="Times New Roman" w:cs="Times New Roman"/>
          <w:sz w:val="24"/>
          <w:szCs w:val="24"/>
        </w:rPr>
        <w:t xml:space="preserve"> be “</w:t>
      </w:r>
      <w:r w:rsidRPr="00943DE7">
        <w:rPr>
          <w:rFonts w:ascii="Times New Roman" w:hAnsi="Times New Roman" w:cs="Times New Roman"/>
          <w:sz w:val="24"/>
          <w:szCs w:val="24"/>
        </w:rPr>
        <w:t>probative, trustworthy and credible; and</w:t>
      </w:r>
      <w:r>
        <w:rPr>
          <w:rFonts w:ascii="Times New Roman" w:hAnsi="Times New Roman" w:cs="Times New Roman"/>
          <w:sz w:val="24"/>
          <w:szCs w:val="24"/>
        </w:rPr>
        <w:t xml:space="preserve"> probably </w:t>
      </w:r>
      <w:r w:rsidRPr="00943DE7">
        <w:rPr>
          <w:rFonts w:ascii="Times New Roman" w:hAnsi="Times New Roman" w:cs="Times New Roman"/>
          <w:sz w:val="24"/>
          <w:szCs w:val="24"/>
        </w:rPr>
        <w:t>may not be the sole basis for establishing an essential fact</w:t>
      </w:r>
      <w:r>
        <w:rPr>
          <w:rFonts w:ascii="Times New Roman" w:hAnsi="Times New Roman" w:cs="Times New Roman"/>
          <w:sz w:val="24"/>
          <w:szCs w:val="24"/>
        </w:rPr>
        <w:t xml:space="preserve">  . . .”</w:t>
      </w:r>
      <w:r w:rsidRPr="00910BB7">
        <w:rPr>
          <w:rFonts w:ascii="Times New Roman" w:hAnsi="Times New Roman" w:cs="Times New Roman"/>
          <w:sz w:val="24"/>
          <w:szCs w:val="24"/>
          <w:vertAlign w:val="superscript"/>
        </w:rPr>
        <w:footnoteReference w:id="655"/>
      </w:r>
    </w:p>
    <w:p w14:paraId="1340D651" w14:textId="77777777" w:rsidR="00E572F4" w:rsidRPr="00E572F4" w:rsidRDefault="00E572F4" w:rsidP="00E572F4">
      <w:pPr>
        <w:pStyle w:val="ListParagraph"/>
        <w:spacing w:after="0"/>
        <w:ind w:left="0"/>
        <w:jc w:val="both"/>
        <w:rPr>
          <w:rFonts w:ascii="Times New Roman" w:hAnsi="Times New Roman" w:cs="Times New Roman"/>
          <w:sz w:val="24"/>
          <w:szCs w:val="24"/>
        </w:rPr>
      </w:pPr>
    </w:p>
    <w:p w14:paraId="171F2B7F" w14:textId="12545B19" w:rsidR="00FF7482" w:rsidRDefault="00FF7482" w:rsidP="00E572F4">
      <w:pPr>
        <w:pStyle w:val="Heading2"/>
        <w:spacing w:before="0"/>
        <w:rPr>
          <w:rFonts w:ascii="Times New Roman" w:hAnsi="Times New Roman" w:cs="Times New Roman"/>
          <w:b/>
          <w:color w:val="auto"/>
          <w:sz w:val="28"/>
          <w:szCs w:val="28"/>
        </w:rPr>
      </w:pPr>
      <w:bookmarkStart w:id="935" w:name="_Toc75269423"/>
      <w:r>
        <w:rPr>
          <w:rFonts w:ascii="Times New Roman" w:hAnsi="Times New Roman" w:cs="Times New Roman"/>
          <w:b/>
          <w:color w:val="auto"/>
          <w:sz w:val="28"/>
          <w:szCs w:val="28"/>
        </w:rPr>
        <w:t xml:space="preserve">Medical Causation Standard and When </w:t>
      </w:r>
      <w:r w:rsidRPr="006A1342">
        <w:rPr>
          <w:rFonts w:ascii="Times New Roman" w:hAnsi="Times New Roman" w:cs="Times New Roman"/>
          <w:b/>
          <w:color w:val="auto"/>
          <w:sz w:val="28"/>
          <w:szCs w:val="28"/>
        </w:rPr>
        <w:t>Medical Evidence</w:t>
      </w:r>
      <w:r>
        <w:rPr>
          <w:rFonts w:ascii="Times New Roman" w:hAnsi="Times New Roman" w:cs="Times New Roman"/>
          <w:b/>
          <w:color w:val="auto"/>
          <w:sz w:val="28"/>
          <w:szCs w:val="28"/>
        </w:rPr>
        <w:t xml:space="preserve"> is Necessary</w:t>
      </w:r>
      <w:bookmarkEnd w:id="935"/>
    </w:p>
    <w:p w14:paraId="49E4C7D2" w14:textId="77777777" w:rsidR="00E572F4" w:rsidRDefault="00E572F4" w:rsidP="00E572F4">
      <w:pPr>
        <w:pStyle w:val="ListParagraph"/>
        <w:spacing w:after="0"/>
        <w:ind w:left="0"/>
        <w:jc w:val="both"/>
        <w:rPr>
          <w:rFonts w:ascii="Times New Roman" w:hAnsi="Times New Roman" w:cs="Times New Roman"/>
          <w:color w:val="000000" w:themeColor="text1"/>
          <w:sz w:val="24"/>
          <w:szCs w:val="24"/>
        </w:rPr>
      </w:pPr>
    </w:p>
    <w:p w14:paraId="1F40DA50" w14:textId="36D705D5" w:rsidR="00FF7482" w:rsidRDefault="00FF7482" w:rsidP="00E572F4">
      <w:pPr>
        <w:pStyle w:val="ListParagraph"/>
        <w:spacing w:after="0"/>
        <w:ind w:left="0"/>
        <w:jc w:val="both"/>
        <w:rPr>
          <w:rFonts w:ascii="Times New Roman" w:hAnsi="Times New Roman" w:cs="Times New Roman"/>
          <w:color w:val="000000" w:themeColor="text1"/>
          <w:sz w:val="24"/>
          <w:szCs w:val="24"/>
        </w:rPr>
      </w:pPr>
      <w:bookmarkStart w:id="936" w:name="_Hlk24634515"/>
      <w:r>
        <w:rPr>
          <w:rFonts w:ascii="Times New Roman" w:hAnsi="Times New Roman" w:cs="Times New Roman"/>
          <w:color w:val="000000" w:themeColor="text1"/>
          <w:sz w:val="24"/>
          <w:szCs w:val="24"/>
        </w:rPr>
        <w:t xml:space="preserve">As mentioned above in Section 3.9, an employee seeking compensation for a work-related injury must normally prove </w:t>
      </w:r>
      <w:r w:rsidRPr="009E5771">
        <w:rPr>
          <w:rFonts w:ascii="Times New Roman" w:hAnsi="Times New Roman" w:cs="Times New Roman"/>
          <w:color w:val="000000" w:themeColor="text1"/>
          <w:sz w:val="24"/>
          <w:szCs w:val="24"/>
        </w:rPr>
        <w:t xml:space="preserve">by competent medical authority </w:t>
      </w:r>
      <w:r w:rsidRPr="009E5771">
        <w:rPr>
          <w:rFonts w:ascii="Times New Roman" w:hAnsi="Times New Roman" w:cs="Times New Roman"/>
          <w:b/>
          <w:color w:val="000000" w:themeColor="text1"/>
          <w:sz w:val="24"/>
          <w:szCs w:val="24"/>
        </w:rPr>
        <w:t xml:space="preserve">to a reasonable degree of </w:t>
      </w:r>
      <w:r w:rsidRPr="00E96C94">
        <w:rPr>
          <w:rFonts w:ascii="Times New Roman" w:hAnsi="Times New Roman" w:cs="Times New Roman"/>
          <w:b/>
          <w:color w:val="000000" w:themeColor="text1"/>
          <w:sz w:val="24"/>
          <w:szCs w:val="24"/>
          <w:u w:val="single"/>
        </w:rPr>
        <w:t xml:space="preserve">medical </w:t>
      </w:r>
      <w:r>
        <w:rPr>
          <w:rFonts w:ascii="Times New Roman" w:hAnsi="Times New Roman" w:cs="Times New Roman"/>
          <w:b/>
          <w:color w:val="000000" w:themeColor="text1"/>
          <w:sz w:val="24"/>
          <w:szCs w:val="24"/>
          <w:u w:val="single"/>
        </w:rPr>
        <w:t>probability</w:t>
      </w:r>
      <w:r w:rsidRPr="009E5771">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his or her present</w:t>
      </w:r>
      <w:r w:rsidRPr="009E5771">
        <w:rPr>
          <w:rFonts w:ascii="Times New Roman" w:hAnsi="Times New Roman" w:cs="Times New Roman"/>
          <w:color w:val="000000" w:themeColor="text1"/>
          <w:sz w:val="24"/>
          <w:szCs w:val="24"/>
        </w:rPr>
        <w:t xml:space="preserve"> condition is </w:t>
      </w:r>
      <w:r w:rsidRPr="002F1A48">
        <w:rPr>
          <w:rFonts w:ascii="Times New Roman" w:hAnsi="Times New Roman" w:cs="Times New Roman"/>
          <w:bCs/>
          <w:color w:val="000000" w:themeColor="text1"/>
          <w:sz w:val="24"/>
          <w:szCs w:val="24"/>
        </w:rPr>
        <w:t>related</w:t>
      </w:r>
      <w:r w:rsidRPr="009E5771">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the</w:t>
      </w:r>
      <w:r w:rsidRPr="009E5771">
        <w:rPr>
          <w:rFonts w:ascii="Times New Roman" w:hAnsi="Times New Roman" w:cs="Times New Roman"/>
          <w:color w:val="000000" w:themeColor="text1"/>
          <w:sz w:val="24"/>
          <w:szCs w:val="24"/>
        </w:rPr>
        <w:t xml:space="preserve"> injury</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56"/>
      </w:r>
      <w:r>
        <w:rPr>
          <w:rFonts w:ascii="Times New Roman" w:hAnsi="Times New Roman" w:cs="Times New Roman"/>
          <w:color w:val="000000" w:themeColor="text1"/>
          <w:sz w:val="24"/>
          <w:szCs w:val="24"/>
        </w:rPr>
        <w:t xml:space="preserve"> An employee seeking benefits for a </w:t>
      </w:r>
      <w:r w:rsidRPr="007E4C9A">
        <w:rPr>
          <w:rFonts w:ascii="Times New Roman" w:hAnsi="Times New Roman" w:cs="Times New Roman"/>
          <w:i/>
          <w:iCs/>
          <w:color w:val="000000" w:themeColor="text1"/>
          <w:sz w:val="24"/>
          <w:szCs w:val="24"/>
        </w:rPr>
        <w:t>second</w:t>
      </w:r>
      <w:r>
        <w:rPr>
          <w:rFonts w:ascii="Times New Roman" w:hAnsi="Times New Roman" w:cs="Times New Roman"/>
          <w:color w:val="000000" w:themeColor="text1"/>
          <w:sz w:val="24"/>
          <w:szCs w:val="24"/>
        </w:rPr>
        <w:t xml:space="preserve"> compensable injury</w:t>
      </w:r>
      <w:r w:rsidRPr="00A44DD7">
        <w:rPr>
          <w:rFonts w:ascii="Times New Roman" w:hAnsi="Times New Roman" w:cs="Times New Roman"/>
          <w:color w:val="000000" w:themeColor="text1"/>
          <w:sz w:val="24"/>
          <w:szCs w:val="24"/>
        </w:rPr>
        <w:t xml:space="preserve"> has to demonstrate that it is </w:t>
      </w:r>
      <w:r w:rsidRPr="00A44DD7">
        <w:rPr>
          <w:rFonts w:ascii="Times New Roman" w:hAnsi="Times New Roman" w:cs="Times New Roman"/>
          <w:b/>
          <w:color w:val="000000" w:themeColor="text1"/>
          <w:sz w:val="24"/>
          <w:szCs w:val="24"/>
        </w:rPr>
        <w:t>‘</w:t>
      </w:r>
      <w:r w:rsidRPr="00E96C94">
        <w:rPr>
          <w:rFonts w:ascii="Times New Roman" w:hAnsi="Times New Roman" w:cs="Times New Roman"/>
          <w:b/>
          <w:color w:val="000000" w:themeColor="text1"/>
          <w:sz w:val="24"/>
          <w:szCs w:val="24"/>
          <w:u w:val="single"/>
        </w:rPr>
        <w:t>more probable than not</w:t>
      </w:r>
      <w:r w:rsidRPr="00A44DD7">
        <w:rPr>
          <w:rFonts w:ascii="Times New Roman" w:hAnsi="Times New Roman" w:cs="Times New Roman"/>
          <w:b/>
          <w:color w:val="000000" w:themeColor="text1"/>
          <w:sz w:val="24"/>
          <w:szCs w:val="24"/>
        </w:rPr>
        <w:t>,’</w:t>
      </w:r>
      <w:r w:rsidRPr="00A44DD7">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a</w:t>
      </w:r>
      <w:r w:rsidRPr="00A44DD7">
        <w:rPr>
          <w:rFonts w:ascii="Times New Roman" w:hAnsi="Times New Roman" w:cs="Times New Roman"/>
          <w:color w:val="000000" w:themeColor="text1"/>
          <w:sz w:val="24"/>
          <w:szCs w:val="24"/>
        </w:rPr>
        <w:t xml:space="preserve"> first</w:t>
      </w:r>
      <w:r>
        <w:rPr>
          <w:rFonts w:ascii="Times New Roman" w:hAnsi="Times New Roman" w:cs="Times New Roman"/>
          <w:color w:val="000000" w:themeColor="text1"/>
          <w:sz w:val="24"/>
          <w:szCs w:val="24"/>
        </w:rPr>
        <w:t xml:space="preserve"> (work-related) injury</w:t>
      </w:r>
      <w:r w:rsidRPr="00A44DD7">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the </w:t>
      </w:r>
      <w:r w:rsidRPr="00A44DD7">
        <w:rPr>
          <w:rFonts w:ascii="Times New Roman" w:hAnsi="Times New Roman" w:cs="Times New Roman"/>
          <w:color w:val="000000" w:themeColor="text1"/>
          <w:sz w:val="24"/>
          <w:szCs w:val="24"/>
        </w:rPr>
        <w:t>second injur</w:t>
      </w:r>
      <w:r>
        <w:rPr>
          <w:rFonts w:ascii="Times New Roman" w:hAnsi="Times New Roman" w:cs="Times New Roman"/>
          <w:color w:val="000000" w:themeColor="text1"/>
          <w:sz w:val="24"/>
          <w:szCs w:val="24"/>
        </w:rPr>
        <w:t>y</w:t>
      </w:r>
      <w:r w:rsidRPr="00A44DD7">
        <w:rPr>
          <w:rFonts w:ascii="Times New Roman" w:hAnsi="Times New Roman" w:cs="Times New Roman"/>
          <w:color w:val="000000" w:themeColor="text1"/>
          <w:sz w:val="24"/>
          <w:szCs w:val="24"/>
        </w:rPr>
        <w:t xml:space="preserve"> are related.</w:t>
      </w:r>
      <w:r w:rsidRPr="00910BB7">
        <w:rPr>
          <w:rFonts w:ascii="Times New Roman" w:hAnsi="Times New Roman" w:cs="Times New Roman"/>
          <w:sz w:val="24"/>
          <w:szCs w:val="24"/>
          <w:vertAlign w:val="superscript"/>
        </w:rPr>
        <w:footnoteReference w:id="657"/>
      </w:r>
      <w:r>
        <w:rPr>
          <w:rFonts w:ascii="Times New Roman" w:hAnsi="Times New Roman" w:cs="Times New Roman"/>
          <w:color w:val="000000" w:themeColor="text1"/>
          <w:sz w:val="24"/>
          <w:szCs w:val="24"/>
        </w:rPr>
        <w:t xml:space="preserve"> </w:t>
      </w:r>
    </w:p>
    <w:bookmarkEnd w:id="936"/>
    <w:p w14:paraId="3F1ECE35" w14:textId="1BD9A824" w:rsidR="00FF7482" w:rsidRDefault="00FF7482" w:rsidP="006D6EAF">
      <w:pPr>
        <w:pStyle w:val="ListParagraph"/>
        <w:spacing w:after="0"/>
        <w:ind w:left="0" w:firstLine="720"/>
        <w:jc w:val="both"/>
        <w:rPr>
          <w:rFonts w:ascii="Times New Roman" w:hAnsi="Times New Roman" w:cs="Times New Roman"/>
          <w:color w:val="000000" w:themeColor="text1"/>
          <w:sz w:val="24"/>
          <w:szCs w:val="24"/>
        </w:rPr>
      </w:pPr>
    </w:p>
    <w:p w14:paraId="08141B3D" w14:textId="562D5738" w:rsidR="00FF7482" w:rsidRDefault="00FF7482" w:rsidP="00EC426F">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816E4A">
        <w:rPr>
          <w:rFonts w:ascii="Times New Roman" w:hAnsi="Times New Roman" w:cs="Times New Roman"/>
          <w:color w:val="000000" w:themeColor="text1"/>
          <w:sz w:val="24"/>
          <w:szCs w:val="24"/>
        </w:rPr>
        <w:t>he causal connection between an accident or condition at the workplace is satisfied</w:t>
      </w:r>
      <w:r>
        <w:rPr>
          <w:rFonts w:ascii="Times New Roman" w:hAnsi="Times New Roman" w:cs="Times New Roman"/>
          <w:color w:val="000000" w:themeColor="text1"/>
          <w:sz w:val="24"/>
          <w:szCs w:val="24"/>
        </w:rPr>
        <w:t xml:space="preserve"> in the preceding two situations</w:t>
      </w:r>
      <w:r w:rsidRPr="00816E4A">
        <w:rPr>
          <w:rFonts w:ascii="Times New Roman" w:hAnsi="Times New Roman" w:cs="Times New Roman"/>
          <w:color w:val="000000" w:themeColor="text1"/>
          <w:sz w:val="24"/>
          <w:szCs w:val="24"/>
        </w:rPr>
        <w:t xml:space="preserve"> if the medical expert testifies that it is </w:t>
      </w:r>
      <w:r w:rsidRPr="001B11B2">
        <w:rPr>
          <w:rFonts w:ascii="Times New Roman" w:hAnsi="Times New Roman" w:cs="Times New Roman"/>
          <w:b/>
          <w:bCs/>
          <w:i/>
          <w:iCs/>
          <w:color w:val="000000" w:themeColor="text1"/>
          <w:sz w:val="24"/>
          <w:szCs w:val="24"/>
        </w:rPr>
        <w:t>more probable than not that the work contributed in “a material fashion to the precipitation, aggravation or acceleration of the injury</w:t>
      </w:r>
      <w:r w:rsidRPr="00560432">
        <w:rPr>
          <w:rFonts w:ascii="Times New Roman" w:hAnsi="Times New Roman" w:cs="Times New Roman"/>
          <w:b/>
          <w:bCs/>
          <w:color w:val="000000" w:themeColor="text1"/>
          <w:sz w:val="24"/>
          <w:szCs w:val="24"/>
        </w:rPr>
        <w:t>.”</w:t>
      </w:r>
      <w:r w:rsidRPr="00910BB7">
        <w:rPr>
          <w:rFonts w:ascii="Times New Roman" w:hAnsi="Times New Roman" w:cs="Times New Roman"/>
          <w:sz w:val="24"/>
          <w:szCs w:val="24"/>
          <w:vertAlign w:val="superscript"/>
        </w:rPr>
        <w:footnoteReference w:id="658"/>
      </w:r>
      <w:r>
        <w:rPr>
          <w:rFonts w:ascii="Times New Roman" w:hAnsi="Times New Roman" w:cs="Times New Roman"/>
          <w:color w:val="000000" w:themeColor="text1"/>
          <w:sz w:val="24"/>
          <w:szCs w:val="24"/>
        </w:rPr>
        <w:t xml:space="preserve"> </w:t>
      </w:r>
      <w:r w:rsidRPr="001B11B2">
        <w:rPr>
          <w:rFonts w:ascii="Times New Roman" w:hAnsi="Times New Roman" w:cs="Times New Roman"/>
          <w:b/>
          <w:bCs/>
          <w:color w:val="000000" w:themeColor="text1"/>
          <w:sz w:val="24"/>
          <w:szCs w:val="24"/>
          <w:u w:val="single"/>
        </w:rPr>
        <w:t xml:space="preserve">Expressions of reasonable medical </w:t>
      </w:r>
      <w:r>
        <w:rPr>
          <w:rFonts w:ascii="Times New Roman" w:hAnsi="Times New Roman" w:cs="Times New Roman"/>
          <w:b/>
          <w:bCs/>
          <w:color w:val="000000" w:themeColor="text1"/>
          <w:sz w:val="24"/>
          <w:szCs w:val="24"/>
          <w:u w:val="single"/>
        </w:rPr>
        <w:t>probability</w:t>
      </w:r>
      <w:r w:rsidRPr="001B11B2">
        <w:rPr>
          <w:rFonts w:ascii="Times New Roman" w:hAnsi="Times New Roman" w:cs="Times New Roman"/>
          <w:b/>
          <w:bCs/>
          <w:color w:val="000000" w:themeColor="text1"/>
          <w:sz w:val="24"/>
          <w:szCs w:val="24"/>
          <w:u w:val="single"/>
        </w:rPr>
        <w:t xml:space="preserve"> do not have to be expressed in any particular formula</w:t>
      </w:r>
      <w:r w:rsidRPr="00816E4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16E4A">
        <w:rPr>
          <w:rFonts w:ascii="Times New Roman" w:hAnsi="Times New Roman" w:cs="Times New Roman"/>
          <w:color w:val="000000" w:themeColor="text1"/>
          <w:sz w:val="24"/>
          <w:szCs w:val="24"/>
        </w:rPr>
        <w:t xml:space="preserve">Testimony by the medical expert to the effect that the injury “most likely,” “contributed to,” or “probably” is the product of the workplace suffices under </w:t>
      </w:r>
      <w:r>
        <w:rPr>
          <w:rFonts w:ascii="Times New Roman" w:hAnsi="Times New Roman" w:cs="Times New Roman"/>
          <w:color w:val="000000" w:themeColor="text1"/>
          <w:sz w:val="24"/>
          <w:szCs w:val="24"/>
        </w:rPr>
        <w:t>the</w:t>
      </w:r>
      <w:r w:rsidRPr="00816E4A">
        <w:rPr>
          <w:rFonts w:ascii="Times New Roman" w:hAnsi="Times New Roman" w:cs="Times New Roman"/>
          <w:color w:val="000000" w:themeColor="text1"/>
          <w:sz w:val="24"/>
          <w:szCs w:val="24"/>
        </w:rPr>
        <w:t xml:space="preserve"> established standard</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59"/>
      </w:r>
      <w:r>
        <w:rPr>
          <w:rFonts w:ascii="Times New Roman" w:hAnsi="Times New Roman" w:cs="Times New Roman"/>
          <w:color w:val="000000" w:themeColor="text1"/>
          <w:sz w:val="24"/>
          <w:szCs w:val="24"/>
        </w:rPr>
        <w:t xml:space="preserve"> “</w:t>
      </w:r>
      <w:r w:rsidRPr="00816E4A">
        <w:rPr>
          <w:rFonts w:ascii="Times New Roman" w:hAnsi="Times New Roman" w:cs="Times New Roman"/>
          <w:color w:val="000000" w:themeColor="text1"/>
          <w:sz w:val="24"/>
          <w:szCs w:val="24"/>
        </w:rPr>
        <w:t xml:space="preserve">[U]nder either the </w:t>
      </w:r>
      <w:r>
        <w:rPr>
          <w:rFonts w:ascii="Times New Roman" w:hAnsi="Times New Roman" w:cs="Times New Roman"/>
          <w:color w:val="000000" w:themeColor="text1"/>
          <w:sz w:val="24"/>
          <w:szCs w:val="24"/>
        </w:rPr>
        <w:t>‘</w:t>
      </w:r>
      <w:r w:rsidRPr="00816E4A">
        <w:rPr>
          <w:rFonts w:ascii="Times New Roman" w:hAnsi="Times New Roman" w:cs="Times New Roman"/>
          <w:color w:val="000000" w:themeColor="text1"/>
          <w:sz w:val="24"/>
          <w:szCs w:val="24"/>
        </w:rPr>
        <w:t>reasonable medical probability</w:t>
      </w:r>
      <w:r>
        <w:rPr>
          <w:rFonts w:ascii="Times New Roman" w:hAnsi="Times New Roman" w:cs="Times New Roman"/>
          <w:color w:val="000000" w:themeColor="text1"/>
          <w:sz w:val="24"/>
          <w:szCs w:val="24"/>
        </w:rPr>
        <w:t>’</w:t>
      </w:r>
      <w:r w:rsidRPr="00816E4A">
        <w:rPr>
          <w:rFonts w:ascii="Times New Roman" w:hAnsi="Times New Roman" w:cs="Times New Roman"/>
          <w:color w:val="000000" w:themeColor="text1"/>
          <w:sz w:val="24"/>
          <w:szCs w:val="24"/>
        </w:rPr>
        <w:t xml:space="preserve"> or </w:t>
      </w:r>
      <w:r>
        <w:rPr>
          <w:rFonts w:ascii="Times New Roman" w:hAnsi="Times New Roman" w:cs="Times New Roman"/>
          <w:color w:val="000000" w:themeColor="text1"/>
          <w:sz w:val="24"/>
          <w:szCs w:val="24"/>
        </w:rPr>
        <w:t>‘</w:t>
      </w:r>
      <w:r w:rsidRPr="00816E4A">
        <w:rPr>
          <w:rFonts w:ascii="Times New Roman" w:hAnsi="Times New Roman" w:cs="Times New Roman"/>
          <w:color w:val="000000" w:themeColor="text1"/>
          <w:sz w:val="24"/>
          <w:szCs w:val="24"/>
        </w:rPr>
        <w:t>more probable than not</w:t>
      </w:r>
      <w:r>
        <w:rPr>
          <w:rFonts w:ascii="Times New Roman" w:hAnsi="Times New Roman" w:cs="Times New Roman"/>
          <w:color w:val="000000" w:themeColor="text1"/>
          <w:sz w:val="24"/>
          <w:szCs w:val="24"/>
        </w:rPr>
        <w:t>’</w:t>
      </w:r>
      <w:r w:rsidRPr="00816E4A">
        <w:rPr>
          <w:rFonts w:ascii="Times New Roman" w:hAnsi="Times New Roman" w:cs="Times New Roman"/>
          <w:color w:val="000000" w:themeColor="text1"/>
          <w:sz w:val="24"/>
          <w:szCs w:val="24"/>
        </w:rPr>
        <w:t xml:space="preserve"> standard, [a claimant succeeds] in demonstrating the causal connection by a preponderance of the evidence.</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60"/>
      </w:r>
    </w:p>
    <w:p w14:paraId="2F8C48FE" w14:textId="77777777" w:rsidR="00FF7482" w:rsidRDefault="00FF7482" w:rsidP="006D6EAF">
      <w:pPr>
        <w:pStyle w:val="ListParagraph"/>
        <w:spacing w:after="0"/>
        <w:ind w:left="0" w:firstLine="720"/>
        <w:jc w:val="both"/>
        <w:rPr>
          <w:rFonts w:ascii="Times New Roman" w:hAnsi="Times New Roman" w:cs="Times New Roman"/>
          <w:color w:val="000000" w:themeColor="text1"/>
          <w:sz w:val="24"/>
          <w:szCs w:val="24"/>
        </w:rPr>
      </w:pPr>
    </w:p>
    <w:p w14:paraId="6FE083C9" w14:textId="628D068A" w:rsidR="00FF7482" w:rsidRDefault="00FF7482" w:rsidP="009A5960">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contrast, as mentioned above in Section 3.10, an employee seeking to </w:t>
      </w:r>
      <w:r w:rsidRPr="008A62E3">
        <w:rPr>
          <w:rFonts w:ascii="Times New Roman" w:hAnsi="Times New Roman" w:cs="Times New Roman"/>
          <w:i/>
          <w:iCs/>
          <w:color w:val="000000" w:themeColor="text1"/>
          <w:sz w:val="24"/>
          <w:szCs w:val="24"/>
        </w:rPr>
        <w:t>modify an original award</w:t>
      </w:r>
      <w:r>
        <w:rPr>
          <w:rFonts w:ascii="Times New Roman" w:hAnsi="Times New Roman" w:cs="Times New Roman"/>
          <w:color w:val="000000" w:themeColor="text1"/>
          <w:sz w:val="24"/>
          <w:szCs w:val="24"/>
        </w:rPr>
        <w:t xml:space="preserve"> for payment of </w:t>
      </w:r>
      <w:r w:rsidRPr="00DA7EF3">
        <w:rPr>
          <w:rFonts w:ascii="Times New Roman" w:hAnsi="Times New Roman" w:cs="Times New Roman"/>
          <w:i/>
          <w:iCs/>
          <w:color w:val="000000" w:themeColor="text1"/>
          <w:sz w:val="24"/>
          <w:szCs w:val="24"/>
        </w:rPr>
        <w:t>additional</w:t>
      </w:r>
      <w:r>
        <w:rPr>
          <w:rFonts w:ascii="Times New Roman" w:hAnsi="Times New Roman" w:cs="Times New Roman"/>
          <w:color w:val="000000" w:themeColor="text1"/>
          <w:sz w:val="24"/>
          <w:szCs w:val="24"/>
        </w:rPr>
        <w:t xml:space="preserve"> benefits must prove </w:t>
      </w:r>
      <w:r w:rsidRPr="009E5771">
        <w:rPr>
          <w:rFonts w:ascii="Times New Roman" w:hAnsi="Times New Roman" w:cs="Times New Roman"/>
          <w:color w:val="000000" w:themeColor="text1"/>
          <w:sz w:val="24"/>
          <w:szCs w:val="24"/>
        </w:rPr>
        <w:t xml:space="preserve">by competent medical authority and </w:t>
      </w:r>
      <w:r w:rsidRPr="009E5771">
        <w:rPr>
          <w:rFonts w:ascii="Times New Roman" w:hAnsi="Times New Roman" w:cs="Times New Roman"/>
          <w:b/>
          <w:color w:val="000000" w:themeColor="text1"/>
          <w:sz w:val="24"/>
          <w:szCs w:val="24"/>
        </w:rPr>
        <w:t xml:space="preserve">to a </w:t>
      </w:r>
      <w:r w:rsidRPr="008A62E3">
        <w:rPr>
          <w:rFonts w:ascii="Times New Roman" w:hAnsi="Times New Roman" w:cs="Times New Roman"/>
          <w:b/>
          <w:color w:val="000000" w:themeColor="text1"/>
          <w:sz w:val="24"/>
          <w:szCs w:val="24"/>
          <w:u w:val="single"/>
        </w:rPr>
        <w:t>reasonable degree of medical certainty</w:t>
      </w:r>
      <w:r w:rsidRPr="009E57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(unlike the “probably” or “most likely” initial causation formulation discussed in the beginning of this section) </w:t>
      </w:r>
      <w:r w:rsidRPr="009E5771">
        <w:rPr>
          <w:rFonts w:ascii="Times New Roman" w:hAnsi="Times New Roman" w:cs="Times New Roman"/>
          <w:color w:val="000000" w:themeColor="text1"/>
          <w:sz w:val="24"/>
          <w:szCs w:val="24"/>
        </w:rPr>
        <w:t xml:space="preserve">that </w:t>
      </w:r>
      <w:r>
        <w:rPr>
          <w:rFonts w:ascii="Times New Roman" w:hAnsi="Times New Roman" w:cs="Times New Roman"/>
          <w:color w:val="000000" w:themeColor="text1"/>
          <w:sz w:val="24"/>
          <w:szCs w:val="24"/>
        </w:rPr>
        <w:t>a disabling</w:t>
      </w:r>
      <w:r w:rsidRPr="009E5771">
        <w:rPr>
          <w:rFonts w:ascii="Times New Roman" w:hAnsi="Times New Roman" w:cs="Times New Roman"/>
          <w:color w:val="000000" w:themeColor="text1"/>
          <w:sz w:val="24"/>
          <w:szCs w:val="24"/>
        </w:rPr>
        <w:t xml:space="preserve"> condition is </w:t>
      </w:r>
      <w:r w:rsidRPr="00A44DD7">
        <w:rPr>
          <w:rFonts w:ascii="Times New Roman" w:hAnsi="Times New Roman" w:cs="Times New Roman"/>
          <w:b/>
          <w:color w:val="000000" w:themeColor="text1"/>
          <w:sz w:val="24"/>
          <w:szCs w:val="24"/>
        </w:rPr>
        <w:t>directly related</w:t>
      </w:r>
      <w:r w:rsidRPr="009E5771">
        <w:rPr>
          <w:rFonts w:ascii="Times New Roman" w:hAnsi="Times New Roman" w:cs="Times New Roman"/>
          <w:color w:val="000000" w:themeColor="text1"/>
          <w:sz w:val="24"/>
          <w:szCs w:val="24"/>
        </w:rPr>
        <w:t xml:space="preserve"> to the original injury</w:t>
      </w:r>
    </w:p>
    <w:p w14:paraId="31FEE0FE" w14:textId="77777777" w:rsidR="00FF7482" w:rsidRDefault="00FF7482" w:rsidP="006D6EAF">
      <w:pPr>
        <w:pStyle w:val="ListParagraph"/>
        <w:spacing w:after="0"/>
        <w:ind w:left="0" w:firstLine="720"/>
        <w:jc w:val="both"/>
        <w:rPr>
          <w:rFonts w:ascii="Times New Roman" w:hAnsi="Times New Roman" w:cs="Times New Roman"/>
          <w:color w:val="000000" w:themeColor="text1"/>
          <w:sz w:val="24"/>
          <w:szCs w:val="24"/>
        </w:rPr>
      </w:pPr>
    </w:p>
    <w:p w14:paraId="6DD30A34" w14:textId="0004B02F" w:rsidR="00FF7482" w:rsidRDefault="00FF7482" w:rsidP="009A5960">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While the claimant has the burden of proving every element of a claim, and this frequently requires resort to medical evidence—indeed, where a medical question is complex, </w:t>
      </w:r>
      <w:r w:rsidRPr="00C375CB">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need for medical testimony is enhanced</w:t>
      </w:r>
      <w:r w:rsidRPr="00910BB7">
        <w:rPr>
          <w:rFonts w:ascii="Times New Roman" w:hAnsi="Times New Roman" w:cs="Times New Roman"/>
          <w:sz w:val="24"/>
          <w:szCs w:val="24"/>
          <w:vertAlign w:val="superscript"/>
        </w:rPr>
        <w:footnoteReference w:id="661"/>
      </w:r>
      <w:r w:rsidR="00A950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 an initial claim “</w:t>
      </w:r>
      <w:r w:rsidRPr="00077D04">
        <w:rPr>
          <w:rFonts w:ascii="Times New Roman" w:hAnsi="Times New Roman" w:cs="Times New Roman"/>
          <w:color w:val="000000" w:themeColor="text1"/>
          <w:sz w:val="24"/>
          <w:szCs w:val="24"/>
        </w:rPr>
        <w:t xml:space="preserve">medical testimony is </w:t>
      </w:r>
      <w:r w:rsidRPr="00077D04">
        <w:rPr>
          <w:rFonts w:ascii="Times New Roman" w:hAnsi="Times New Roman" w:cs="Times New Roman"/>
          <w:b/>
          <w:bCs/>
          <w:color w:val="000000" w:themeColor="text1"/>
          <w:sz w:val="24"/>
          <w:szCs w:val="24"/>
        </w:rPr>
        <w:t>not</w:t>
      </w:r>
      <w:r w:rsidRPr="00077D04">
        <w:rPr>
          <w:rFonts w:ascii="Times New Roman" w:hAnsi="Times New Roman" w:cs="Times New Roman"/>
          <w:color w:val="000000" w:themeColor="text1"/>
          <w:sz w:val="24"/>
          <w:szCs w:val="24"/>
        </w:rPr>
        <w:t xml:space="preserve"> required</w:t>
      </w:r>
      <w:r>
        <w:rPr>
          <w:rFonts w:ascii="Times New Roman" w:hAnsi="Times New Roman" w:cs="Times New Roman"/>
          <w:color w:val="000000" w:themeColor="text1"/>
          <w:sz w:val="24"/>
          <w:szCs w:val="24"/>
        </w:rPr>
        <w:t xml:space="preserve"> </w:t>
      </w:r>
      <w:r w:rsidRPr="00077D04">
        <w:rPr>
          <w:rFonts w:ascii="Times New Roman" w:hAnsi="Times New Roman" w:cs="Times New Roman"/>
          <w:color w:val="000000" w:themeColor="text1"/>
          <w:sz w:val="24"/>
          <w:szCs w:val="24"/>
        </w:rPr>
        <w:t xml:space="preserve">if it is </w:t>
      </w:r>
      <w:r w:rsidRPr="00077D04">
        <w:rPr>
          <w:rFonts w:ascii="Times New Roman" w:hAnsi="Times New Roman" w:cs="Times New Roman"/>
          <w:b/>
          <w:bCs/>
          <w:color w:val="000000" w:themeColor="text1"/>
          <w:sz w:val="24"/>
          <w:szCs w:val="24"/>
        </w:rPr>
        <w:t>not</w:t>
      </w:r>
      <w:r w:rsidRPr="00077D04">
        <w:rPr>
          <w:rFonts w:ascii="Times New Roman" w:hAnsi="Times New Roman" w:cs="Times New Roman"/>
          <w:color w:val="000000" w:themeColor="text1"/>
          <w:sz w:val="24"/>
          <w:szCs w:val="24"/>
        </w:rPr>
        <w:t xml:space="preserve"> essential to establish a causal connection between the accident and the injury.</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62"/>
      </w:r>
      <w:r>
        <w:rPr>
          <w:rFonts w:ascii="Times New Roman" w:hAnsi="Times New Roman" w:cs="Times New Roman"/>
          <w:color w:val="000000" w:themeColor="text1"/>
          <w:sz w:val="24"/>
          <w:szCs w:val="24"/>
        </w:rPr>
        <w:t xml:space="preserve"> This principle has been more broadly recognized in the </w:t>
      </w:r>
      <w:r w:rsidRPr="0084589A">
        <w:rPr>
          <w:rFonts w:ascii="Times New Roman" w:hAnsi="Times New Roman" w:cs="Times New Roman"/>
          <w:i/>
          <w:iCs/>
          <w:color w:val="000000" w:themeColor="text1"/>
          <w:sz w:val="24"/>
          <w:szCs w:val="24"/>
        </w:rPr>
        <w:t>Larson’s</w:t>
      </w:r>
      <w:r>
        <w:rPr>
          <w:rFonts w:ascii="Times New Roman" w:hAnsi="Times New Roman" w:cs="Times New Roman"/>
          <w:color w:val="000000" w:themeColor="text1"/>
          <w:sz w:val="24"/>
          <w:szCs w:val="24"/>
        </w:rPr>
        <w:t xml:space="preserve"> treatise. Indeed, the concept has been applied in the context of both causation and both the existence and extent of disability. “[T]</w:t>
      </w:r>
      <w:r w:rsidRPr="00746B73">
        <w:rPr>
          <w:rFonts w:ascii="Times New Roman" w:hAnsi="Times New Roman" w:cs="Times New Roman"/>
          <w:color w:val="000000" w:themeColor="text1"/>
          <w:sz w:val="24"/>
          <w:szCs w:val="24"/>
        </w:rPr>
        <w:t>he causal connection between an injury, such as a fracture of the back, and ensuing disability that had not existed before the injury, may sometimes be established without medical support</w:t>
      </w:r>
      <w:r>
        <w:rPr>
          <w:rFonts w:ascii="Times New Roman" w:hAnsi="Times New Roman" w:cs="Times New Roman"/>
          <w:color w:val="000000" w:themeColor="text1"/>
          <w:sz w:val="24"/>
          <w:szCs w:val="24"/>
        </w:rPr>
        <w:t xml:space="preserve"> . . .</w:t>
      </w:r>
      <w:r w:rsidRPr="00746B73">
        <w:rPr>
          <w:rFonts w:ascii="Verdana" w:hAnsi="Verdana"/>
          <w:color w:val="373739"/>
          <w:sz w:val="18"/>
          <w:szCs w:val="18"/>
          <w:shd w:val="clear" w:color="auto" w:fill="FFFFFF"/>
        </w:rPr>
        <w:t xml:space="preserve"> </w:t>
      </w:r>
      <w:r w:rsidRPr="00746B73">
        <w:rPr>
          <w:rFonts w:ascii="Times New Roman" w:hAnsi="Times New Roman" w:cs="Times New Roman"/>
          <w:color w:val="000000" w:themeColor="text1"/>
          <w:sz w:val="24"/>
          <w:szCs w:val="24"/>
        </w:rPr>
        <w:t>The same may be true in certain cases involving the question of existence</w:t>
      </w:r>
      <w:r>
        <w:rPr>
          <w:rFonts w:ascii="Times New Roman" w:hAnsi="Times New Roman" w:cs="Times New Roman"/>
          <w:color w:val="000000" w:themeColor="text1"/>
          <w:sz w:val="24"/>
          <w:szCs w:val="24"/>
        </w:rPr>
        <w:t xml:space="preserve"> </w:t>
      </w:r>
      <w:r w:rsidRPr="00746B73">
        <w:rPr>
          <w:rFonts w:ascii="Times New Roman" w:hAnsi="Times New Roman" w:cs="Times New Roman"/>
          <w:color w:val="000000" w:themeColor="text1"/>
          <w:sz w:val="24"/>
          <w:szCs w:val="24"/>
        </w:rPr>
        <w:t>and even extent of disability</w:t>
      </w:r>
      <w:r>
        <w:rPr>
          <w:rFonts w:ascii="Times New Roman" w:hAnsi="Times New Roman" w:cs="Times New Roman"/>
          <w:color w:val="000000" w:themeColor="text1"/>
          <w:sz w:val="24"/>
          <w:szCs w:val="24"/>
        </w:rPr>
        <w:t xml:space="preserve">.” </w:t>
      </w:r>
      <w:r w:rsidRPr="00910BB7">
        <w:rPr>
          <w:rFonts w:ascii="Times New Roman" w:hAnsi="Times New Roman" w:cs="Times New Roman"/>
          <w:sz w:val="24"/>
          <w:szCs w:val="24"/>
          <w:vertAlign w:val="superscript"/>
        </w:rPr>
        <w:footnoteReference w:id="663"/>
      </w:r>
    </w:p>
    <w:p w14:paraId="0730FF55" w14:textId="77777777" w:rsidR="00FF7482" w:rsidRDefault="00FF7482" w:rsidP="006D6EAF">
      <w:pPr>
        <w:pStyle w:val="ListParagraph"/>
        <w:spacing w:after="0"/>
        <w:ind w:left="0" w:firstLine="720"/>
        <w:jc w:val="both"/>
        <w:rPr>
          <w:rFonts w:ascii="Times New Roman" w:hAnsi="Times New Roman" w:cs="Times New Roman"/>
          <w:color w:val="000000" w:themeColor="text1"/>
          <w:sz w:val="24"/>
          <w:szCs w:val="24"/>
        </w:rPr>
      </w:pPr>
    </w:p>
    <w:p w14:paraId="3A7F8A1D" w14:textId="39E49125" w:rsidR="00FF7482" w:rsidRDefault="00FF7482" w:rsidP="00A95078">
      <w:pPr>
        <w:pStyle w:val="ListParagraph"/>
        <w:spacing w:after="0"/>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lines are not always easy to draw. For example, in a recent case, </w:t>
      </w:r>
      <w:r w:rsidRPr="00C375CB">
        <w:rPr>
          <w:rFonts w:ascii="Times New Roman" w:hAnsi="Times New Roman" w:cs="Times New Roman"/>
          <w:i/>
          <w:iCs/>
          <w:color w:val="000000" w:themeColor="text1"/>
          <w:sz w:val="24"/>
          <w:szCs w:val="24"/>
        </w:rPr>
        <w:t xml:space="preserve">Stevens v. Workers’ Safety </w:t>
      </w:r>
      <w:r>
        <w:rPr>
          <w:rFonts w:ascii="Times New Roman" w:hAnsi="Times New Roman" w:cs="Times New Roman"/>
          <w:i/>
          <w:iCs/>
          <w:color w:val="000000" w:themeColor="text1"/>
          <w:sz w:val="24"/>
          <w:szCs w:val="24"/>
        </w:rPr>
        <w:t>&amp;</w:t>
      </w:r>
      <w:r w:rsidRPr="00C375CB">
        <w:rPr>
          <w:rFonts w:ascii="Times New Roman" w:hAnsi="Times New Roman" w:cs="Times New Roman"/>
          <w:i/>
          <w:iCs/>
          <w:color w:val="000000" w:themeColor="text1"/>
          <w:sz w:val="24"/>
          <w:szCs w:val="24"/>
        </w:rPr>
        <w:t xml:space="preserve"> Compensation Div</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64"/>
      </w:r>
      <w:r>
        <w:rPr>
          <w:rFonts w:ascii="Times New Roman" w:hAnsi="Times New Roman" w:cs="Times New Roman"/>
          <w:color w:val="000000" w:themeColor="text1"/>
          <w:sz w:val="24"/>
          <w:szCs w:val="24"/>
        </w:rPr>
        <w:t xml:space="preserve"> the Wyoming Supreme Court upheld the Division’s denial of a claim the employee argued did not require medical evidence, given the close connection between a work-related event and subsequent physical symptoms. Stevens slipped and fell down a flight of stairs at work.</w:t>
      </w:r>
      <w:r w:rsidRPr="00910BB7">
        <w:rPr>
          <w:rFonts w:ascii="Times New Roman" w:hAnsi="Times New Roman" w:cs="Times New Roman"/>
          <w:sz w:val="24"/>
          <w:szCs w:val="24"/>
          <w:vertAlign w:val="superscript"/>
        </w:rPr>
        <w:footnoteReference w:id="665"/>
      </w:r>
      <w:r>
        <w:rPr>
          <w:rFonts w:ascii="Times New Roman" w:hAnsi="Times New Roman" w:cs="Times New Roman"/>
          <w:color w:val="000000" w:themeColor="text1"/>
          <w:sz w:val="24"/>
          <w:szCs w:val="24"/>
        </w:rPr>
        <w:t xml:space="preserve"> All of her early reports of injury pertained to her left hand only.</w:t>
      </w:r>
      <w:r w:rsidRPr="00910BB7">
        <w:rPr>
          <w:rFonts w:ascii="Times New Roman" w:hAnsi="Times New Roman" w:cs="Times New Roman"/>
          <w:sz w:val="24"/>
          <w:szCs w:val="24"/>
          <w:vertAlign w:val="superscript"/>
        </w:rPr>
        <w:footnoteReference w:id="666"/>
      </w:r>
      <w:r>
        <w:rPr>
          <w:rFonts w:ascii="Times New Roman" w:hAnsi="Times New Roman" w:cs="Times New Roman"/>
          <w:color w:val="000000" w:themeColor="text1"/>
          <w:sz w:val="24"/>
          <w:szCs w:val="24"/>
        </w:rPr>
        <w:t xml:space="preserve"> When she returned to work four days later, she felt pain in her </w:t>
      </w:r>
      <w:r w:rsidRPr="00694B52">
        <w:rPr>
          <w:rFonts w:ascii="Times New Roman" w:hAnsi="Times New Roman" w:cs="Times New Roman"/>
          <w:i/>
          <w:iCs/>
          <w:color w:val="000000" w:themeColor="text1"/>
          <w:sz w:val="24"/>
          <w:szCs w:val="24"/>
        </w:rPr>
        <w:t>right hip</w:t>
      </w:r>
      <w:r>
        <w:rPr>
          <w:rFonts w:ascii="Times New Roman" w:hAnsi="Times New Roman" w:cs="Times New Roman"/>
          <w:color w:val="000000" w:themeColor="text1"/>
          <w:sz w:val="24"/>
          <w:szCs w:val="24"/>
        </w:rPr>
        <w:t xml:space="preserve"> but thought it would go away.</w:t>
      </w:r>
      <w:r w:rsidRPr="00910BB7">
        <w:rPr>
          <w:rFonts w:ascii="Times New Roman" w:hAnsi="Times New Roman" w:cs="Times New Roman"/>
          <w:sz w:val="24"/>
          <w:szCs w:val="24"/>
          <w:vertAlign w:val="superscript"/>
        </w:rPr>
        <w:footnoteReference w:id="667"/>
      </w:r>
      <w:r>
        <w:rPr>
          <w:rFonts w:ascii="Times New Roman" w:hAnsi="Times New Roman" w:cs="Times New Roman"/>
          <w:color w:val="000000" w:themeColor="text1"/>
          <w:sz w:val="24"/>
          <w:szCs w:val="24"/>
        </w:rPr>
        <w:t xml:space="preserve"> About a month after the fall, Stevens, for the first time, reported pain in her right hip to her doctor. About two and half months after the fall, the hip pain intensified, and Stevens had diagnostic tests performed that revealed an “</w:t>
      </w:r>
      <w:r w:rsidRPr="001F3DE8">
        <w:rPr>
          <w:rFonts w:ascii="Times New Roman" w:hAnsi="Times New Roman" w:cs="Times New Roman"/>
          <w:color w:val="000000" w:themeColor="text1"/>
          <w:sz w:val="24"/>
          <w:szCs w:val="24"/>
        </w:rPr>
        <w:t>AVN in the femoral head of her right hip. (AVN is the death of a bone due to lack of blood supply</w:t>
      </w:r>
      <w:r>
        <w:rPr>
          <w:rFonts w:ascii="Times New Roman" w:hAnsi="Times New Roman" w:cs="Times New Roman"/>
          <w:color w:val="000000" w:themeColor="text1"/>
          <w:sz w:val="24"/>
          <w:szCs w:val="24"/>
        </w:rPr>
        <w:t>)</w:t>
      </w:r>
      <w:r w:rsidRPr="001F3D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68"/>
      </w:r>
      <w:r w:rsidRPr="001F3D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Her doctor, </w:t>
      </w:r>
      <w:r w:rsidRPr="001F3DE8">
        <w:rPr>
          <w:rFonts w:ascii="Times New Roman" w:hAnsi="Times New Roman" w:cs="Times New Roman"/>
          <w:color w:val="000000" w:themeColor="text1"/>
          <w:sz w:val="24"/>
          <w:szCs w:val="24"/>
        </w:rPr>
        <w:t>Rork</w:t>
      </w:r>
      <w:r>
        <w:rPr>
          <w:rFonts w:ascii="Times New Roman" w:hAnsi="Times New Roman" w:cs="Times New Roman"/>
          <w:color w:val="000000" w:themeColor="text1"/>
          <w:sz w:val="24"/>
          <w:szCs w:val="24"/>
        </w:rPr>
        <w:t>,</w:t>
      </w:r>
      <w:r w:rsidRPr="001F3D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opined</w:t>
      </w:r>
      <w:r w:rsidRPr="001F3DE8">
        <w:rPr>
          <w:rFonts w:ascii="Times New Roman" w:hAnsi="Times New Roman" w:cs="Times New Roman"/>
          <w:color w:val="000000" w:themeColor="text1"/>
          <w:sz w:val="24"/>
          <w:szCs w:val="24"/>
        </w:rPr>
        <w:t>, “This is probably a post-traumatic event related to the slip and fall accident of 10/26/10.</w:t>
      </w:r>
      <w:r>
        <w:rPr>
          <w:rFonts w:ascii="Times New Roman" w:hAnsi="Times New Roman" w:cs="Times New Roman"/>
          <w:color w:val="000000" w:themeColor="text1"/>
          <w:sz w:val="24"/>
          <w:szCs w:val="24"/>
        </w:rPr>
        <w:t>”</w:t>
      </w:r>
      <w:r w:rsidRPr="00910BB7">
        <w:rPr>
          <w:rFonts w:ascii="Times New Roman" w:hAnsi="Times New Roman" w:cs="Times New Roman"/>
          <w:sz w:val="24"/>
          <w:szCs w:val="24"/>
          <w:vertAlign w:val="superscript"/>
        </w:rPr>
        <w:footnoteReference w:id="669"/>
      </w:r>
      <w:r>
        <w:rPr>
          <w:rFonts w:ascii="Times New Roman" w:hAnsi="Times New Roman" w:cs="Times New Roman"/>
          <w:color w:val="000000" w:themeColor="text1"/>
          <w:sz w:val="24"/>
          <w:szCs w:val="24"/>
        </w:rPr>
        <w:t xml:space="preserve"> Dr. Rork, following a subsequent examination, also said in office notes,  </w:t>
      </w:r>
      <w:r w:rsidRPr="00694B52">
        <w:rPr>
          <w:rFonts w:ascii="Times New Roman" w:hAnsi="Times New Roman" w:cs="Times New Roman"/>
          <w:color w:val="000000" w:themeColor="text1"/>
          <w:sz w:val="24"/>
          <w:szCs w:val="24"/>
        </w:rPr>
        <w:t xml:space="preserve">“[Mrs. Stevens] was complaining of hip pain that occurred at the time of the initial injury, this was probably overshadowed by the pain in her left hand. What has occurred is that she has gone on to an AVN which may or may </w:t>
      </w:r>
      <w:r w:rsidRPr="00694B52">
        <w:rPr>
          <w:rFonts w:ascii="Times New Roman" w:hAnsi="Times New Roman" w:cs="Times New Roman"/>
          <w:color w:val="000000" w:themeColor="text1"/>
          <w:sz w:val="24"/>
          <w:szCs w:val="24"/>
        </w:rPr>
        <w:lastRenderedPageBreak/>
        <w:t>not require surgical intervention.”</w:t>
      </w:r>
      <w:r w:rsidRPr="00910BB7">
        <w:rPr>
          <w:rFonts w:ascii="Times New Roman" w:hAnsi="Times New Roman" w:cs="Times New Roman"/>
          <w:sz w:val="24"/>
          <w:szCs w:val="24"/>
          <w:vertAlign w:val="superscript"/>
        </w:rPr>
        <w:footnoteReference w:id="670"/>
      </w:r>
      <w:r>
        <w:rPr>
          <w:rFonts w:ascii="Times New Roman" w:hAnsi="Times New Roman" w:cs="Times New Roman"/>
          <w:color w:val="000000" w:themeColor="text1"/>
          <w:sz w:val="24"/>
          <w:szCs w:val="24"/>
        </w:rPr>
        <w:t xml:space="preserve"> Radiologists’ reports and interpretations also suggested arthritic changes.</w:t>
      </w:r>
      <w:r w:rsidRPr="00910BB7">
        <w:rPr>
          <w:rFonts w:ascii="Times New Roman" w:hAnsi="Times New Roman" w:cs="Times New Roman"/>
          <w:sz w:val="24"/>
          <w:szCs w:val="24"/>
          <w:vertAlign w:val="superscript"/>
        </w:rPr>
        <w:footnoteReference w:id="671"/>
      </w:r>
      <w:r>
        <w:rPr>
          <w:rFonts w:ascii="Times New Roman" w:hAnsi="Times New Roman" w:cs="Times New Roman"/>
          <w:color w:val="000000" w:themeColor="text1"/>
          <w:sz w:val="24"/>
          <w:szCs w:val="24"/>
        </w:rPr>
        <w:t xml:space="preserve"> Eventually, </w:t>
      </w:r>
    </w:p>
    <w:p w14:paraId="090B4CBA" w14:textId="77777777" w:rsidR="00FF7482" w:rsidRDefault="00FF7482" w:rsidP="006D6EAF">
      <w:pPr>
        <w:pStyle w:val="ListParagraph"/>
        <w:spacing w:after="0"/>
        <w:ind w:left="0" w:firstLine="720"/>
        <w:jc w:val="both"/>
        <w:rPr>
          <w:rFonts w:ascii="Times New Roman" w:hAnsi="Times New Roman" w:cs="Times New Roman"/>
          <w:color w:val="000000" w:themeColor="text1"/>
          <w:sz w:val="24"/>
          <w:szCs w:val="24"/>
        </w:rPr>
      </w:pPr>
    </w:p>
    <w:p w14:paraId="7625EF05" w14:textId="38D33302" w:rsidR="00FF7482" w:rsidRDefault="00FF7482" w:rsidP="009A5529">
      <w:pPr>
        <w:pStyle w:val="ListParagraph"/>
        <w:spacing w:after="0"/>
        <w:ind w:right="720"/>
        <w:jc w:val="both"/>
        <w:rPr>
          <w:rFonts w:ascii="Times New Roman" w:hAnsi="Times New Roman" w:cs="Times New Roman"/>
          <w:color w:val="000000" w:themeColor="text1"/>
          <w:sz w:val="24"/>
          <w:szCs w:val="24"/>
        </w:rPr>
      </w:pPr>
      <w:r w:rsidRPr="006D6EAF">
        <w:rPr>
          <w:rFonts w:ascii="Times New Roman" w:hAnsi="Times New Roman" w:cs="Times New Roman"/>
          <w:color w:val="000000" w:themeColor="text1"/>
          <w:sz w:val="24"/>
          <w:szCs w:val="24"/>
        </w:rPr>
        <w:t>the femoral head on her right hip collapsed due to the AVN progression, and on December 14, 2011, Mrs. Stevens received a total right hip replacement</w:t>
      </w:r>
      <w:r>
        <w:rPr>
          <w:rFonts w:ascii="Times New Roman" w:hAnsi="Times New Roman" w:cs="Times New Roman"/>
          <w:color w:val="000000" w:themeColor="text1"/>
          <w:sz w:val="24"/>
          <w:szCs w:val="24"/>
        </w:rPr>
        <w:t xml:space="preserve"> . . .</w:t>
      </w:r>
      <w:r w:rsidRPr="006D6EAF">
        <w:rPr>
          <w:rFonts w:ascii="Times New Roman" w:hAnsi="Times New Roman" w:cs="Times New Roman"/>
          <w:color w:val="000000" w:themeColor="text1"/>
          <w:sz w:val="24"/>
          <w:szCs w:val="24"/>
        </w:rPr>
        <w:t xml:space="preserve"> On February 18 and March 1, 2011, the Division issued its Final Determinations, denying all payments for Mrs. Stevens' hip-related treatment based on the conclusion that “the right hip is not related to the original work injury to the left hand[.]</w:t>
      </w:r>
      <w:r w:rsidRPr="00910BB7">
        <w:rPr>
          <w:rFonts w:ascii="Times New Roman" w:hAnsi="Times New Roman" w:cs="Times New Roman"/>
          <w:sz w:val="24"/>
          <w:szCs w:val="24"/>
          <w:vertAlign w:val="superscript"/>
        </w:rPr>
        <w:footnoteReference w:id="672"/>
      </w:r>
    </w:p>
    <w:p w14:paraId="6D768A3E" w14:textId="77777777" w:rsidR="00FF7482" w:rsidRPr="006A1342" w:rsidRDefault="00FF7482" w:rsidP="00B970EA">
      <w:pPr>
        <w:spacing w:after="0"/>
      </w:pPr>
    </w:p>
    <w:p w14:paraId="0D8F5C79" w14:textId="05302C99" w:rsidR="00FF7482" w:rsidRDefault="00FF7482" w:rsidP="009A5529">
      <w:pPr>
        <w:pStyle w:val="ListParagraph"/>
        <w:spacing w:after="0"/>
        <w:ind w:left="0"/>
        <w:jc w:val="both"/>
        <w:rPr>
          <w:rFonts w:ascii="Times New Roman" w:hAnsi="Times New Roman" w:cs="Times New Roman"/>
          <w:sz w:val="24"/>
          <w:szCs w:val="24"/>
        </w:rPr>
      </w:pPr>
      <w:r w:rsidRPr="006D6EAF">
        <w:rPr>
          <w:rFonts w:ascii="Times New Roman" w:hAnsi="Times New Roman" w:cs="Times New Roman"/>
          <w:sz w:val="24"/>
          <w:szCs w:val="24"/>
        </w:rPr>
        <w:t>Ultimately</w:t>
      </w:r>
      <w:r>
        <w:rPr>
          <w:rFonts w:ascii="Times New Roman" w:hAnsi="Times New Roman" w:cs="Times New Roman"/>
          <w:sz w:val="24"/>
          <w:szCs w:val="24"/>
        </w:rPr>
        <w:t>, the case against Stevens was built on her failure to report hip pain at the time of her original injury and is, in many respects, a standard “substantial evidence” case.</w:t>
      </w:r>
      <w:r w:rsidRPr="00910BB7">
        <w:rPr>
          <w:rFonts w:ascii="Times New Roman" w:hAnsi="Times New Roman" w:cs="Times New Roman"/>
          <w:sz w:val="24"/>
          <w:szCs w:val="24"/>
          <w:vertAlign w:val="superscript"/>
        </w:rPr>
        <w:footnoteReference w:id="673"/>
      </w:r>
      <w:r>
        <w:rPr>
          <w:rFonts w:ascii="Times New Roman" w:hAnsi="Times New Roman" w:cs="Times New Roman"/>
          <w:sz w:val="24"/>
          <w:szCs w:val="24"/>
        </w:rPr>
        <w:t xml:space="preserve"> But for purposes of this section the case is significant for upholding the principle that,</w:t>
      </w:r>
    </w:p>
    <w:p w14:paraId="7F3B29F0" w14:textId="1BC4D054" w:rsidR="00FF7482" w:rsidRDefault="00FF7482" w:rsidP="006D6EAF">
      <w:pPr>
        <w:pStyle w:val="ListParagraph"/>
        <w:spacing w:after="0"/>
        <w:ind w:left="0" w:firstLine="720"/>
        <w:jc w:val="both"/>
        <w:rPr>
          <w:rFonts w:ascii="Times New Roman" w:hAnsi="Times New Roman" w:cs="Times New Roman"/>
          <w:sz w:val="24"/>
          <w:szCs w:val="24"/>
        </w:rPr>
      </w:pPr>
    </w:p>
    <w:p w14:paraId="6878EEF8" w14:textId="1BE628F6" w:rsidR="00FF7482" w:rsidRDefault="00FF7482" w:rsidP="007E0B22">
      <w:pPr>
        <w:pStyle w:val="ListParagraph"/>
        <w:spacing w:after="0"/>
        <w:ind w:right="720"/>
        <w:jc w:val="both"/>
        <w:rPr>
          <w:rFonts w:ascii="Times New Roman" w:hAnsi="Times New Roman" w:cs="Times New Roman"/>
          <w:sz w:val="24"/>
          <w:szCs w:val="24"/>
        </w:rPr>
      </w:pPr>
      <w:r w:rsidRPr="007D1B7F">
        <w:rPr>
          <w:rFonts w:ascii="Times New Roman" w:hAnsi="Times New Roman" w:cs="Times New Roman"/>
          <w:sz w:val="24"/>
          <w:szCs w:val="24"/>
        </w:rPr>
        <w:t>The finder of fact is not necessarily bound by the expert medical testimony.... It is the hearing examiner's responsibility, as the trier of fact, to determine the relevancy, assign probative value and ascribe the relevant weight given to medical testimony. The hearing examiner is also in the best position to judge the weight to be given to the medical evidence. The trier of fact may disregard an expert opinion if he finds the opinion unreasonable or not adequately supported by the facts upon which the opinion is based.</w:t>
      </w:r>
      <w:r w:rsidRPr="00910BB7">
        <w:rPr>
          <w:rFonts w:ascii="Times New Roman" w:hAnsi="Times New Roman" w:cs="Times New Roman"/>
          <w:sz w:val="24"/>
          <w:szCs w:val="24"/>
          <w:vertAlign w:val="superscript"/>
        </w:rPr>
        <w:footnoteReference w:id="674"/>
      </w:r>
    </w:p>
    <w:p w14:paraId="1621AE55" w14:textId="77777777" w:rsidR="007E0B22" w:rsidRDefault="007E0B22" w:rsidP="007E0B22">
      <w:pPr>
        <w:pStyle w:val="ListParagraph"/>
        <w:spacing w:after="0"/>
        <w:ind w:left="0"/>
        <w:jc w:val="both"/>
        <w:rPr>
          <w:rFonts w:ascii="Times New Roman" w:hAnsi="Times New Roman" w:cs="Times New Roman"/>
          <w:sz w:val="24"/>
          <w:szCs w:val="24"/>
        </w:rPr>
      </w:pPr>
    </w:p>
    <w:p w14:paraId="7C4AB1D7" w14:textId="73498AF4" w:rsidR="00FF7482" w:rsidRDefault="00FF7482" w:rsidP="007E0B2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fact finder below, responding to the claimant’s argument, explicitly distinguished the case from the prior Wyoming Supreme Court opinion in </w:t>
      </w:r>
      <w:r w:rsidRPr="00C020EF">
        <w:rPr>
          <w:rFonts w:ascii="Times New Roman" w:hAnsi="Times New Roman" w:cs="Times New Roman"/>
          <w:i/>
          <w:iCs/>
          <w:sz w:val="24"/>
          <w:szCs w:val="24"/>
        </w:rPr>
        <w:t>Murray v. Workers' Compensation Div</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75"/>
      </w:r>
      <w:r>
        <w:rPr>
          <w:rFonts w:ascii="Times New Roman" w:hAnsi="Times New Roman" w:cs="Times New Roman"/>
          <w:sz w:val="24"/>
          <w:szCs w:val="24"/>
        </w:rPr>
        <w:t xml:space="preserve"> In </w:t>
      </w:r>
      <w:r w:rsidRPr="00C020EF">
        <w:rPr>
          <w:rFonts w:ascii="Times New Roman" w:hAnsi="Times New Roman" w:cs="Times New Roman"/>
          <w:i/>
          <w:iCs/>
          <w:sz w:val="24"/>
          <w:szCs w:val="24"/>
        </w:rPr>
        <w:t>Murray</w:t>
      </w:r>
      <w:r>
        <w:rPr>
          <w:rFonts w:ascii="Times New Roman" w:hAnsi="Times New Roman" w:cs="Times New Roman"/>
          <w:sz w:val="24"/>
          <w:szCs w:val="24"/>
        </w:rPr>
        <w:t>, a plant operator at the Chevron, Inc., Carter Gas Plant developed an outbreak of severe hives soon after drawing “a routine sample of raw gas.”</w:t>
      </w:r>
      <w:r w:rsidRPr="00910BB7">
        <w:rPr>
          <w:rFonts w:ascii="Times New Roman" w:hAnsi="Times New Roman" w:cs="Times New Roman"/>
          <w:sz w:val="24"/>
          <w:szCs w:val="24"/>
          <w:vertAlign w:val="superscript"/>
        </w:rPr>
        <w:footnoteReference w:id="676"/>
      </w:r>
      <w:r>
        <w:rPr>
          <w:rFonts w:ascii="Times New Roman" w:hAnsi="Times New Roman" w:cs="Times New Roman"/>
          <w:sz w:val="24"/>
          <w:szCs w:val="24"/>
        </w:rPr>
        <w:t xml:space="preserve"> The administrative fact finder concluded “</w:t>
      </w:r>
      <w:r w:rsidRPr="001A58CC">
        <w:rPr>
          <w:rFonts w:ascii="Times New Roman" w:hAnsi="Times New Roman" w:cs="Times New Roman"/>
          <w:sz w:val="24"/>
          <w:szCs w:val="24"/>
        </w:rPr>
        <w:t>that Murray is distinguishable in that the injury in the Murray case occurred within 15 or 20 minutes of the work</w:t>
      </w:r>
      <w:r w:rsidR="00925BE4">
        <w:rPr>
          <w:rFonts w:ascii="Times New Roman" w:hAnsi="Times New Roman" w:cs="Times New Roman"/>
          <w:sz w:val="24"/>
          <w:szCs w:val="24"/>
        </w:rPr>
        <w:t xml:space="preserve"> </w:t>
      </w:r>
      <w:r w:rsidRPr="001A58CC">
        <w:rPr>
          <w:rFonts w:ascii="Times New Roman" w:hAnsi="Times New Roman" w:cs="Times New Roman"/>
          <w:sz w:val="24"/>
          <w:szCs w:val="24"/>
        </w:rPr>
        <w:t>related incident. The onset of Stevens[</w:t>
      </w:r>
      <w:r>
        <w:rPr>
          <w:rFonts w:ascii="Times New Roman" w:hAnsi="Times New Roman" w:cs="Times New Roman"/>
          <w:sz w:val="24"/>
          <w:szCs w:val="24"/>
        </w:rPr>
        <w:t>'</w:t>
      </w:r>
      <w:r w:rsidRPr="001A58CC">
        <w:rPr>
          <w:rFonts w:ascii="Times New Roman" w:hAnsi="Times New Roman" w:cs="Times New Roman"/>
          <w:sz w:val="24"/>
          <w:szCs w:val="24"/>
        </w:rPr>
        <w:t>] hip injury, and specifically her AVN is not so clear cut.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77"/>
      </w:r>
      <w:r>
        <w:rPr>
          <w:rFonts w:ascii="Times New Roman" w:hAnsi="Times New Roman" w:cs="Times New Roman"/>
          <w:sz w:val="24"/>
          <w:szCs w:val="24"/>
        </w:rPr>
        <w:t xml:space="preserve"> The fact finder thought the case closer </w:t>
      </w:r>
      <w:r>
        <w:rPr>
          <w:rFonts w:ascii="Times New Roman" w:hAnsi="Times New Roman" w:cs="Times New Roman"/>
          <w:sz w:val="24"/>
          <w:szCs w:val="24"/>
        </w:rPr>
        <w:lastRenderedPageBreak/>
        <w:t>to the Supreme Court’s opinion in</w:t>
      </w:r>
      <w:r w:rsidRPr="001A58CC">
        <w:rPr>
          <w:rFonts w:ascii="Times New Roman" w:hAnsi="Times New Roman" w:cs="Times New Roman"/>
          <w:sz w:val="24"/>
          <w:szCs w:val="24"/>
        </w:rPr>
        <w:t xml:space="preserve"> </w:t>
      </w:r>
      <w:r w:rsidRPr="00396AE6">
        <w:rPr>
          <w:rFonts w:ascii="Times New Roman" w:hAnsi="Times New Roman" w:cs="Times New Roman"/>
          <w:i/>
          <w:iCs/>
          <w:sz w:val="24"/>
          <w:szCs w:val="24"/>
        </w:rPr>
        <w:t>Langberg v. Workers' Compensation Div</w:t>
      </w:r>
      <w:r>
        <w:rPr>
          <w:rFonts w:ascii="Times New Roman" w:hAnsi="Times New Roman" w:cs="Times New Roman"/>
          <w:i/>
          <w:iCs/>
          <w:sz w:val="24"/>
          <w:szCs w:val="24"/>
        </w:rPr>
        <w:t>.</w:t>
      </w:r>
      <w:r w:rsidRPr="001A58CC">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78"/>
      </w:r>
      <w:r>
        <w:rPr>
          <w:rFonts w:ascii="Times New Roman" w:hAnsi="Times New Roman" w:cs="Times New Roman"/>
          <w:sz w:val="24"/>
          <w:szCs w:val="24"/>
        </w:rPr>
        <w:t xml:space="preserve"> where a work-related injury was found to have </w:t>
      </w:r>
      <w:r w:rsidRPr="00713961">
        <w:rPr>
          <w:rFonts w:ascii="Times New Roman" w:hAnsi="Times New Roman" w:cs="Times New Roman"/>
          <w:i/>
          <w:iCs/>
          <w:sz w:val="24"/>
          <w:szCs w:val="24"/>
        </w:rPr>
        <w:t>materially aggravated</w:t>
      </w:r>
      <w:r>
        <w:rPr>
          <w:rFonts w:ascii="Times New Roman" w:hAnsi="Times New Roman" w:cs="Times New Roman"/>
          <w:sz w:val="24"/>
          <w:szCs w:val="24"/>
        </w:rPr>
        <w:t xml:space="preserve"> a preexisting bone disease in a manner resulting in a compensable disability.</w:t>
      </w:r>
      <w:r w:rsidRPr="00910BB7">
        <w:rPr>
          <w:rFonts w:ascii="Times New Roman" w:hAnsi="Times New Roman" w:cs="Times New Roman"/>
          <w:sz w:val="24"/>
          <w:szCs w:val="24"/>
          <w:vertAlign w:val="superscript"/>
        </w:rPr>
        <w:footnoteReference w:id="679"/>
      </w:r>
      <w:r w:rsidRPr="001A58CC">
        <w:rPr>
          <w:rFonts w:ascii="Times New Roman" w:hAnsi="Times New Roman" w:cs="Times New Roman"/>
          <w:sz w:val="24"/>
          <w:szCs w:val="24"/>
        </w:rPr>
        <w:t xml:space="preserve"> </w:t>
      </w:r>
      <w:r>
        <w:rPr>
          <w:rFonts w:ascii="Times New Roman" w:hAnsi="Times New Roman" w:cs="Times New Roman"/>
          <w:sz w:val="24"/>
          <w:szCs w:val="24"/>
        </w:rPr>
        <w:t>Despite the ultimate finding of disability, the Court upheld the administrative determination that the bone disease, in itself, was not compensable.</w:t>
      </w:r>
      <w:r w:rsidRPr="00910BB7">
        <w:rPr>
          <w:rFonts w:ascii="Times New Roman" w:hAnsi="Times New Roman" w:cs="Times New Roman"/>
          <w:sz w:val="24"/>
          <w:szCs w:val="24"/>
          <w:vertAlign w:val="superscript"/>
        </w:rPr>
        <w:footnoteReference w:id="680"/>
      </w:r>
      <w:r>
        <w:rPr>
          <w:rFonts w:ascii="Times New Roman" w:hAnsi="Times New Roman" w:cs="Times New Roman"/>
          <w:sz w:val="24"/>
          <w:szCs w:val="24"/>
        </w:rPr>
        <w:t xml:space="preserve"> The Court found </w:t>
      </w:r>
      <w:r w:rsidRPr="00713961">
        <w:rPr>
          <w:rFonts w:ascii="Times New Roman" w:hAnsi="Times New Roman" w:cs="Times New Roman"/>
          <w:i/>
          <w:iCs/>
          <w:sz w:val="24"/>
          <w:szCs w:val="24"/>
        </w:rPr>
        <w:t>Stevens</w:t>
      </w:r>
      <w:r>
        <w:rPr>
          <w:rFonts w:ascii="Times New Roman" w:hAnsi="Times New Roman" w:cs="Times New Roman"/>
          <w:sz w:val="24"/>
          <w:szCs w:val="24"/>
        </w:rPr>
        <w:t xml:space="preserve"> more complex than </w:t>
      </w:r>
      <w:r w:rsidRPr="00713961">
        <w:rPr>
          <w:rFonts w:ascii="Times New Roman" w:hAnsi="Times New Roman" w:cs="Times New Roman"/>
          <w:i/>
          <w:iCs/>
          <w:sz w:val="24"/>
          <w:szCs w:val="24"/>
        </w:rPr>
        <w:t>Murray</w:t>
      </w:r>
      <w:r>
        <w:rPr>
          <w:rFonts w:ascii="Times New Roman" w:hAnsi="Times New Roman" w:cs="Times New Roman"/>
          <w:sz w:val="24"/>
          <w:szCs w:val="24"/>
        </w:rPr>
        <w:t xml:space="preserve">; in </w:t>
      </w:r>
      <w:r w:rsidRPr="00713961">
        <w:rPr>
          <w:rFonts w:ascii="Times New Roman" w:hAnsi="Times New Roman" w:cs="Times New Roman"/>
          <w:i/>
          <w:iCs/>
          <w:sz w:val="24"/>
          <w:szCs w:val="24"/>
        </w:rPr>
        <w:t>Stevens</w:t>
      </w:r>
      <w:r>
        <w:rPr>
          <w:rFonts w:ascii="Times New Roman" w:hAnsi="Times New Roman" w:cs="Times New Roman"/>
          <w:sz w:val="24"/>
          <w:szCs w:val="24"/>
        </w:rPr>
        <w:t xml:space="preserve">, </w:t>
      </w:r>
    </w:p>
    <w:p w14:paraId="7B8C94FE" w14:textId="77777777" w:rsidR="00FF7482" w:rsidRDefault="00FF7482" w:rsidP="00C020EF">
      <w:pPr>
        <w:pStyle w:val="ListParagraph"/>
        <w:spacing w:after="0"/>
        <w:ind w:left="0" w:firstLine="720"/>
        <w:jc w:val="both"/>
        <w:rPr>
          <w:rFonts w:ascii="Times New Roman" w:hAnsi="Times New Roman" w:cs="Times New Roman"/>
          <w:sz w:val="24"/>
          <w:szCs w:val="24"/>
        </w:rPr>
      </w:pPr>
    </w:p>
    <w:p w14:paraId="154289B4" w14:textId="709F83C2" w:rsidR="00FF7482" w:rsidRDefault="00FF7482" w:rsidP="00713961">
      <w:pPr>
        <w:pStyle w:val="ListParagraph"/>
        <w:spacing w:after="0"/>
        <w:ind w:right="720"/>
        <w:jc w:val="both"/>
        <w:rPr>
          <w:rFonts w:ascii="Times New Roman" w:hAnsi="Times New Roman" w:cs="Times New Roman"/>
          <w:sz w:val="24"/>
          <w:szCs w:val="24"/>
        </w:rPr>
      </w:pPr>
      <w:r w:rsidRPr="00713961">
        <w:rPr>
          <w:rFonts w:ascii="Times New Roman" w:hAnsi="Times New Roman" w:cs="Times New Roman"/>
          <w:sz w:val="24"/>
          <w:szCs w:val="24"/>
        </w:rPr>
        <w:t>The two experts disagreed regarding the cause of Mrs. Stevens' AVN. Mrs. Stevens made no documented report of her hip problems for over a month after her fall, and did not seek treatment for more than two months after the fall. While her co-workers testified that Mrs. Stevens immediately indicated pain in her hip following the injury, this testimony conflicted with the absence of documentation of any hip pain. Thus, the hearing examiner gave little weight to their testimony regarding the immediate onset of hip pain following Mrs. Stevens' fall.</w:t>
      </w:r>
      <w:r>
        <w:rPr>
          <w:rFonts w:ascii="Times New Roman" w:hAnsi="Times New Roman" w:cs="Times New Roman"/>
          <w:sz w:val="24"/>
          <w:szCs w:val="24"/>
        </w:rPr>
        <w:t xml:space="preserve"> </w:t>
      </w:r>
      <w:r w:rsidRPr="00713961">
        <w:rPr>
          <w:rFonts w:ascii="Times New Roman" w:hAnsi="Times New Roman" w:cs="Times New Roman"/>
          <w:sz w:val="24"/>
          <w:szCs w:val="24"/>
        </w:rPr>
        <w:t>“‘Credibility determinations are the unique province of the hearing examiner, and we eschew re-weighing those conclusions.’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81"/>
      </w:r>
      <w:r w:rsidRPr="00713961">
        <w:rPr>
          <w:rFonts w:ascii="Times New Roman" w:hAnsi="Times New Roman" w:cs="Times New Roman"/>
          <w:sz w:val="24"/>
          <w:szCs w:val="24"/>
        </w:rPr>
        <w:t xml:space="preserve">  </w:t>
      </w:r>
    </w:p>
    <w:p w14:paraId="7A12E03E" w14:textId="77777777" w:rsidR="00CA6167" w:rsidRDefault="00CA6167" w:rsidP="00CA6167">
      <w:pPr>
        <w:pStyle w:val="ListParagraph"/>
        <w:spacing w:after="0"/>
        <w:ind w:left="0"/>
        <w:jc w:val="both"/>
        <w:rPr>
          <w:rFonts w:ascii="Times New Roman" w:hAnsi="Times New Roman" w:cs="Times New Roman"/>
          <w:sz w:val="24"/>
          <w:szCs w:val="24"/>
        </w:rPr>
      </w:pPr>
    </w:p>
    <w:p w14:paraId="467DD63D" w14:textId="1C246F93" w:rsidR="00FF7482" w:rsidRDefault="00FF7482" w:rsidP="00CA6167">
      <w:pPr>
        <w:pStyle w:val="ListParagraph"/>
        <w:spacing w:after="0"/>
        <w:ind w:left="0"/>
        <w:jc w:val="both"/>
        <w:rPr>
          <w:rFonts w:ascii="Times New Roman" w:hAnsi="Times New Roman" w:cs="Times New Roman"/>
          <w:sz w:val="24"/>
          <w:szCs w:val="24"/>
        </w:rPr>
      </w:pPr>
      <w:r w:rsidRPr="00816E4A">
        <w:rPr>
          <w:rFonts w:ascii="Times New Roman" w:hAnsi="Times New Roman" w:cs="Times New Roman"/>
          <w:b/>
          <w:bCs/>
          <w:sz w:val="24"/>
          <w:szCs w:val="24"/>
          <w:u w:val="single"/>
        </w:rPr>
        <w:t>The takeaway from the discussion seems to be that medical evidence (which a hearing officer is generally free to accept or reject) will more likely be required where the etiology of a condition is complex and where there has been substantial passage of time between an arguably work-related injury and the onset of disabling symptoms</w:t>
      </w:r>
      <w:r>
        <w:rPr>
          <w:rFonts w:ascii="Times New Roman" w:hAnsi="Times New Roman" w:cs="Times New Roman"/>
          <w:sz w:val="24"/>
          <w:szCs w:val="24"/>
        </w:rPr>
        <w:t xml:space="preserve">. Put differently, </w:t>
      </w:r>
      <w:r w:rsidRPr="002C72F7">
        <w:rPr>
          <w:rFonts w:ascii="Times New Roman" w:hAnsi="Times New Roman" w:cs="Times New Roman"/>
          <w:sz w:val="24"/>
          <w:szCs w:val="24"/>
        </w:rPr>
        <w:t>when a single incident is alleged to have caused an injury, medical testimony may not be required to establish causation.</w:t>
      </w:r>
      <w:r w:rsidRPr="00910BB7">
        <w:rPr>
          <w:rFonts w:ascii="Times New Roman" w:hAnsi="Times New Roman" w:cs="Times New Roman"/>
          <w:sz w:val="24"/>
          <w:szCs w:val="24"/>
          <w:vertAlign w:val="superscript"/>
        </w:rPr>
        <w:footnoteReference w:id="682"/>
      </w:r>
      <w:r>
        <w:rPr>
          <w:rFonts w:ascii="Times New Roman" w:hAnsi="Times New Roman" w:cs="Times New Roman"/>
          <w:sz w:val="24"/>
          <w:szCs w:val="24"/>
        </w:rPr>
        <w:t xml:space="preserve"> Again, this seems consistent with the </w:t>
      </w:r>
      <w:r w:rsidRPr="00746B73">
        <w:rPr>
          <w:rFonts w:ascii="Times New Roman" w:hAnsi="Times New Roman" w:cs="Times New Roman"/>
          <w:i/>
          <w:iCs/>
          <w:sz w:val="24"/>
          <w:szCs w:val="24"/>
        </w:rPr>
        <w:t>Larson</w:t>
      </w:r>
      <w:r w:rsidRPr="00F53060">
        <w:rPr>
          <w:rFonts w:ascii="Times New Roman" w:hAnsi="Times New Roman" w:cs="Times New Roman"/>
          <w:sz w:val="24"/>
          <w:szCs w:val="24"/>
        </w:rPr>
        <w:t xml:space="preserve">’s </w:t>
      </w:r>
      <w:r>
        <w:rPr>
          <w:rFonts w:ascii="Times New Roman" w:hAnsi="Times New Roman" w:cs="Times New Roman"/>
          <w:sz w:val="24"/>
          <w:szCs w:val="24"/>
        </w:rPr>
        <w:t>treatise: “</w:t>
      </w:r>
      <w:r w:rsidRPr="00746B73">
        <w:rPr>
          <w:rFonts w:ascii="Times New Roman" w:hAnsi="Times New Roman" w:cs="Times New Roman"/>
          <w:sz w:val="24"/>
          <w:szCs w:val="24"/>
        </w:rPr>
        <w:t>When the injury is not caused by a sudden and unexpected event, however, such as the onset of carpal tunnel syndrome, lay testimony alone will generally not be sufficient to support an award of compensation benefits.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83"/>
      </w:r>
    </w:p>
    <w:p w14:paraId="0B558334" w14:textId="6A970AE0" w:rsidR="00FF7482" w:rsidRDefault="00FF7482" w:rsidP="00713961">
      <w:pPr>
        <w:pStyle w:val="ListParagraph"/>
        <w:spacing w:after="0"/>
        <w:ind w:left="0" w:firstLine="720"/>
        <w:jc w:val="both"/>
        <w:rPr>
          <w:rFonts w:ascii="Times New Roman" w:hAnsi="Times New Roman" w:cs="Times New Roman"/>
          <w:sz w:val="24"/>
          <w:szCs w:val="24"/>
        </w:rPr>
      </w:pPr>
    </w:p>
    <w:p w14:paraId="0C923A0F" w14:textId="00DE5B98" w:rsidR="00FF7482" w:rsidRDefault="00FF7482" w:rsidP="00CA718A">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According to recently reaffirmed Wyoming Supreme Court jurisprudence, a</w:t>
      </w:r>
      <w:r w:rsidRPr="00B970EA">
        <w:rPr>
          <w:rFonts w:ascii="Times New Roman" w:hAnsi="Times New Roman" w:cs="Times New Roman"/>
          <w:sz w:val="24"/>
          <w:szCs w:val="24"/>
        </w:rPr>
        <w:t>n employee’s burden of proof</w:t>
      </w:r>
      <w:r>
        <w:rPr>
          <w:rFonts w:ascii="Times New Roman" w:hAnsi="Times New Roman" w:cs="Times New Roman"/>
          <w:sz w:val="24"/>
          <w:szCs w:val="24"/>
        </w:rPr>
        <w:t xml:space="preserve"> in a workers’ compensation case</w:t>
      </w:r>
      <w:r w:rsidRPr="00B970EA">
        <w:rPr>
          <w:rFonts w:ascii="Times New Roman" w:hAnsi="Times New Roman" w:cs="Times New Roman"/>
          <w:sz w:val="24"/>
          <w:szCs w:val="24"/>
        </w:rPr>
        <w:t xml:space="preserve"> consists of two components: </w:t>
      </w:r>
      <w:r w:rsidRPr="00B970EA">
        <w:rPr>
          <w:rFonts w:ascii="Times New Roman" w:hAnsi="Times New Roman" w:cs="Times New Roman"/>
          <w:b/>
          <w:bCs/>
          <w:sz w:val="24"/>
          <w:szCs w:val="24"/>
        </w:rPr>
        <w:t>the burden of production and the burden of persuasion</w:t>
      </w:r>
      <w:r w:rsidRPr="00B970EA">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84"/>
      </w:r>
      <w:r>
        <w:rPr>
          <w:rFonts w:ascii="Times New Roman" w:hAnsi="Times New Roman" w:cs="Times New Roman"/>
          <w:sz w:val="24"/>
          <w:szCs w:val="24"/>
        </w:rPr>
        <w:t xml:space="preserve"> </w:t>
      </w:r>
      <w:r w:rsidRPr="00B970EA">
        <w:rPr>
          <w:rFonts w:ascii="Times New Roman" w:hAnsi="Times New Roman" w:cs="Times New Roman"/>
          <w:sz w:val="24"/>
          <w:szCs w:val="24"/>
        </w:rPr>
        <w:t xml:space="preserve">The burden of production “involves the obligation of a party to present, at the </w:t>
      </w:r>
      <w:r w:rsidRPr="00B970EA">
        <w:rPr>
          <w:rFonts w:ascii="Times New Roman" w:hAnsi="Times New Roman" w:cs="Times New Roman"/>
          <w:sz w:val="24"/>
          <w:szCs w:val="24"/>
        </w:rPr>
        <w:lastRenderedPageBreak/>
        <w:t>appropriate time, evidence of sufficient substance on the issue involved to permit the fact finder to act upon it.”</w:t>
      </w:r>
      <w:r w:rsidRPr="00910BB7">
        <w:rPr>
          <w:rFonts w:ascii="Times New Roman" w:hAnsi="Times New Roman" w:cs="Times New Roman"/>
          <w:sz w:val="24"/>
          <w:szCs w:val="24"/>
          <w:vertAlign w:val="superscript"/>
        </w:rPr>
        <w:footnoteReference w:id="685"/>
      </w:r>
      <w:r>
        <w:rPr>
          <w:rFonts w:ascii="Times New Roman" w:hAnsi="Times New Roman" w:cs="Times New Roman"/>
          <w:sz w:val="24"/>
          <w:szCs w:val="24"/>
        </w:rPr>
        <w:t xml:space="preserve"> </w:t>
      </w:r>
      <w:r w:rsidRPr="00B970EA">
        <w:rPr>
          <w:rFonts w:ascii="Times New Roman" w:hAnsi="Times New Roman" w:cs="Times New Roman"/>
          <w:sz w:val="24"/>
          <w:szCs w:val="24"/>
        </w:rPr>
        <w:t>In turn, the burden of persuasion is “the burden of persuading the trier of fact that the alleged fact is true.”</w:t>
      </w:r>
      <w:r w:rsidRPr="00910BB7">
        <w:rPr>
          <w:rFonts w:ascii="Times New Roman" w:hAnsi="Times New Roman" w:cs="Times New Roman"/>
          <w:sz w:val="24"/>
          <w:szCs w:val="24"/>
          <w:vertAlign w:val="superscript"/>
        </w:rPr>
        <w:footnoteReference w:id="686"/>
      </w:r>
      <w:r w:rsidRPr="00B970EA">
        <w:rPr>
          <w:rFonts w:ascii="Times New Roman" w:hAnsi="Times New Roman" w:cs="Times New Roman"/>
          <w:sz w:val="24"/>
          <w:szCs w:val="24"/>
        </w:rPr>
        <w:t xml:space="preserve"> </w:t>
      </w:r>
      <w:r>
        <w:rPr>
          <w:rFonts w:ascii="Times New Roman" w:hAnsi="Times New Roman" w:cs="Times New Roman"/>
          <w:sz w:val="24"/>
          <w:szCs w:val="24"/>
        </w:rPr>
        <w:t xml:space="preserve">In simplified terms, where a claimant is required to </w:t>
      </w:r>
      <w:r w:rsidRPr="00965D22">
        <w:rPr>
          <w:rFonts w:ascii="Times New Roman" w:hAnsi="Times New Roman" w:cs="Times New Roman"/>
          <w:b/>
          <w:bCs/>
          <w:i/>
          <w:iCs/>
          <w:sz w:val="24"/>
          <w:szCs w:val="24"/>
        </w:rPr>
        <w:t>produce</w:t>
      </w:r>
      <w:r>
        <w:rPr>
          <w:rFonts w:ascii="Times New Roman" w:hAnsi="Times New Roman" w:cs="Times New Roman"/>
          <w:sz w:val="24"/>
          <w:szCs w:val="24"/>
        </w:rPr>
        <w:t xml:space="preserve"> medical evidence she must produce it or suffer likely dismissal of the claim. But </w:t>
      </w:r>
      <w:r w:rsidRPr="00965D22">
        <w:rPr>
          <w:rFonts w:ascii="Times New Roman" w:hAnsi="Times New Roman" w:cs="Times New Roman"/>
          <w:b/>
          <w:bCs/>
          <w:sz w:val="24"/>
          <w:szCs w:val="24"/>
        </w:rPr>
        <w:t>mere production of evidence does not guarantee persuasion</w:t>
      </w:r>
      <w:r>
        <w:rPr>
          <w:rFonts w:ascii="Times New Roman" w:hAnsi="Times New Roman" w:cs="Times New Roman"/>
          <w:sz w:val="24"/>
          <w:szCs w:val="24"/>
        </w:rPr>
        <w:t xml:space="preserve"> of the </w:t>
      </w:r>
      <w:r w:rsidRPr="00965D22">
        <w:rPr>
          <w:rFonts w:ascii="Times New Roman" w:hAnsi="Times New Roman" w:cs="Times New Roman"/>
          <w:b/>
          <w:bCs/>
          <w:sz w:val="24"/>
          <w:szCs w:val="24"/>
        </w:rPr>
        <w:t>fact finder</w:t>
      </w:r>
      <w:r>
        <w:rPr>
          <w:rFonts w:ascii="Times New Roman" w:hAnsi="Times New Roman" w:cs="Times New Roman"/>
          <w:sz w:val="24"/>
          <w:szCs w:val="24"/>
        </w:rPr>
        <w:t xml:space="preserve"> who, as will also be discussed in the next section on conflicting evidence, </w:t>
      </w:r>
      <w:r w:rsidRPr="00965D22">
        <w:rPr>
          <w:rFonts w:ascii="Times New Roman" w:hAnsi="Times New Roman" w:cs="Times New Roman"/>
          <w:b/>
          <w:bCs/>
          <w:sz w:val="24"/>
          <w:szCs w:val="24"/>
        </w:rPr>
        <w:t xml:space="preserve">has wide latitude to </w:t>
      </w:r>
      <w:r>
        <w:rPr>
          <w:rFonts w:ascii="Times New Roman" w:hAnsi="Times New Roman" w:cs="Times New Roman"/>
          <w:b/>
          <w:bCs/>
          <w:sz w:val="24"/>
          <w:szCs w:val="24"/>
        </w:rPr>
        <w:t>credit</w:t>
      </w:r>
      <w:r w:rsidRPr="00965D22">
        <w:rPr>
          <w:rFonts w:ascii="Times New Roman" w:hAnsi="Times New Roman" w:cs="Times New Roman"/>
          <w:b/>
          <w:bCs/>
          <w:sz w:val="24"/>
          <w:szCs w:val="24"/>
        </w:rPr>
        <w:t xml:space="preserve"> or </w:t>
      </w:r>
      <w:r>
        <w:rPr>
          <w:rFonts w:ascii="Times New Roman" w:hAnsi="Times New Roman" w:cs="Times New Roman"/>
          <w:b/>
          <w:bCs/>
          <w:sz w:val="24"/>
          <w:szCs w:val="24"/>
        </w:rPr>
        <w:t>discredit</w:t>
      </w:r>
      <w:r w:rsidRPr="00965D22">
        <w:rPr>
          <w:rFonts w:ascii="Times New Roman" w:hAnsi="Times New Roman" w:cs="Times New Roman"/>
          <w:b/>
          <w:bCs/>
          <w:sz w:val="24"/>
          <w:szCs w:val="24"/>
        </w:rPr>
        <w:t xml:space="preserve"> medical evidence</w:t>
      </w:r>
      <w:r>
        <w:rPr>
          <w:rFonts w:ascii="Times New Roman" w:hAnsi="Times New Roman" w:cs="Times New Roman"/>
          <w:sz w:val="24"/>
          <w:szCs w:val="24"/>
        </w:rPr>
        <w:t xml:space="preserve">. The </w:t>
      </w:r>
      <w:r w:rsidRPr="00746B73">
        <w:rPr>
          <w:rFonts w:ascii="Times New Roman" w:hAnsi="Times New Roman" w:cs="Times New Roman"/>
          <w:i/>
          <w:iCs/>
          <w:sz w:val="24"/>
          <w:szCs w:val="24"/>
        </w:rPr>
        <w:t>Larson’s</w:t>
      </w:r>
      <w:r>
        <w:rPr>
          <w:rFonts w:ascii="Times New Roman" w:hAnsi="Times New Roman" w:cs="Times New Roman"/>
          <w:sz w:val="24"/>
          <w:szCs w:val="24"/>
        </w:rPr>
        <w:t xml:space="preserve"> treatise points out that many cases across the country have upheld administrative awards that expressly </w:t>
      </w:r>
      <w:r w:rsidRPr="007614F2">
        <w:rPr>
          <w:rFonts w:ascii="Times New Roman" w:hAnsi="Times New Roman" w:cs="Times New Roman"/>
          <w:i/>
          <w:iCs/>
          <w:sz w:val="24"/>
          <w:szCs w:val="24"/>
        </w:rPr>
        <w:t>contradicted</w:t>
      </w:r>
      <w:r>
        <w:rPr>
          <w:rFonts w:ascii="Times New Roman" w:hAnsi="Times New Roman" w:cs="Times New Roman"/>
          <w:sz w:val="24"/>
          <w:szCs w:val="24"/>
        </w:rPr>
        <w:t xml:space="preserve"> record medical evidence.</w:t>
      </w:r>
      <w:r w:rsidRPr="00910BB7">
        <w:rPr>
          <w:rFonts w:ascii="Times New Roman" w:hAnsi="Times New Roman" w:cs="Times New Roman"/>
          <w:sz w:val="24"/>
          <w:szCs w:val="24"/>
          <w:vertAlign w:val="superscript"/>
        </w:rPr>
        <w:footnoteReference w:id="687"/>
      </w:r>
      <w:r>
        <w:rPr>
          <w:rFonts w:ascii="Times New Roman" w:hAnsi="Times New Roman" w:cs="Times New Roman"/>
          <w:sz w:val="24"/>
          <w:szCs w:val="24"/>
        </w:rPr>
        <w:t xml:space="preserve"> </w:t>
      </w:r>
    </w:p>
    <w:p w14:paraId="406572B1" w14:textId="77777777" w:rsidR="00FF7482" w:rsidRDefault="00FF7482" w:rsidP="00B970EA">
      <w:pPr>
        <w:pStyle w:val="ListParagraph"/>
        <w:spacing w:after="0"/>
        <w:ind w:left="0" w:firstLine="720"/>
        <w:jc w:val="both"/>
        <w:rPr>
          <w:rFonts w:ascii="Times New Roman" w:hAnsi="Times New Roman" w:cs="Times New Roman"/>
          <w:sz w:val="24"/>
          <w:szCs w:val="24"/>
        </w:rPr>
      </w:pPr>
    </w:p>
    <w:p w14:paraId="3F891AED" w14:textId="456DC29A" w:rsidR="00FF7482" w:rsidRDefault="00FF7482" w:rsidP="00335671">
      <w:pPr>
        <w:pStyle w:val="ListParagraph"/>
        <w:spacing w:after="0"/>
        <w:ind w:left="0"/>
        <w:jc w:val="both"/>
        <w:rPr>
          <w:rFonts w:ascii="Times New Roman" w:hAnsi="Times New Roman" w:cs="Times New Roman"/>
          <w:sz w:val="24"/>
          <w:szCs w:val="24"/>
        </w:rPr>
      </w:pPr>
      <w:r w:rsidRPr="00C949EF">
        <w:rPr>
          <w:rFonts w:ascii="Times New Roman" w:hAnsi="Times New Roman" w:cs="Times New Roman"/>
          <w:b/>
          <w:bCs/>
          <w:sz w:val="24"/>
          <w:szCs w:val="24"/>
        </w:rPr>
        <w:t>However, in Wyoming, as in other states, rejection of medical testimony is bounded by a form of judicial review of administrative action requiring some articulation of rationality</w:t>
      </w:r>
      <w:r>
        <w:rPr>
          <w:rFonts w:ascii="Times New Roman" w:hAnsi="Times New Roman" w:cs="Times New Roman"/>
          <w:sz w:val="24"/>
          <w:szCs w:val="24"/>
        </w:rPr>
        <w:t xml:space="preserve">, a topic that will be taken up later in the chapter. In </w:t>
      </w:r>
      <w:r w:rsidRPr="002C72F7">
        <w:rPr>
          <w:rFonts w:ascii="Times New Roman" w:hAnsi="Times New Roman" w:cs="Times New Roman"/>
          <w:i/>
          <w:iCs/>
          <w:sz w:val="24"/>
          <w:szCs w:val="24"/>
        </w:rPr>
        <w:t>In re Vandre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88"/>
      </w:r>
      <w:r>
        <w:rPr>
          <w:rFonts w:ascii="Times New Roman" w:hAnsi="Times New Roman" w:cs="Times New Roman"/>
          <w:sz w:val="24"/>
          <w:szCs w:val="24"/>
        </w:rPr>
        <w:t xml:space="preserve"> for example, the Wyoming Supreme Court reversed the decision of the administrative fact finder rejecting the medical opinion of the claimant’s expert that a work accident exacerbated an underlying chronic obstructive pulmonary disease.</w:t>
      </w:r>
      <w:r w:rsidRPr="00910BB7">
        <w:rPr>
          <w:rFonts w:ascii="Times New Roman" w:hAnsi="Times New Roman" w:cs="Times New Roman"/>
          <w:sz w:val="24"/>
          <w:szCs w:val="24"/>
          <w:vertAlign w:val="superscript"/>
        </w:rPr>
        <w:footnoteReference w:id="689"/>
      </w:r>
      <w:r>
        <w:rPr>
          <w:rFonts w:ascii="Times New Roman" w:hAnsi="Times New Roman" w:cs="Times New Roman"/>
          <w:sz w:val="24"/>
          <w:szCs w:val="24"/>
        </w:rPr>
        <w:t xml:space="preserve"> The Court found that, contrary to what the hearing examiner contended, the expert had explained the basis for his opinion (both in writing and in testimony);</w:t>
      </w:r>
      <w:r w:rsidRPr="00910BB7">
        <w:rPr>
          <w:rFonts w:ascii="Times New Roman" w:hAnsi="Times New Roman" w:cs="Times New Roman"/>
          <w:sz w:val="24"/>
          <w:szCs w:val="24"/>
          <w:vertAlign w:val="superscript"/>
        </w:rPr>
        <w:footnoteReference w:id="690"/>
      </w:r>
      <w:r>
        <w:rPr>
          <w:rFonts w:ascii="Times New Roman" w:hAnsi="Times New Roman" w:cs="Times New Roman"/>
          <w:sz w:val="24"/>
          <w:szCs w:val="24"/>
        </w:rPr>
        <w:t xml:space="preserve"> had not simply been acting as the claimant’s “advocate,” restating Wyoming law holding that </w:t>
      </w:r>
      <w:r w:rsidRPr="00102FEF">
        <w:rPr>
          <w:rFonts w:ascii="Times New Roman" w:hAnsi="Times New Roman" w:cs="Times New Roman"/>
          <w:sz w:val="24"/>
          <w:szCs w:val="24"/>
        </w:rPr>
        <w:t>the criticism that a treating physician is acting as an advocate for his patient “could be said of any treating physician and, consequently, does not justify a wholesale disregard of her testimony</w:t>
      </w:r>
      <w:r>
        <w:rPr>
          <w:rFonts w:ascii="Times New Roman" w:hAnsi="Times New Roman" w:cs="Times New Roman"/>
          <w:sz w:val="24"/>
          <w:szCs w:val="24"/>
        </w:rPr>
        <w:t>;</w:t>
      </w:r>
      <w:r w:rsidRPr="00102FEF">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91"/>
      </w:r>
      <w:r>
        <w:rPr>
          <w:rFonts w:ascii="Times New Roman" w:hAnsi="Times New Roman" w:cs="Times New Roman"/>
          <w:sz w:val="24"/>
          <w:szCs w:val="24"/>
        </w:rPr>
        <w:t xml:space="preserve"> was not subject to being completely discounted merely “because </w:t>
      </w:r>
      <w:r w:rsidRPr="00BC174B">
        <w:rPr>
          <w:rFonts w:ascii="Times New Roman" w:hAnsi="Times New Roman" w:cs="Times New Roman"/>
          <w:sz w:val="24"/>
          <w:szCs w:val="24"/>
        </w:rPr>
        <w:t>he is a family practice physician rather than a pulmonologist</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92"/>
      </w:r>
      <w:r>
        <w:rPr>
          <w:rFonts w:ascii="Times New Roman" w:hAnsi="Times New Roman" w:cs="Times New Roman"/>
          <w:sz w:val="24"/>
          <w:szCs w:val="24"/>
        </w:rPr>
        <w:t xml:space="preserve"> and was not, in fact, </w:t>
      </w:r>
      <w:r w:rsidRPr="007614F2">
        <w:rPr>
          <w:rFonts w:ascii="Times New Roman" w:hAnsi="Times New Roman" w:cs="Times New Roman"/>
          <w:sz w:val="24"/>
          <w:szCs w:val="24"/>
        </w:rPr>
        <w:t xml:space="preserve">“apparently unaware of the extent of </w:t>
      </w:r>
      <w:r>
        <w:rPr>
          <w:rFonts w:ascii="Times New Roman" w:hAnsi="Times New Roman" w:cs="Times New Roman"/>
          <w:sz w:val="24"/>
          <w:szCs w:val="24"/>
        </w:rPr>
        <w:t xml:space="preserve">[the claimant’s] </w:t>
      </w:r>
      <w:r w:rsidRPr="007614F2">
        <w:rPr>
          <w:rFonts w:ascii="Times New Roman" w:hAnsi="Times New Roman" w:cs="Times New Roman"/>
          <w:sz w:val="24"/>
          <w:szCs w:val="24"/>
        </w:rPr>
        <w:t xml:space="preserve">smoking, even while he was treating </w:t>
      </w:r>
      <w:r>
        <w:rPr>
          <w:rFonts w:ascii="Times New Roman" w:hAnsi="Times New Roman" w:cs="Times New Roman"/>
          <w:sz w:val="24"/>
          <w:szCs w:val="24"/>
        </w:rPr>
        <w:t>[the claimant]</w:t>
      </w:r>
      <w:r w:rsidRPr="007614F2">
        <w:rPr>
          <w:rFonts w:ascii="Times New Roman" w:hAnsi="Times New Roman" w:cs="Times New Roman"/>
          <w:sz w:val="24"/>
          <w:szCs w:val="24"/>
        </w:rPr>
        <w:t xml:space="preserve"> and advising </w:t>
      </w:r>
      <w:r>
        <w:rPr>
          <w:rFonts w:ascii="Times New Roman" w:hAnsi="Times New Roman" w:cs="Times New Roman"/>
          <w:sz w:val="24"/>
          <w:szCs w:val="24"/>
        </w:rPr>
        <w:t>[claimant]</w:t>
      </w:r>
      <w:r w:rsidRPr="007614F2">
        <w:rPr>
          <w:rFonts w:ascii="Times New Roman" w:hAnsi="Times New Roman" w:cs="Times New Roman"/>
          <w:sz w:val="24"/>
          <w:szCs w:val="24"/>
        </w:rPr>
        <w:t xml:space="preserve"> to stop smoking.”</w:t>
      </w:r>
      <w:r w:rsidRPr="00910BB7">
        <w:rPr>
          <w:rFonts w:ascii="Times New Roman" w:hAnsi="Times New Roman" w:cs="Times New Roman"/>
          <w:sz w:val="24"/>
          <w:szCs w:val="24"/>
          <w:vertAlign w:val="superscript"/>
        </w:rPr>
        <w:footnoteReference w:id="693"/>
      </w:r>
      <w:r>
        <w:rPr>
          <w:rFonts w:ascii="Times New Roman" w:hAnsi="Times New Roman" w:cs="Times New Roman"/>
          <w:sz w:val="24"/>
          <w:szCs w:val="24"/>
        </w:rPr>
        <w:t xml:space="preserve">  Accordingly, the Court unusually ordered remand of the decision to the fact finder “</w:t>
      </w:r>
      <w:r w:rsidRPr="007614F2">
        <w:rPr>
          <w:rFonts w:ascii="Times New Roman" w:hAnsi="Times New Roman" w:cs="Times New Roman"/>
          <w:sz w:val="24"/>
          <w:szCs w:val="24"/>
        </w:rPr>
        <w:t>for entry of an order awarding benefits for the treatments covered by the four final determinations at issue herein.</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694"/>
      </w:r>
    </w:p>
    <w:p w14:paraId="7B90F170" w14:textId="028B4110" w:rsidR="00FF7482" w:rsidRDefault="00FF7482" w:rsidP="00713961">
      <w:pPr>
        <w:pStyle w:val="ListParagraph"/>
        <w:spacing w:after="0"/>
        <w:ind w:left="0" w:firstLine="720"/>
        <w:jc w:val="both"/>
        <w:rPr>
          <w:rFonts w:ascii="Times New Roman" w:hAnsi="Times New Roman" w:cs="Times New Roman"/>
          <w:sz w:val="24"/>
          <w:szCs w:val="24"/>
        </w:rPr>
      </w:pPr>
    </w:p>
    <w:p w14:paraId="334BC187" w14:textId="00F6C9C4" w:rsidR="00FF7482" w:rsidRDefault="00FF7482" w:rsidP="00C16422">
      <w:pPr>
        <w:pStyle w:val="Heading2"/>
        <w:spacing w:before="0"/>
        <w:rPr>
          <w:rFonts w:ascii="Times New Roman" w:hAnsi="Times New Roman" w:cs="Times New Roman"/>
          <w:b/>
          <w:color w:val="auto"/>
          <w:sz w:val="28"/>
          <w:szCs w:val="28"/>
        </w:rPr>
      </w:pPr>
      <w:bookmarkStart w:id="980" w:name="_Toc75269424"/>
      <w:r w:rsidRPr="00816E4A">
        <w:rPr>
          <w:rFonts w:ascii="Times New Roman" w:hAnsi="Times New Roman" w:cs="Times New Roman"/>
          <w:b/>
          <w:color w:val="auto"/>
          <w:sz w:val="28"/>
          <w:szCs w:val="28"/>
        </w:rPr>
        <w:t>Conflicting Medical Evidence</w:t>
      </w:r>
      <w:bookmarkEnd w:id="980"/>
    </w:p>
    <w:p w14:paraId="3C2B9C23" w14:textId="7011BDF5" w:rsidR="00FF7482" w:rsidRDefault="00FF7482" w:rsidP="00816E4A">
      <w:pPr>
        <w:spacing w:after="0"/>
      </w:pPr>
    </w:p>
    <w:p w14:paraId="3A6AF75B" w14:textId="2D767C0F" w:rsidR="00FF7482" w:rsidRDefault="00FF7482" w:rsidP="00C16422">
      <w:pPr>
        <w:pStyle w:val="ListParagraph"/>
        <w:spacing w:after="0"/>
        <w:ind w:left="0"/>
        <w:jc w:val="both"/>
        <w:rPr>
          <w:rFonts w:ascii="Times New Roman" w:hAnsi="Times New Roman" w:cs="Times New Roman"/>
          <w:sz w:val="24"/>
          <w:szCs w:val="24"/>
        </w:rPr>
      </w:pPr>
      <w:r w:rsidRPr="00816E4A">
        <w:rPr>
          <w:rFonts w:ascii="Times New Roman" w:hAnsi="Times New Roman" w:cs="Times New Roman"/>
          <w:sz w:val="24"/>
          <w:szCs w:val="24"/>
        </w:rPr>
        <w:t>It is very common for medical evidence in workers’ compensation cases to conflict</w:t>
      </w:r>
      <w:r>
        <w:rPr>
          <w:rFonts w:ascii="Times New Roman" w:hAnsi="Times New Roman" w:cs="Times New Roman"/>
          <w:sz w:val="24"/>
          <w:szCs w:val="24"/>
        </w:rPr>
        <w:t xml:space="preserve">. Often, it is diametrically opposed. The </w:t>
      </w:r>
      <w:r w:rsidRPr="008320B0">
        <w:rPr>
          <w:rFonts w:ascii="Times New Roman" w:hAnsi="Times New Roman" w:cs="Times New Roman"/>
          <w:i/>
          <w:iCs/>
          <w:sz w:val="24"/>
          <w:szCs w:val="24"/>
        </w:rPr>
        <w:t>Larson’s</w:t>
      </w:r>
      <w:r>
        <w:rPr>
          <w:rFonts w:ascii="Times New Roman" w:hAnsi="Times New Roman" w:cs="Times New Roman"/>
          <w:sz w:val="24"/>
          <w:szCs w:val="24"/>
        </w:rPr>
        <w:t xml:space="preserve"> treatise seems to classify cases </w:t>
      </w:r>
      <w:r>
        <w:rPr>
          <w:rFonts w:ascii="Times New Roman" w:hAnsi="Times New Roman" w:cs="Times New Roman"/>
          <w:sz w:val="24"/>
          <w:szCs w:val="24"/>
        </w:rPr>
        <w:lastRenderedPageBreak/>
        <w:t xml:space="preserve">falling into this category—or rather classifies </w:t>
      </w:r>
      <w:r w:rsidRPr="008320B0">
        <w:rPr>
          <w:rFonts w:ascii="Times New Roman" w:hAnsi="Times New Roman" w:cs="Times New Roman"/>
          <w:i/>
          <w:iCs/>
          <w:sz w:val="24"/>
          <w:szCs w:val="24"/>
        </w:rPr>
        <w:t>awards</w:t>
      </w:r>
      <w:r>
        <w:rPr>
          <w:rFonts w:ascii="Times New Roman" w:hAnsi="Times New Roman" w:cs="Times New Roman"/>
          <w:sz w:val="24"/>
          <w:szCs w:val="24"/>
        </w:rPr>
        <w:t xml:space="preserve"> made in such a situation resolving the conflict—as awards “without medical testimony” </w:t>
      </w:r>
      <w:r w:rsidRPr="00B523FC">
        <w:rPr>
          <w:rFonts w:ascii="Times New Roman" w:hAnsi="Times New Roman" w:cs="Times New Roman"/>
          <w:i/>
          <w:iCs/>
          <w:sz w:val="24"/>
          <w:szCs w:val="24"/>
        </w:rPr>
        <w:t>or</w:t>
      </w:r>
      <w:r>
        <w:rPr>
          <w:rFonts w:ascii="Times New Roman" w:hAnsi="Times New Roman" w:cs="Times New Roman"/>
          <w:sz w:val="24"/>
          <w:szCs w:val="24"/>
        </w:rPr>
        <w:t xml:space="preserve"> awards “contradicting medical testimony.”</w:t>
      </w:r>
      <w:r w:rsidRPr="00910BB7">
        <w:rPr>
          <w:rFonts w:ascii="Times New Roman" w:hAnsi="Times New Roman" w:cs="Times New Roman"/>
          <w:sz w:val="24"/>
          <w:szCs w:val="24"/>
          <w:vertAlign w:val="superscript"/>
        </w:rPr>
        <w:footnoteReference w:id="695"/>
      </w:r>
      <w:r>
        <w:rPr>
          <w:rFonts w:ascii="Times New Roman" w:hAnsi="Times New Roman" w:cs="Times New Roman"/>
          <w:sz w:val="24"/>
          <w:szCs w:val="24"/>
        </w:rPr>
        <w:t xml:space="preserve"> In many cases, however, an award will “contradict” one medical party’s testimony and embrace another party’s medical testimony </w:t>
      </w:r>
      <w:r w:rsidRPr="008320B0">
        <w:rPr>
          <w:rFonts w:ascii="Times New Roman" w:hAnsi="Times New Roman" w:cs="Times New Roman"/>
          <w:b/>
          <w:bCs/>
          <w:i/>
          <w:iCs/>
          <w:sz w:val="24"/>
          <w:szCs w:val="24"/>
        </w:rPr>
        <w:t>completely</w:t>
      </w:r>
      <w:r>
        <w:rPr>
          <w:rFonts w:ascii="Times New Roman" w:hAnsi="Times New Roman" w:cs="Times New Roman"/>
          <w:sz w:val="24"/>
          <w:szCs w:val="24"/>
        </w:rPr>
        <w:t xml:space="preserve">. For relative outsiders to the system (law students, for example), it is hard to escape the conclusion that parties simply “doctor shop” until they obtain the desired medical opinion. He or she with the greatest resources obviously has an advantage in such a system. In the venerable 1954 text </w:t>
      </w:r>
      <w:r w:rsidRPr="00C90457">
        <w:rPr>
          <w:rFonts w:ascii="Times New Roman" w:hAnsi="Times New Roman" w:cs="Times New Roman"/>
          <w:i/>
          <w:iCs/>
          <w:sz w:val="24"/>
          <w:szCs w:val="24"/>
        </w:rPr>
        <w:t>Workmen’s Compensation</w:t>
      </w:r>
      <w:r>
        <w:rPr>
          <w:rFonts w:ascii="Times New Roman" w:hAnsi="Times New Roman" w:cs="Times New Roman"/>
          <w:sz w:val="24"/>
          <w:szCs w:val="24"/>
        </w:rPr>
        <w:t>, authored by Somers and Somers,</w:t>
      </w:r>
      <w:r w:rsidRPr="00910BB7">
        <w:rPr>
          <w:rFonts w:ascii="Times New Roman" w:hAnsi="Times New Roman" w:cs="Times New Roman"/>
          <w:sz w:val="24"/>
          <w:szCs w:val="24"/>
          <w:vertAlign w:val="superscript"/>
        </w:rPr>
        <w:footnoteReference w:id="696"/>
      </w:r>
      <w:r>
        <w:rPr>
          <w:rFonts w:ascii="Times New Roman" w:hAnsi="Times New Roman" w:cs="Times New Roman"/>
          <w:sz w:val="24"/>
          <w:szCs w:val="24"/>
        </w:rPr>
        <w:t xml:space="preserve"> the mélange of competing medical opinions and party interests were collectively termed “court house medicine.”</w:t>
      </w:r>
      <w:r w:rsidRPr="00910BB7">
        <w:rPr>
          <w:rFonts w:ascii="Times New Roman" w:hAnsi="Times New Roman" w:cs="Times New Roman"/>
          <w:sz w:val="24"/>
          <w:szCs w:val="24"/>
          <w:vertAlign w:val="superscript"/>
        </w:rPr>
        <w:footnoteReference w:id="697"/>
      </w:r>
      <w:r>
        <w:rPr>
          <w:rFonts w:ascii="Times New Roman" w:hAnsi="Times New Roman" w:cs="Times New Roman"/>
          <w:sz w:val="24"/>
          <w:szCs w:val="24"/>
        </w:rPr>
        <w:t xml:space="preserve"> The same authors quoted another book, written in 1936, as follows: “[E]xperience has shown that when the physician is selected by either interested party the evidence in nine cases out of ten, and sometimes in the tenth, will unduly favor the interests of that party.”</w:t>
      </w:r>
      <w:r w:rsidRPr="00910BB7">
        <w:rPr>
          <w:rFonts w:ascii="Times New Roman" w:hAnsi="Times New Roman" w:cs="Times New Roman"/>
          <w:sz w:val="24"/>
          <w:szCs w:val="24"/>
          <w:vertAlign w:val="superscript"/>
        </w:rPr>
        <w:footnoteReference w:id="698"/>
      </w:r>
      <w:r>
        <w:rPr>
          <w:rFonts w:ascii="Times New Roman" w:hAnsi="Times New Roman" w:cs="Times New Roman"/>
          <w:sz w:val="24"/>
          <w:szCs w:val="24"/>
        </w:rPr>
        <w:t xml:space="preserve"> </w:t>
      </w:r>
    </w:p>
    <w:p w14:paraId="69B4D037" w14:textId="77A2B8B8" w:rsidR="00FF7482" w:rsidRDefault="00FF7482" w:rsidP="00816E4A">
      <w:pPr>
        <w:pStyle w:val="ListParagraph"/>
        <w:spacing w:after="0"/>
        <w:ind w:left="0" w:firstLine="720"/>
        <w:jc w:val="both"/>
        <w:rPr>
          <w:rFonts w:ascii="Times New Roman" w:hAnsi="Times New Roman" w:cs="Times New Roman"/>
          <w:sz w:val="24"/>
          <w:szCs w:val="24"/>
        </w:rPr>
      </w:pPr>
    </w:p>
    <w:p w14:paraId="38956E92" w14:textId="69C26C2B" w:rsidR="00FF7482" w:rsidRDefault="00FF7482" w:rsidP="00C1642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As Somers and Somers also noted in their text, typical proposals to assure disinterested medical opinion are to “have the State provide a fulltime medical staff to measure disability and resolve the ever current and difficult questions of causal relations. Or else, to have a panel of doctors in private practice but paid by the State when called on for expert medical testimony.”</w:t>
      </w:r>
      <w:r w:rsidRPr="00910BB7">
        <w:rPr>
          <w:rFonts w:ascii="Times New Roman" w:hAnsi="Times New Roman" w:cs="Times New Roman"/>
          <w:sz w:val="24"/>
          <w:szCs w:val="24"/>
          <w:vertAlign w:val="superscript"/>
        </w:rPr>
        <w:footnoteReference w:id="699"/>
      </w:r>
      <w:r>
        <w:rPr>
          <w:rFonts w:ascii="Times New Roman" w:hAnsi="Times New Roman" w:cs="Times New Roman"/>
          <w:sz w:val="24"/>
          <w:szCs w:val="24"/>
        </w:rPr>
        <w:t xml:space="preserve"> The authors concluded that such systems had been attempted since the early days of workers’ compensation under the British system but had not to that time proved satisfactory, and not only because of the partisan nature of medical evidence development,</w:t>
      </w:r>
    </w:p>
    <w:p w14:paraId="5E93D76A" w14:textId="68BBD71F" w:rsidR="00FF7482" w:rsidRDefault="00FF7482" w:rsidP="00816E4A">
      <w:pPr>
        <w:pStyle w:val="ListParagraph"/>
        <w:spacing w:after="0"/>
        <w:ind w:left="0" w:firstLine="720"/>
        <w:jc w:val="both"/>
        <w:rPr>
          <w:rFonts w:ascii="Times New Roman" w:hAnsi="Times New Roman" w:cs="Times New Roman"/>
          <w:sz w:val="24"/>
          <w:szCs w:val="24"/>
        </w:rPr>
      </w:pPr>
    </w:p>
    <w:p w14:paraId="0938A365" w14:textId="7C1077BB" w:rsidR="00FF7482" w:rsidRDefault="00FF7482" w:rsidP="00CF3DE2">
      <w:pPr>
        <w:pStyle w:val="ListParagraph"/>
        <w:spacing w:after="0"/>
        <w:ind w:right="720"/>
        <w:jc w:val="both"/>
        <w:rPr>
          <w:rFonts w:ascii="Times New Roman" w:hAnsi="Times New Roman" w:cs="Times New Roman"/>
          <w:sz w:val="24"/>
          <w:szCs w:val="24"/>
        </w:rPr>
      </w:pPr>
      <w:r>
        <w:rPr>
          <w:rFonts w:ascii="Times New Roman" w:hAnsi="Times New Roman" w:cs="Times New Roman"/>
          <w:sz w:val="24"/>
          <w:szCs w:val="24"/>
        </w:rPr>
        <w:t>Conflicting medical testimony is, of course, not solely a product of dishonesty or prejudice. A large part of the difficulty is caused by disagreements over medical theory (e.g., the effect of exertion on coronary thrombosis). The frequent disagreements among the impartial medical review boards in England emphasize the role of such legitimate differences. In addition there is the sheer incompetence of many medical witnesses.</w:t>
      </w:r>
      <w:r w:rsidRPr="00910BB7">
        <w:rPr>
          <w:rFonts w:ascii="Times New Roman" w:hAnsi="Times New Roman" w:cs="Times New Roman"/>
          <w:sz w:val="24"/>
          <w:szCs w:val="24"/>
          <w:vertAlign w:val="superscript"/>
        </w:rPr>
        <w:footnoteReference w:id="700"/>
      </w:r>
    </w:p>
    <w:p w14:paraId="7DEFADDE" w14:textId="77777777" w:rsidR="00FF7482" w:rsidRDefault="00FF7482" w:rsidP="00816E4A">
      <w:pPr>
        <w:pStyle w:val="ListParagraph"/>
        <w:spacing w:after="0"/>
        <w:ind w:left="0" w:firstLine="720"/>
        <w:jc w:val="both"/>
        <w:rPr>
          <w:rFonts w:ascii="Times New Roman" w:hAnsi="Times New Roman" w:cs="Times New Roman"/>
          <w:sz w:val="24"/>
          <w:szCs w:val="24"/>
        </w:rPr>
      </w:pPr>
    </w:p>
    <w:p w14:paraId="46D2018E" w14:textId="6556FF30" w:rsidR="00FF7482" w:rsidRDefault="00FF7482" w:rsidP="00CF3DE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Nevertheless, a number of jurisdictions, including Wyoming, have attempted to address the problem of conflicting evidence through use of “neutral” systems. Wyoming, for example, has created a </w:t>
      </w:r>
      <w:r w:rsidRPr="006176A7">
        <w:rPr>
          <w:rFonts w:ascii="Times New Roman" w:hAnsi="Times New Roman" w:cs="Times New Roman"/>
          <w:b/>
          <w:bCs/>
          <w:sz w:val="24"/>
          <w:szCs w:val="24"/>
        </w:rPr>
        <w:t>“Medical Commission,”</w:t>
      </w:r>
      <w:r>
        <w:rPr>
          <w:rFonts w:ascii="Times New Roman" w:hAnsi="Times New Roman" w:cs="Times New Roman"/>
          <w:sz w:val="24"/>
          <w:szCs w:val="24"/>
        </w:rPr>
        <w:t xml:space="preserve"> an administrative </w:t>
      </w:r>
      <w:r>
        <w:rPr>
          <w:rFonts w:ascii="Times New Roman" w:hAnsi="Times New Roman" w:cs="Times New Roman"/>
          <w:sz w:val="24"/>
          <w:szCs w:val="24"/>
        </w:rPr>
        <w:lastRenderedPageBreak/>
        <w:t>body that will be explained more fully in a subsequent section.</w:t>
      </w:r>
      <w:r w:rsidRPr="00910BB7">
        <w:rPr>
          <w:rFonts w:ascii="Times New Roman" w:hAnsi="Times New Roman" w:cs="Times New Roman"/>
          <w:sz w:val="24"/>
          <w:szCs w:val="24"/>
          <w:vertAlign w:val="superscript"/>
        </w:rPr>
        <w:footnoteReference w:id="701"/>
      </w:r>
      <w:r>
        <w:rPr>
          <w:rFonts w:ascii="Times New Roman" w:hAnsi="Times New Roman" w:cs="Times New Roman"/>
          <w:sz w:val="24"/>
          <w:szCs w:val="24"/>
        </w:rPr>
        <w:t xml:space="preserve"> Other states utilize, by various names, a system of “impartial medical examiners.” (IMEs). Practitioners must take great care in this area. An “independent” medical examiner sounds like a physician performing a workers’ compensation-related medical examination who is “independent” of the parties. But in Wyoming, “independent” seems to mean </w:t>
      </w:r>
      <w:r w:rsidRPr="006E48BA">
        <w:rPr>
          <w:rFonts w:ascii="Times New Roman" w:hAnsi="Times New Roman" w:cs="Times New Roman"/>
          <w:i/>
          <w:iCs/>
          <w:sz w:val="24"/>
          <w:szCs w:val="24"/>
        </w:rPr>
        <w:t>independent</w:t>
      </w:r>
      <w:r>
        <w:rPr>
          <w:rFonts w:ascii="Times New Roman" w:hAnsi="Times New Roman" w:cs="Times New Roman"/>
          <w:sz w:val="24"/>
          <w:szCs w:val="24"/>
        </w:rPr>
        <w:t xml:space="preserve"> of the claimant’s treating doctor – in other words a “second” opinion.</w:t>
      </w:r>
      <w:r w:rsidRPr="00910BB7">
        <w:rPr>
          <w:rFonts w:ascii="Times New Roman" w:hAnsi="Times New Roman" w:cs="Times New Roman"/>
          <w:sz w:val="24"/>
          <w:szCs w:val="24"/>
          <w:vertAlign w:val="superscript"/>
        </w:rPr>
        <w:footnoteReference w:id="702"/>
      </w:r>
      <w:r>
        <w:rPr>
          <w:rFonts w:ascii="Times New Roman" w:hAnsi="Times New Roman" w:cs="Times New Roman"/>
          <w:sz w:val="24"/>
          <w:szCs w:val="24"/>
        </w:rPr>
        <w:t xml:space="preserve"> It is worth noting that Wyoming law also appears to allow a hearing officer the discretion to appoint an “impartial” medical examiner,</w:t>
      </w:r>
      <w:r w:rsidRPr="00910BB7">
        <w:rPr>
          <w:rFonts w:ascii="Times New Roman" w:hAnsi="Times New Roman" w:cs="Times New Roman"/>
          <w:sz w:val="24"/>
          <w:szCs w:val="24"/>
          <w:vertAlign w:val="superscript"/>
        </w:rPr>
        <w:footnoteReference w:id="703"/>
      </w:r>
      <w:r>
        <w:rPr>
          <w:rFonts w:ascii="Times New Roman" w:hAnsi="Times New Roman" w:cs="Times New Roman"/>
          <w:sz w:val="24"/>
          <w:szCs w:val="24"/>
        </w:rPr>
        <w:t xml:space="preserve"> but the provision seems an anachronism in light of the creation of the Medical Commission.</w:t>
      </w:r>
      <w:r w:rsidRPr="00910BB7">
        <w:rPr>
          <w:rFonts w:ascii="Times New Roman" w:hAnsi="Times New Roman" w:cs="Times New Roman"/>
          <w:sz w:val="24"/>
          <w:szCs w:val="24"/>
          <w:vertAlign w:val="superscript"/>
        </w:rPr>
        <w:footnoteReference w:id="704"/>
      </w:r>
      <w:r>
        <w:rPr>
          <w:rFonts w:ascii="Times New Roman" w:hAnsi="Times New Roman" w:cs="Times New Roman"/>
          <w:sz w:val="24"/>
          <w:szCs w:val="24"/>
        </w:rPr>
        <w:t xml:space="preserve"> Other states use the term “independent” medical examination to mean an “impartial” examination.</w:t>
      </w:r>
      <w:r w:rsidRPr="00910BB7">
        <w:rPr>
          <w:rFonts w:ascii="Times New Roman" w:hAnsi="Times New Roman" w:cs="Times New Roman"/>
          <w:sz w:val="24"/>
          <w:szCs w:val="24"/>
          <w:vertAlign w:val="superscript"/>
        </w:rPr>
        <w:footnoteReference w:id="705"/>
      </w:r>
      <w:r>
        <w:rPr>
          <w:rFonts w:ascii="Times New Roman" w:hAnsi="Times New Roman" w:cs="Times New Roman"/>
          <w:sz w:val="24"/>
          <w:szCs w:val="24"/>
        </w:rPr>
        <w:t xml:space="preserve"> Some states use different terminology altogether, but the gist of the process is similar.</w:t>
      </w:r>
      <w:r w:rsidRPr="00910BB7">
        <w:rPr>
          <w:rFonts w:ascii="Times New Roman" w:hAnsi="Times New Roman" w:cs="Times New Roman"/>
          <w:sz w:val="24"/>
          <w:szCs w:val="24"/>
          <w:vertAlign w:val="superscript"/>
        </w:rPr>
        <w:footnoteReference w:id="706"/>
      </w:r>
      <w:r>
        <w:rPr>
          <w:rFonts w:ascii="Times New Roman" w:hAnsi="Times New Roman" w:cs="Times New Roman"/>
          <w:sz w:val="24"/>
          <w:szCs w:val="24"/>
        </w:rPr>
        <w:t xml:space="preserve"> Each of the structures is meant to deal with the pervasive reality of conflicting medical evidence in workers’ compensation cases. Of course, although beyond the scope of this entry, a second important question would be to determine the </w:t>
      </w:r>
      <w:r w:rsidRPr="00205857">
        <w:rPr>
          <w:rFonts w:ascii="Times New Roman" w:hAnsi="Times New Roman" w:cs="Times New Roman"/>
          <w:b/>
          <w:bCs/>
          <w:i/>
          <w:iCs/>
          <w:sz w:val="24"/>
          <w:szCs w:val="24"/>
        </w:rPr>
        <w:t>weight</w:t>
      </w:r>
      <w:r>
        <w:rPr>
          <w:rFonts w:ascii="Times New Roman" w:hAnsi="Times New Roman" w:cs="Times New Roman"/>
          <w:sz w:val="24"/>
          <w:szCs w:val="24"/>
        </w:rPr>
        <w:t xml:space="preserve"> to be afforded the testimony. For example, in Florida, the “expert medical advisor’s” report (another term for an IME) is entitled to a “presumption of correctness.”</w:t>
      </w:r>
      <w:r w:rsidRPr="00910BB7">
        <w:rPr>
          <w:rFonts w:ascii="Times New Roman" w:hAnsi="Times New Roman" w:cs="Times New Roman"/>
          <w:sz w:val="24"/>
          <w:szCs w:val="24"/>
          <w:vertAlign w:val="superscript"/>
        </w:rPr>
        <w:footnoteReference w:id="707"/>
      </w:r>
      <w:r>
        <w:rPr>
          <w:rFonts w:ascii="Times New Roman" w:hAnsi="Times New Roman" w:cs="Times New Roman"/>
          <w:sz w:val="24"/>
          <w:szCs w:val="24"/>
        </w:rPr>
        <w:t xml:space="preserve"> The findings of an independent medical examiner in Maine are required to be adopted by its workers’ compensation board “</w:t>
      </w:r>
      <w:r w:rsidRPr="005235C0">
        <w:rPr>
          <w:rFonts w:ascii="Times New Roman" w:hAnsi="Times New Roman" w:cs="Times New Roman"/>
          <w:sz w:val="24"/>
          <w:szCs w:val="24"/>
        </w:rPr>
        <w:t>unless there is clear and convincing evidence to the contrary in the record that does not support the medical findings.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08"/>
      </w:r>
      <w:r>
        <w:rPr>
          <w:rFonts w:ascii="Times New Roman" w:hAnsi="Times New Roman" w:cs="Times New Roman"/>
          <w:sz w:val="24"/>
          <w:szCs w:val="24"/>
        </w:rPr>
        <w:t xml:space="preserve"> Wyoming—for better or worse—has (as will be discussed shortly) circumnavigated that entire problem by, in effect, transforming medical experts from witnesses into governmental fact finders, so the question of the “weight of evidence” becomes, instead, the extent of judicial deference to the Medical Commission’s evaluation of witnesses. The structure is quite different, for example, from Utah. The Utah system also utilizes </w:t>
      </w:r>
      <w:r>
        <w:rPr>
          <w:rFonts w:ascii="Times New Roman" w:hAnsi="Times New Roman" w:cs="Times New Roman"/>
          <w:sz w:val="24"/>
          <w:szCs w:val="24"/>
        </w:rPr>
        <w:lastRenderedPageBreak/>
        <w:t>medical panels, but the administrative judge has discretion to appoint the panel and “</w:t>
      </w:r>
      <w:r w:rsidRPr="00C02F76">
        <w:rPr>
          <w:rFonts w:ascii="Times New Roman" w:hAnsi="Times New Roman" w:cs="Times New Roman"/>
          <w:sz w:val="24"/>
          <w:szCs w:val="24"/>
        </w:rPr>
        <w:t>may base the administrative law judge's finding and decision on the report</w:t>
      </w:r>
      <w:r>
        <w:rPr>
          <w:rFonts w:ascii="Times New Roman" w:hAnsi="Times New Roman" w:cs="Times New Roman"/>
          <w:sz w:val="24"/>
          <w:szCs w:val="24"/>
        </w:rPr>
        <w:t>” and is not “bound” by it.</w:t>
      </w:r>
      <w:r w:rsidRPr="00910BB7">
        <w:rPr>
          <w:rFonts w:ascii="Times New Roman" w:hAnsi="Times New Roman" w:cs="Times New Roman"/>
          <w:sz w:val="24"/>
          <w:szCs w:val="24"/>
          <w:vertAlign w:val="superscript"/>
        </w:rPr>
        <w:footnoteReference w:id="709"/>
      </w:r>
      <w:r w:rsidRPr="00C02F76">
        <w:rPr>
          <w:rFonts w:ascii="Times New Roman" w:hAnsi="Times New Roman" w:cs="Times New Roman"/>
          <w:sz w:val="24"/>
          <w:szCs w:val="24"/>
        </w:rPr>
        <w:t xml:space="preserve"> </w:t>
      </w:r>
      <w:r>
        <w:rPr>
          <w:rFonts w:ascii="Times New Roman" w:hAnsi="Times New Roman" w:cs="Times New Roman"/>
          <w:sz w:val="24"/>
          <w:szCs w:val="24"/>
        </w:rPr>
        <w:t xml:space="preserve">In other words, the panel physicians retain their status as </w:t>
      </w:r>
      <w:r w:rsidRPr="00C02F76">
        <w:rPr>
          <w:rFonts w:ascii="Times New Roman" w:hAnsi="Times New Roman" w:cs="Times New Roman"/>
          <w:b/>
          <w:bCs/>
          <w:i/>
          <w:iCs/>
          <w:sz w:val="24"/>
          <w:szCs w:val="24"/>
        </w:rPr>
        <w:t>witnesses</w:t>
      </w:r>
      <w:r>
        <w:rPr>
          <w:rFonts w:ascii="Times New Roman" w:hAnsi="Times New Roman" w:cs="Times New Roman"/>
          <w:sz w:val="24"/>
          <w:szCs w:val="24"/>
        </w:rPr>
        <w:t xml:space="preserve"> and are not fact finders.</w:t>
      </w:r>
    </w:p>
    <w:p w14:paraId="1B891953" w14:textId="759D3EB2" w:rsidR="00FF7482" w:rsidRDefault="00FF7482" w:rsidP="00816E4A">
      <w:pPr>
        <w:pStyle w:val="ListParagraph"/>
        <w:spacing w:after="0"/>
        <w:ind w:left="0" w:firstLine="720"/>
        <w:jc w:val="both"/>
        <w:rPr>
          <w:rFonts w:ascii="Times New Roman" w:hAnsi="Times New Roman" w:cs="Times New Roman"/>
          <w:sz w:val="24"/>
          <w:szCs w:val="24"/>
        </w:rPr>
      </w:pPr>
    </w:p>
    <w:p w14:paraId="2C7B1FB0" w14:textId="6C992130" w:rsidR="00FF7482" w:rsidRDefault="00FF7482" w:rsidP="00CD61A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Whether medical evidence is presented to the Medical Commission or the Office of Administrative Hearings as administrative fact finders, </w:t>
      </w:r>
      <w:r w:rsidRPr="00B001C7">
        <w:rPr>
          <w:rFonts w:ascii="Times New Roman" w:hAnsi="Times New Roman" w:cs="Times New Roman"/>
          <w:sz w:val="24"/>
          <w:szCs w:val="24"/>
        </w:rPr>
        <w:t>the consideration to be given medical opinion testimony</w:t>
      </w:r>
      <w:r>
        <w:rPr>
          <w:rFonts w:ascii="Times New Roman" w:hAnsi="Times New Roman" w:cs="Times New Roman"/>
          <w:sz w:val="24"/>
          <w:szCs w:val="24"/>
        </w:rPr>
        <w:t xml:space="preserve"> is the same:</w:t>
      </w:r>
    </w:p>
    <w:p w14:paraId="7277DAA8" w14:textId="7B0C4E5F" w:rsidR="00FF7482" w:rsidRDefault="00FF7482" w:rsidP="00816E4A">
      <w:pPr>
        <w:pStyle w:val="ListParagraph"/>
        <w:spacing w:after="0"/>
        <w:ind w:left="0" w:firstLine="720"/>
        <w:jc w:val="both"/>
        <w:rPr>
          <w:rFonts w:ascii="Times New Roman" w:hAnsi="Times New Roman" w:cs="Times New Roman"/>
          <w:sz w:val="24"/>
          <w:szCs w:val="24"/>
        </w:rPr>
      </w:pPr>
    </w:p>
    <w:p w14:paraId="22278FB8" w14:textId="32138E88" w:rsidR="00FF7482" w:rsidRDefault="00FF7482" w:rsidP="00781AF9">
      <w:pPr>
        <w:pStyle w:val="ListParagraph"/>
        <w:spacing w:after="0"/>
        <w:ind w:right="720"/>
        <w:jc w:val="both"/>
        <w:rPr>
          <w:rFonts w:ascii="Times New Roman" w:hAnsi="Times New Roman" w:cs="Times New Roman"/>
          <w:sz w:val="24"/>
          <w:szCs w:val="24"/>
        </w:rPr>
      </w:pPr>
      <w:r w:rsidRPr="00B001C7">
        <w:rPr>
          <w:rFonts w:ascii="Times New Roman" w:hAnsi="Times New Roman" w:cs="Times New Roman"/>
          <w:sz w:val="24"/>
          <w:szCs w:val="24"/>
        </w:rPr>
        <w:t xml:space="preserve">When presented with medical opinion testimony, </w:t>
      </w:r>
      <w:r w:rsidRPr="001C76B2">
        <w:rPr>
          <w:rFonts w:ascii="Times New Roman" w:hAnsi="Times New Roman" w:cs="Times New Roman"/>
          <w:b/>
          <w:bCs/>
          <w:sz w:val="24"/>
          <w:szCs w:val="24"/>
        </w:rPr>
        <w:t>the hearing examiner</w:t>
      </w:r>
      <w:r w:rsidRPr="00B001C7">
        <w:rPr>
          <w:rFonts w:ascii="Times New Roman" w:hAnsi="Times New Roman" w:cs="Times New Roman"/>
          <w:sz w:val="24"/>
          <w:szCs w:val="24"/>
        </w:rPr>
        <w:t xml:space="preserve">, as the trier of fact, </w:t>
      </w:r>
      <w:r w:rsidRPr="001C76B2">
        <w:rPr>
          <w:rFonts w:ascii="Times New Roman" w:hAnsi="Times New Roman" w:cs="Times New Roman"/>
          <w:b/>
          <w:bCs/>
          <w:sz w:val="24"/>
          <w:szCs w:val="24"/>
        </w:rPr>
        <w:t>is responsible for determining relevancy, assigning probative values, and ascribing the relevant weight to be given to the testimony</w:t>
      </w:r>
      <w:r>
        <w:rPr>
          <w:rFonts w:ascii="Times New Roman" w:hAnsi="Times New Roman" w:cs="Times New Roman"/>
          <w:sz w:val="24"/>
          <w:szCs w:val="24"/>
        </w:rPr>
        <w:t xml:space="preserve"> . . . </w:t>
      </w:r>
      <w:r w:rsidRPr="00B001C7">
        <w:rPr>
          <w:rFonts w:ascii="Times New Roman" w:hAnsi="Times New Roman" w:cs="Times New Roman"/>
          <w:sz w:val="24"/>
          <w:szCs w:val="24"/>
        </w:rPr>
        <w:t>In weighing the medical opinion testimony, the fact finder considers: (1</w:t>
      </w:r>
      <w:r w:rsidRPr="001C76B2">
        <w:rPr>
          <w:rFonts w:ascii="Times New Roman" w:hAnsi="Times New Roman" w:cs="Times New Roman"/>
          <w:sz w:val="24"/>
          <w:szCs w:val="24"/>
        </w:rPr>
        <w:t>)</w:t>
      </w:r>
      <w:r w:rsidRPr="001C76B2">
        <w:rPr>
          <w:rFonts w:ascii="Times New Roman" w:hAnsi="Times New Roman" w:cs="Times New Roman"/>
          <w:b/>
          <w:bCs/>
          <w:sz w:val="24"/>
          <w:szCs w:val="24"/>
        </w:rPr>
        <w:t xml:space="preserve"> the opinion</w:t>
      </w:r>
      <w:r w:rsidRPr="00B001C7">
        <w:rPr>
          <w:rFonts w:ascii="Times New Roman" w:hAnsi="Times New Roman" w:cs="Times New Roman"/>
          <w:sz w:val="24"/>
          <w:szCs w:val="24"/>
        </w:rPr>
        <w:t xml:space="preserve">; (2) </w:t>
      </w:r>
      <w:r w:rsidRPr="001C76B2">
        <w:rPr>
          <w:rFonts w:ascii="Times New Roman" w:hAnsi="Times New Roman" w:cs="Times New Roman"/>
          <w:b/>
          <w:bCs/>
          <w:sz w:val="24"/>
          <w:szCs w:val="24"/>
        </w:rPr>
        <w:t>the reasons</w:t>
      </w:r>
      <w:r w:rsidRPr="00B001C7">
        <w:rPr>
          <w:rFonts w:ascii="Times New Roman" w:hAnsi="Times New Roman" w:cs="Times New Roman"/>
          <w:sz w:val="24"/>
          <w:szCs w:val="24"/>
        </w:rPr>
        <w:t xml:space="preserve">, if any, given for it; (3) </w:t>
      </w:r>
      <w:r w:rsidRPr="001C76B2">
        <w:rPr>
          <w:rFonts w:ascii="Times New Roman" w:hAnsi="Times New Roman" w:cs="Times New Roman"/>
          <w:b/>
          <w:bCs/>
          <w:sz w:val="24"/>
          <w:szCs w:val="24"/>
        </w:rPr>
        <w:t>the strength of it</w:t>
      </w:r>
      <w:r w:rsidRPr="00B001C7">
        <w:rPr>
          <w:rFonts w:ascii="Times New Roman" w:hAnsi="Times New Roman" w:cs="Times New Roman"/>
          <w:sz w:val="24"/>
          <w:szCs w:val="24"/>
        </w:rPr>
        <w:t>; and (4</w:t>
      </w:r>
      <w:r w:rsidRPr="001C76B2">
        <w:rPr>
          <w:rFonts w:ascii="Times New Roman" w:hAnsi="Times New Roman" w:cs="Times New Roman"/>
          <w:b/>
          <w:bCs/>
          <w:sz w:val="24"/>
          <w:szCs w:val="24"/>
        </w:rPr>
        <w:t>) the qualifications and credibility of the witness</w:t>
      </w:r>
      <w:r w:rsidRPr="00B001C7">
        <w:rPr>
          <w:rFonts w:ascii="Times New Roman" w:hAnsi="Times New Roman" w:cs="Times New Roman"/>
          <w:sz w:val="24"/>
          <w:szCs w:val="24"/>
        </w:rPr>
        <w:t xml:space="preserve"> or witnesses expressing it.</w:t>
      </w:r>
      <w:r w:rsidRPr="00910BB7">
        <w:rPr>
          <w:rFonts w:ascii="Times New Roman" w:hAnsi="Times New Roman" w:cs="Times New Roman"/>
          <w:sz w:val="24"/>
          <w:szCs w:val="24"/>
          <w:vertAlign w:val="superscript"/>
        </w:rPr>
        <w:footnoteReference w:id="710"/>
      </w:r>
    </w:p>
    <w:p w14:paraId="34AC7A13" w14:textId="77777777" w:rsidR="00FF7482" w:rsidRDefault="00FF7482" w:rsidP="00816E4A">
      <w:pPr>
        <w:pStyle w:val="ListParagraph"/>
        <w:spacing w:after="0"/>
        <w:ind w:left="0" w:firstLine="720"/>
        <w:jc w:val="both"/>
        <w:rPr>
          <w:rFonts w:ascii="Times New Roman" w:hAnsi="Times New Roman" w:cs="Times New Roman"/>
          <w:sz w:val="24"/>
          <w:szCs w:val="24"/>
        </w:rPr>
      </w:pPr>
    </w:p>
    <w:p w14:paraId="73B158A3" w14:textId="0F39B5DB" w:rsidR="00FF7482" w:rsidRDefault="00FF7482" w:rsidP="002B6EF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One final point on conflicting evidence in a monopolistic workers’ system. Because the State of Wyoming is </w:t>
      </w:r>
      <w:r w:rsidRPr="00CA11D7">
        <w:rPr>
          <w:rFonts w:ascii="Times New Roman" w:hAnsi="Times New Roman" w:cs="Times New Roman"/>
          <w:b/>
          <w:bCs/>
          <w:sz w:val="24"/>
          <w:szCs w:val="24"/>
        </w:rPr>
        <w:t>both</w:t>
      </w:r>
      <w:r>
        <w:rPr>
          <w:rFonts w:ascii="Times New Roman" w:hAnsi="Times New Roman" w:cs="Times New Roman"/>
          <w:sz w:val="24"/>
          <w:szCs w:val="24"/>
        </w:rPr>
        <w:t xml:space="preserve"> the adjudicator of workers’ compensation disputes </w:t>
      </w:r>
      <w:r w:rsidRPr="00CA11D7">
        <w:rPr>
          <w:rFonts w:ascii="Times New Roman" w:hAnsi="Times New Roman" w:cs="Times New Roman"/>
          <w:b/>
          <w:bCs/>
          <w:sz w:val="24"/>
          <w:szCs w:val="24"/>
        </w:rPr>
        <w:t>and</w:t>
      </w:r>
      <w:r>
        <w:rPr>
          <w:rFonts w:ascii="Times New Roman" w:hAnsi="Times New Roman" w:cs="Times New Roman"/>
          <w:sz w:val="24"/>
          <w:szCs w:val="24"/>
        </w:rPr>
        <w:t xml:space="preserve"> a party to the same disputes, it is very difficult to see how a “neutral” system for evaluating conflicting medical evidence can be said to exist. The Medical Commission is not a “witness.” It evaluates medical evidence that is exclusively party-derived with one of the parties to dispute consisting of the State and the other a citizen-employee. The Due Process tensions inherent in the structure are self-evident</w:t>
      </w:r>
      <w:r w:rsidR="000424E0">
        <w:rPr>
          <w:rFonts w:ascii="Times New Roman" w:hAnsi="Times New Roman" w:cs="Times New Roman"/>
          <w:sz w:val="24"/>
          <w:szCs w:val="24"/>
        </w:rPr>
        <w:t xml:space="preserve">. </w:t>
      </w:r>
    </w:p>
    <w:p w14:paraId="37ADD8A0" w14:textId="235C4B84" w:rsidR="00FF7482" w:rsidRDefault="00FF7482" w:rsidP="00816E4A">
      <w:pPr>
        <w:pStyle w:val="ListParagraph"/>
        <w:spacing w:after="0"/>
        <w:ind w:left="0" w:firstLine="720"/>
        <w:jc w:val="both"/>
        <w:rPr>
          <w:rFonts w:ascii="Times New Roman" w:hAnsi="Times New Roman" w:cs="Times New Roman"/>
          <w:sz w:val="24"/>
          <w:szCs w:val="24"/>
        </w:rPr>
      </w:pPr>
    </w:p>
    <w:p w14:paraId="26C9D52E" w14:textId="60A6DE15" w:rsidR="00FF7482" w:rsidRDefault="00FF7482" w:rsidP="000424E0">
      <w:pPr>
        <w:pStyle w:val="Heading2"/>
        <w:spacing w:before="0"/>
        <w:rPr>
          <w:rFonts w:ascii="Times New Roman" w:hAnsi="Times New Roman" w:cs="Times New Roman"/>
          <w:b/>
          <w:color w:val="auto"/>
          <w:sz w:val="28"/>
          <w:szCs w:val="28"/>
        </w:rPr>
      </w:pPr>
      <w:bookmarkStart w:id="999" w:name="_Toc75269425"/>
      <w:r w:rsidRPr="009917B9">
        <w:rPr>
          <w:rFonts w:ascii="Times New Roman" w:hAnsi="Times New Roman" w:cs="Times New Roman"/>
          <w:b/>
          <w:color w:val="auto"/>
          <w:sz w:val="28"/>
          <w:szCs w:val="28"/>
        </w:rPr>
        <w:t>Collateral Estoppel</w:t>
      </w:r>
      <w:r>
        <w:rPr>
          <w:rFonts w:ascii="Times New Roman" w:hAnsi="Times New Roman" w:cs="Times New Roman"/>
          <w:b/>
          <w:color w:val="auto"/>
          <w:sz w:val="28"/>
          <w:szCs w:val="28"/>
        </w:rPr>
        <w:t xml:space="preserve"> and Res Judicata</w:t>
      </w:r>
      <w:bookmarkEnd w:id="999"/>
    </w:p>
    <w:p w14:paraId="4B03351F" w14:textId="5519D155" w:rsidR="00FF7482" w:rsidRDefault="00FF7482" w:rsidP="009917B9">
      <w:pPr>
        <w:spacing w:after="0"/>
      </w:pPr>
    </w:p>
    <w:p w14:paraId="26EC65BF" w14:textId="2D9831B9" w:rsidR="00FF7482" w:rsidRPr="009917B9" w:rsidRDefault="00FF7482" w:rsidP="000424E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Because the medical condition of a human being is seldom static, issues at times arise as to whether and how prior legal determinations respecting work-related disability impact current legal determinations on the disability of the same claimant. </w:t>
      </w:r>
      <w:r w:rsidRPr="009917B9">
        <w:rPr>
          <w:rFonts w:ascii="Times New Roman" w:hAnsi="Times New Roman" w:cs="Times New Roman"/>
          <w:sz w:val="24"/>
          <w:szCs w:val="24"/>
        </w:rPr>
        <w:t>The doctrines of collateral estoppel</w:t>
      </w:r>
      <w:r w:rsidRPr="00910BB7">
        <w:rPr>
          <w:rFonts w:ascii="Times New Roman" w:hAnsi="Times New Roman" w:cs="Times New Roman"/>
          <w:sz w:val="24"/>
          <w:szCs w:val="24"/>
          <w:vertAlign w:val="superscript"/>
        </w:rPr>
        <w:footnoteReference w:id="711"/>
      </w:r>
      <w:r w:rsidRPr="009917B9">
        <w:rPr>
          <w:rFonts w:ascii="Times New Roman" w:hAnsi="Times New Roman" w:cs="Times New Roman"/>
          <w:sz w:val="24"/>
          <w:szCs w:val="24"/>
        </w:rPr>
        <w:t xml:space="preserve"> and res judicata</w:t>
      </w:r>
      <w:r w:rsidRPr="00910BB7">
        <w:rPr>
          <w:rFonts w:ascii="Times New Roman" w:hAnsi="Times New Roman" w:cs="Times New Roman"/>
          <w:sz w:val="24"/>
          <w:szCs w:val="24"/>
          <w:vertAlign w:val="superscript"/>
        </w:rPr>
        <w:footnoteReference w:id="712"/>
      </w:r>
      <w:r w:rsidRPr="009917B9">
        <w:rPr>
          <w:rFonts w:ascii="Times New Roman" w:hAnsi="Times New Roman" w:cs="Times New Roman"/>
          <w:sz w:val="24"/>
          <w:szCs w:val="24"/>
        </w:rPr>
        <w:t xml:space="preserve"> apply in the </w:t>
      </w:r>
      <w:r w:rsidRPr="009917B9">
        <w:rPr>
          <w:rFonts w:ascii="Times New Roman" w:hAnsi="Times New Roman" w:cs="Times New Roman"/>
          <w:sz w:val="24"/>
          <w:szCs w:val="24"/>
        </w:rPr>
        <w:lastRenderedPageBreak/>
        <w:t>administrative context.</w:t>
      </w:r>
      <w:r w:rsidRPr="00910BB7">
        <w:rPr>
          <w:rFonts w:ascii="Times New Roman" w:hAnsi="Times New Roman" w:cs="Times New Roman"/>
          <w:sz w:val="24"/>
          <w:szCs w:val="24"/>
          <w:vertAlign w:val="superscript"/>
        </w:rPr>
        <w:footnoteReference w:id="713"/>
      </w:r>
      <w:r w:rsidRPr="00910BB7">
        <w:rPr>
          <w:rFonts w:ascii="Times New Roman" w:hAnsi="Times New Roman" w:cs="Times New Roman"/>
          <w:sz w:val="24"/>
          <w:szCs w:val="24"/>
          <w:vertAlign w:val="superscript"/>
        </w:rPr>
        <w:t> </w:t>
      </w:r>
      <w:r>
        <w:rPr>
          <w:rFonts w:ascii="Times New Roman" w:hAnsi="Times New Roman" w:cs="Times New Roman"/>
          <w:sz w:val="24"/>
          <w:szCs w:val="24"/>
        </w:rPr>
        <w:t xml:space="preserve">The Wyoming Supreme </w:t>
      </w:r>
      <w:r w:rsidR="000424E0">
        <w:rPr>
          <w:rFonts w:ascii="Times New Roman" w:hAnsi="Times New Roman" w:cs="Times New Roman"/>
          <w:sz w:val="24"/>
          <w:szCs w:val="24"/>
        </w:rPr>
        <w:t>C</w:t>
      </w:r>
      <w:r>
        <w:rPr>
          <w:rFonts w:ascii="Times New Roman" w:hAnsi="Times New Roman" w:cs="Times New Roman"/>
          <w:sz w:val="24"/>
          <w:szCs w:val="24"/>
        </w:rPr>
        <w:t xml:space="preserve">ourt has noted that </w:t>
      </w:r>
      <w:r w:rsidRPr="009917B9">
        <w:rPr>
          <w:rFonts w:ascii="Times New Roman" w:hAnsi="Times New Roman" w:cs="Times New Roman"/>
          <w:sz w:val="24"/>
          <w:szCs w:val="24"/>
        </w:rPr>
        <w:t xml:space="preserve">although the doctrines are often used interchangeably, </w:t>
      </w:r>
      <w:r>
        <w:rPr>
          <w:rFonts w:ascii="Times New Roman" w:hAnsi="Times New Roman" w:cs="Times New Roman"/>
          <w:sz w:val="24"/>
          <w:szCs w:val="24"/>
        </w:rPr>
        <w:t>in Wyoming “</w:t>
      </w:r>
      <w:r w:rsidRPr="009917B9">
        <w:rPr>
          <w:rFonts w:ascii="Times New Roman" w:hAnsi="Times New Roman" w:cs="Times New Roman"/>
          <w:sz w:val="24"/>
          <w:szCs w:val="24"/>
        </w:rPr>
        <w:t>collateral estoppel is</w:t>
      </w:r>
      <w:r>
        <w:rPr>
          <w:rFonts w:ascii="Times New Roman" w:hAnsi="Times New Roman" w:cs="Times New Roman"/>
          <w:sz w:val="24"/>
          <w:szCs w:val="24"/>
        </w:rPr>
        <w:t xml:space="preserve"> deemed to be</w:t>
      </w:r>
      <w:r w:rsidRPr="009917B9">
        <w:rPr>
          <w:rFonts w:ascii="Times New Roman" w:hAnsi="Times New Roman" w:cs="Times New Roman"/>
          <w:sz w:val="24"/>
          <w:szCs w:val="24"/>
        </w:rPr>
        <w:t xml:space="preserve"> more often appropriately used in an administrative setting.</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14"/>
      </w:r>
      <w:r>
        <w:rPr>
          <w:rFonts w:ascii="Times New Roman" w:hAnsi="Times New Roman" w:cs="Times New Roman"/>
          <w:sz w:val="24"/>
          <w:szCs w:val="24"/>
        </w:rPr>
        <w:t xml:space="preserve"> Although many cases</w:t>
      </w:r>
      <w:r w:rsidRPr="009917B9">
        <w:rPr>
          <w:rFonts w:ascii="Times New Roman" w:hAnsi="Times New Roman" w:cs="Times New Roman"/>
          <w:sz w:val="24"/>
          <w:szCs w:val="24"/>
        </w:rPr>
        <w:t> </w:t>
      </w:r>
      <w:r w:rsidRPr="009917B9">
        <w:rPr>
          <w:rFonts w:ascii="Times New Roman" w:hAnsi="Times New Roman" w:cs="Times New Roman"/>
          <w:i/>
          <w:iCs/>
          <w:sz w:val="24"/>
          <w:szCs w:val="24"/>
        </w:rPr>
        <w:t>speak</w:t>
      </w:r>
      <w:r w:rsidRPr="009917B9">
        <w:rPr>
          <w:rFonts w:ascii="Times New Roman" w:hAnsi="Times New Roman" w:cs="Times New Roman"/>
          <w:sz w:val="24"/>
          <w:szCs w:val="24"/>
        </w:rPr>
        <w:t xml:space="preserve"> of res judicata in the administrative context, </w:t>
      </w:r>
      <w:r>
        <w:rPr>
          <w:rFonts w:ascii="Times New Roman" w:hAnsi="Times New Roman" w:cs="Times New Roman"/>
          <w:sz w:val="24"/>
          <w:szCs w:val="24"/>
        </w:rPr>
        <w:t xml:space="preserve">in practice </w:t>
      </w:r>
      <w:r w:rsidRPr="009917B9">
        <w:rPr>
          <w:rFonts w:ascii="Times New Roman" w:hAnsi="Times New Roman" w:cs="Times New Roman"/>
          <w:sz w:val="24"/>
          <w:szCs w:val="24"/>
        </w:rPr>
        <w:t xml:space="preserve">they </w:t>
      </w:r>
      <w:r w:rsidRPr="009917B9">
        <w:rPr>
          <w:rFonts w:ascii="Times New Roman" w:hAnsi="Times New Roman" w:cs="Times New Roman"/>
          <w:i/>
          <w:iCs/>
          <w:sz w:val="24"/>
          <w:szCs w:val="24"/>
        </w:rPr>
        <w:t>actually</w:t>
      </w:r>
      <w:r w:rsidRPr="009917B9">
        <w:rPr>
          <w:rFonts w:ascii="Times New Roman" w:hAnsi="Times New Roman" w:cs="Times New Roman"/>
          <w:sz w:val="24"/>
          <w:szCs w:val="24"/>
        </w:rPr>
        <w:t xml:space="preserve"> apply collateral estoppel</w:t>
      </w:r>
      <w:r>
        <w:rPr>
          <w:rFonts w:ascii="Times New Roman" w:hAnsi="Times New Roman" w:cs="Times New Roman"/>
          <w:sz w:val="24"/>
          <w:szCs w:val="24"/>
        </w:rPr>
        <w:t xml:space="preserve"> because the controversy in question concerned </w:t>
      </w:r>
      <w:r w:rsidRPr="00BD6DB5">
        <w:rPr>
          <w:rFonts w:ascii="Times New Roman" w:hAnsi="Times New Roman" w:cs="Times New Roman"/>
          <w:sz w:val="24"/>
          <w:szCs w:val="24"/>
        </w:rPr>
        <w:t xml:space="preserve">relitigation of previously litigated </w:t>
      </w:r>
      <w:r w:rsidRPr="00BD6DB5">
        <w:rPr>
          <w:rFonts w:ascii="Times New Roman" w:hAnsi="Times New Roman" w:cs="Times New Roman"/>
          <w:i/>
          <w:iCs/>
          <w:sz w:val="24"/>
          <w:szCs w:val="24"/>
        </w:rPr>
        <w:t>issues</w:t>
      </w:r>
      <w:r w:rsidRPr="009917B9">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15"/>
      </w:r>
      <w:r w:rsidRPr="00910BB7">
        <w:rPr>
          <w:rFonts w:ascii="Times New Roman" w:hAnsi="Times New Roman" w:cs="Times New Roman"/>
          <w:sz w:val="24"/>
          <w:szCs w:val="24"/>
          <w:vertAlign w:val="superscript"/>
        </w:rPr>
        <w:t> </w:t>
      </w:r>
      <w:r w:rsidRPr="009917B9">
        <w:rPr>
          <w:rFonts w:ascii="Times New Roman" w:hAnsi="Times New Roman" w:cs="Times New Roman"/>
          <w:sz w:val="24"/>
          <w:szCs w:val="24"/>
        </w:rPr>
        <w:t xml:space="preserve">Res judicata on the other hand bars relitigation of </w:t>
      </w:r>
      <w:r w:rsidRPr="009917B9">
        <w:rPr>
          <w:rFonts w:ascii="Times New Roman" w:hAnsi="Times New Roman" w:cs="Times New Roman"/>
          <w:i/>
          <w:iCs/>
          <w:sz w:val="24"/>
          <w:szCs w:val="24"/>
        </w:rPr>
        <w:t>previously litigated claims or</w:t>
      </w:r>
      <w:r w:rsidR="000424E0">
        <w:rPr>
          <w:rFonts w:ascii="Times New Roman" w:hAnsi="Times New Roman" w:cs="Times New Roman"/>
          <w:i/>
          <w:iCs/>
          <w:sz w:val="24"/>
          <w:szCs w:val="24"/>
        </w:rPr>
        <w:t xml:space="preserve"> </w:t>
      </w:r>
      <w:r w:rsidRPr="009917B9">
        <w:rPr>
          <w:rFonts w:ascii="Times New Roman" w:hAnsi="Times New Roman" w:cs="Times New Roman"/>
          <w:i/>
          <w:iCs/>
          <w:sz w:val="24"/>
          <w:szCs w:val="24"/>
        </w:rPr>
        <w:t>causes of action</w:t>
      </w:r>
      <w:r w:rsidRPr="009917B9">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16"/>
      </w:r>
      <w:r>
        <w:rPr>
          <w:rFonts w:ascii="Times New Roman" w:hAnsi="Times New Roman" w:cs="Times New Roman"/>
          <w:sz w:val="24"/>
          <w:szCs w:val="24"/>
        </w:rPr>
        <w:t xml:space="preserve"> According to the Wyoming Supreme Court,</w:t>
      </w:r>
      <w:r w:rsidRPr="009917B9">
        <w:rPr>
          <w:rFonts w:ascii="Times New Roman" w:hAnsi="Times New Roman" w:cs="Times New Roman"/>
          <w:sz w:val="24"/>
          <w:szCs w:val="24"/>
        </w:rPr>
        <w:t xml:space="preserve"> </w:t>
      </w:r>
      <w:r>
        <w:rPr>
          <w:rFonts w:ascii="Times New Roman" w:hAnsi="Times New Roman" w:cs="Times New Roman"/>
          <w:sz w:val="24"/>
          <w:szCs w:val="24"/>
        </w:rPr>
        <w:t>s</w:t>
      </w:r>
      <w:r w:rsidRPr="009917B9">
        <w:rPr>
          <w:rFonts w:ascii="Times New Roman" w:hAnsi="Times New Roman" w:cs="Times New Roman"/>
          <w:sz w:val="24"/>
          <w:szCs w:val="24"/>
        </w:rPr>
        <w:t>ince administrative decisions deal primarily with issues rather than causes of action or claims, collateral estoppel is the appropriate doctrine.</w:t>
      </w:r>
      <w:r w:rsidRPr="00910BB7">
        <w:rPr>
          <w:rFonts w:ascii="Times New Roman" w:hAnsi="Times New Roman" w:cs="Times New Roman"/>
          <w:sz w:val="24"/>
          <w:szCs w:val="24"/>
          <w:vertAlign w:val="superscript"/>
        </w:rPr>
        <w:footnoteReference w:id="717"/>
      </w:r>
      <w:r w:rsidRPr="009917B9">
        <w:rPr>
          <w:rFonts w:ascii="Times New Roman" w:hAnsi="Times New Roman" w:cs="Times New Roman"/>
          <w:sz w:val="24"/>
          <w:szCs w:val="24"/>
        </w:rPr>
        <w:t xml:space="preserve"> </w:t>
      </w:r>
    </w:p>
    <w:p w14:paraId="7D561590" w14:textId="77777777" w:rsidR="00FF7482" w:rsidRDefault="00FF7482" w:rsidP="009917B9">
      <w:pPr>
        <w:pStyle w:val="ListParagraph"/>
        <w:spacing w:after="0"/>
        <w:ind w:left="0" w:firstLine="720"/>
        <w:jc w:val="both"/>
        <w:rPr>
          <w:rFonts w:ascii="Times New Roman" w:hAnsi="Times New Roman" w:cs="Times New Roman"/>
          <w:sz w:val="24"/>
          <w:szCs w:val="24"/>
        </w:rPr>
      </w:pPr>
      <w:r w:rsidRPr="009917B9">
        <w:rPr>
          <w:rFonts w:ascii="Times New Roman" w:hAnsi="Times New Roman" w:cs="Times New Roman"/>
          <w:sz w:val="24"/>
          <w:szCs w:val="24"/>
        </w:rPr>
        <w:t> </w:t>
      </w:r>
    </w:p>
    <w:p w14:paraId="560814DF" w14:textId="0E3B0A6D" w:rsidR="00FF7482" w:rsidRPr="009917B9" w:rsidRDefault="00FF7482" w:rsidP="000424E0">
      <w:pPr>
        <w:pStyle w:val="ListParagraph"/>
        <w:spacing w:after="0"/>
        <w:ind w:left="0"/>
        <w:jc w:val="both"/>
        <w:rPr>
          <w:rFonts w:ascii="Times New Roman" w:hAnsi="Times New Roman" w:cs="Times New Roman"/>
          <w:sz w:val="24"/>
          <w:szCs w:val="24"/>
        </w:rPr>
      </w:pPr>
      <w:r w:rsidRPr="009917B9">
        <w:rPr>
          <w:rFonts w:ascii="Times New Roman" w:hAnsi="Times New Roman" w:cs="Times New Roman"/>
          <w:sz w:val="24"/>
          <w:szCs w:val="24"/>
        </w:rPr>
        <w:t xml:space="preserve">With regard to collateral estoppel, </w:t>
      </w:r>
      <w:r>
        <w:rPr>
          <w:rFonts w:ascii="Times New Roman" w:hAnsi="Times New Roman" w:cs="Times New Roman"/>
          <w:sz w:val="24"/>
          <w:szCs w:val="24"/>
        </w:rPr>
        <w:t>the Wyoming Supreme Court</w:t>
      </w:r>
      <w:r w:rsidRPr="009917B9">
        <w:rPr>
          <w:rFonts w:ascii="Times New Roman" w:hAnsi="Times New Roman" w:cs="Times New Roman"/>
          <w:sz w:val="24"/>
          <w:szCs w:val="24"/>
        </w:rPr>
        <w:t xml:space="preserve"> consider</w:t>
      </w:r>
      <w:r>
        <w:rPr>
          <w:rFonts w:ascii="Times New Roman" w:hAnsi="Times New Roman" w:cs="Times New Roman"/>
          <w:sz w:val="24"/>
          <w:szCs w:val="24"/>
        </w:rPr>
        <w:t>s</w:t>
      </w:r>
      <w:r w:rsidRPr="009917B9">
        <w:rPr>
          <w:rFonts w:ascii="Times New Roman" w:hAnsi="Times New Roman" w:cs="Times New Roman"/>
          <w:sz w:val="24"/>
          <w:szCs w:val="24"/>
        </w:rPr>
        <w:t xml:space="preserve"> four factors in determining whether the doctrine applies:</w:t>
      </w:r>
    </w:p>
    <w:p w14:paraId="0043C053" w14:textId="77777777" w:rsidR="00FF7482" w:rsidRDefault="00FF7482" w:rsidP="009917B9">
      <w:pPr>
        <w:pStyle w:val="ListParagraph"/>
        <w:spacing w:after="0"/>
        <w:ind w:left="0" w:firstLine="720"/>
        <w:jc w:val="both"/>
        <w:rPr>
          <w:rFonts w:ascii="Times New Roman" w:hAnsi="Times New Roman" w:cs="Times New Roman"/>
          <w:sz w:val="24"/>
          <w:szCs w:val="24"/>
        </w:rPr>
      </w:pPr>
    </w:p>
    <w:p w14:paraId="26CF5BA8" w14:textId="61E829C7" w:rsidR="00FF7482" w:rsidRPr="00C868D1" w:rsidRDefault="00FF7482" w:rsidP="000424E0">
      <w:pPr>
        <w:pStyle w:val="ListParagraph"/>
        <w:numPr>
          <w:ilvl w:val="0"/>
          <w:numId w:val="10"/>
        </w:numPr>
        <w:spacing w:after="0"/>
        <w:ind w:left="1123" w:hanging="403"/>
        <w:jc w:val="both"/>
        <w:rPr>
          <w:rFonts w:ascii="Times New Roman" w:hAnsi="Times New Roman" w:cs="Times New Roman"/>
          <w:b/>
          <w:bCs/>
          <w:sz w:val="24"/>
          <w:szCs w:val="24"/>
        </w:rPr>
      </w:pPr>
      <w:r w:rsidRPr="009917B9">
        <w:rPr>
          <w:rFonts w:ascii="Times New Roman" w:hAnsi="Times New Roman" w:cs="Times New Roman"/>
          <w:b/>
          <w:bCs/>
          <w:sz w:val="24"/>
          <w:szCs w:val="24"/>
        </w:rPr>
        <w:t xml:space="preserve">whether the issue decided in the prior adjudication was identical with the issue presented in the present action; </w:t>
      </w:r>
    </w:p>
    <w:p w14:paraId="39E6AF84" w14:textId="77777777" w:rsidR="00FF7482" w:rsidRPr="00C868D1" w:rsidRDefault="00FF7482" w:rsidP="00C868D1">
      <w:pPr>
        <w:pStyle w:val="ListParagraph"/>
        <w:spacing w:after="0"/>
        <w:ind w:left="1128"/>
        <w:jc w:val="both"/>
        <w:rPr>
          <w:rFonts w:ascii="Times New Roman" w:hAnsi="Times New Roman" w:cs="Times New Roman"/>
          <w:b/>
          <w:bCs/>
          <w:sz w:val="24"/>
          <w:szCs w:val="24"/>
        </w:rPr>
      </w:pPr>
    </w:p>
    <w:p w14:paraId="7C40A84F" w14:textId="25E0B442" w:rsidR="00FF7482" w:rsidRPr="00C868D1" w:rsidRDefault="00FF7482" w:rsidP="00EF1760">
      <w:pPr>
        <w:pStyle w:val="ListParagraph"/>
        <w:numPr>
          <w:ilvl w:val="0"/>
          <w:numId w:val="10"/>
        </w:numPr>
        <w:spacing w:after="0"/>
        <w:jc w:val="both"/>
        <w:rPr>
          <w:rFonts w:ascii="Times New Roman" w:hAnsi="Times New Roman" w:cs="Times New Roman"/>
          <w:b/>
          <w:bCs/>
          <w:sz w:val="24"/>
          <w:szCs w:val="24"/>
        </w:rPr>
      </w:pPr>
      <w:bookmarkStart w:id="1009" w:name="_Hlk11945855"/>
      <w:r w:rsidRPr="009917B9">
        <w:rPr>
          <w:rFonts w:ascii="Times New Roman" w:hAnsi="Times New Roman" w:cs="Times New Roman"/>
          <w:b/>
          <w:bCs/>
          <w:sz w:val="24"/>
          <w:szCs w:val="24"/>
        </w:rPr>
        <w:t>whether the prior adjudication resulted in a judgment on the merits</w:t>
      </w:r>
      <w:bookmarkEnd w:id="1009"/>
      <w:r w:rsidRPr="009917B9">
        <w:rPr>
          <w:rFonts w:ascii="Times New Roman" w:hAnsi="Times New Roman" w:cs="Times New Roman"/>
          <w:b/>
          <w:bCs/>
          <w:sz w:val="24"/>
          <w:szCs w:val="24"/>
        </w:rPr>
        <w:t xml:space="preserve">; </w:t>
      </w:r>
    </w:p>
    <w:p w14:paraId="504FF116" w14:textId="77777777" w:rsidR="00FF7482" w:rsidRPr="00C868D1" w:rsidRDefault="00FF7482" w:rsidP="00C868D1">
      <w:pPr>
        <w:pStyle w:val="ListParagraph"/>
        <w:spacing w:after="0"/>
        <w:ind w:left="1128"/>
        <w:jc w:val="both"/>
        <w:rPr>
          <w:rFonts w:ascii="Times New Roman" w:hAnsi="Times New Roman" w:cs="Times New Roman"/>
          <w:b/>
          <w:bCs/>
          <w:sz w:val="24"/>
          <w:szCs w:val="24"/>
        </w:rPr>
      </w:pPr>
    </w:p>
    <w:p w14:paraId="1791D8C7" w14:textId="5135FB12" w:rsidR="00FF7482" w:rsidRPr="00C868D1" w:rsidRDefault="00FF7482" w:rsidP="00EF1760">
      <w:pPr>
        <w:pStyle w:val="ListParagraph"/>
        <w:numPr>
          <w:ilvl w:val="0"/>
          <w:numId w:val="10"/>
        </w:numPr>
        <w:spacing w:after="0"/>
        <w:jc w:val="both"/>
        <w:rPr>
          <w:rFonts w:ascii="Times New Roman" w:hAnsi="Times New Roman" w:cs="Times New Roman"/>
          <w:b/>
          <w:bCs/>
          <w:sz w:val="24"/>
          <w:szCs w:val="24"/>
        </w:rPr>
      </w:pPr>
      <w:r w:rsidRPr="009917B9">
        <w:rPr>
          <w:rFonts w:ascii="Times New Roman" w:hAnsi="Times New Roman" w:cs="Times New Roman"/>
          <w:b/>
          <w:bCs/>
          <w:sz w:val="24"/>
          <w:szCs w:val="24"/>
        </w:rPr>
        <w:t xml:space="preserve">whether the party against whom collateral estoppel is asserted was a party or in privity with a party to the prior adjudication; and </w:t>
      </w:r>
    </w:p>
    <w:p w14:paraId="1EEDC4E5" w14:textId="77777777" w:rsidR="00FF7482" w:rsidRPr="00C868D1" w:rsidRDefault="00FF7482" w:rsidP="00C868D1">
      <w:pPr>
        <w:pStyle w:val="ListParagraph"/>
        <w:spacing w:after="0"/>
        <w:ind w:left="1128"/>
        <w:jc w:val="both"/>
        <w:rPr>
          <w:rFonts w:ascii="Times New Roman" w:hAnsi="Times New Roman" w:cs="Times New Roman"/>
          <w:b/>
          <w:bCs/>
          <w:sz w:val="24"/>
          <w:szCs w:val="24"/>
        </w:rPr>
      </w:pPr>
    </w:p>
    <w:p w14:paraId="0F15899A" w14:textId="15BBDD50" w:rsidR="00FF7482" w:rsidRPr="009917B9" w:rsidRDefault="00FF7482" w:rsidP="00EF1760">
      <w:pPr>
        <w:pStyle w:val="ListParagraph"/>
        <w:numPr>
          <w:ilvl w:val="0"/>
          <w:numId w:val="10"/>
        </w:numPr>
        <w:spacing w:after="0"/>
        <w:jc w:val="both"/>
        <w:rPr>
          <w:rFonts w:ascii="Times New Roman" w:hAnsi="Times New Roman" w:cs="Times New Roman"/>
          <w:b/>
          <w:bCs/>
          <w:sz w:val="24"/>
          <w:szCs w:val="24"/>
        </w:rPr>
      </w:pPr>
      <w:r w:rsidRPr="009917B9">
        <w:rPr>
          <w:rFonts w:ascii="Times New Roman" w:hAnsi="Times New Roman" w:cs="Times New Roman"/>
          <w:b/>
          <w:bCs/>
          <w:sz w:val="24"/>
          <w:szCs w:val="24"/>
        </w:rPr>
        <w:t>whether the party against whom collateral estoppel is asserted had a full and fair opportunity to litigate the issue in the prior proceeding.</w:t>
      </w:r>
      <w:r w:rsidRPr="00910BB7">
        <w:rPr>
          <w:rFonts w:ascii="Times New Roman" w:hAnsi="Times New Roman" w:cs="Times New Roman"/>
          <w:sz w:val="24"/>
          <w:szCs w:val="24"/>
          <w:vertAlign w:val="superscript"/>
        </w:rPr>
        <w:footnoteReference w:id="718"/>
      </w:r>
    </w:p>
    <w:p w14:paraId="4845FB36" w14:textId="77777777" w:rsidR="00FF7482" w:rsidRDefault="00FF7482" w:rsidP="00B401C1">
      <w:pPr>
        <w:pStyle w:val="ListParagraph"/>
        <w:spacing w:after="0"/>
        <w:ind w:left="0" w:firstLine="720"/>
        <w:jc w:val="both"/>
        <w:rPr>
          <w:rFonts w:ascii="Times New Roman" w:hAnsi="Times New Roman" w:cs="Times New Roman"/>
          <w:sz w:val="24"/>
          <w:szCs w:val="24"/>
        </w:rPr>
      </w:pPr>
    </w:p>
    <w:p w14:paraId="5A80995F" w14:textId="1C5838D8" w:rsidR="00FF7482" w:rsidRDefault="00FF7482" w:rsidP="000424E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To determine whether </w:t>
      </w:r>
      <w:r w:rsidRPr="00B401C1">
        <w:rPr>
          <w:rFonts w:ascii="Times New Roman" w:hAnsi="Times New Roman" w:cs="Times New Roman"/>
          <w:b/>
          <w:bCs/>
          <w:sz w:val="24"/>
          <w:szCs w:val="24"/>
          <w:u w:val="single"/>
        </w:rPr>
        <w:t>res judicata</w:t>
      </w:r>
      <w:r>
        <w:rPr>
          <w:rFonts w:ascii="Times New Roman" w:hAnsi="Times New Roman" w:cs="Times New Roman"/>
          <w:sz w:val="24"/>
          <w:szCs w:val="24"/>
        </w:rPr>
        <w:t xml:space="preserve"> applies, Wyoming court</w:t>
      </w:r>
      <w:r w:rsidR="000424E0">
        <w:rPr>
          <w:rFonts w:ascii="Times New Roman" w:hAnsi="Times New Roman" w:cs="Times New Roman"/>
          <w:sz w:val="24"/>
          <w:szCs w:val="24"/>
        </w:rPr>
        <w:t>s</w:t>
      </w:r>
      <w:r>
        <w:rPr>
          <w:rFonts w:ascii="Times New Roman" w:hAnsi="Times New Roman" w:cs="Times New Roman"/>
          <w:sz w:val="24"/>
          <w:szCs w:val="24"/>
        </w:rPr>
        <w:t xml:space="preserve"> analyze the following four factors:</w:t>
      </w:r>
    </w:p>
    <w:p w14:paraId="64024678" w14:textId="4656672C" w:rsidR="00FF7482" w:rsidRDefault="00FF7482" w:rsidP="009917B9">
      <w:pPr>
        <w:pStyle w:val="ListParagraph"/>
        <w:spacing w:after="0"/>
        <w:ind w:left="0" w:firstLine="720"/>
        <w:jc w:val="both"/>
        <w:rPr>
          <w:rFonts w:ascii="Times New Roman" w:hAnsi="Times New Roman" w:cs="Times New Roman"/>
          <w:sz w:val="24"/>
          <w:szCs w:val="24"/>
        </w:rPr>
      </w:pPr>
    </w:p>
    <w:p w14:paraId="06C8BF88" w14:textId="0862E0E6" w:rsidR="00FF7482" w:rsidRDefault="00FF7482" w:rsidP="00EF1760">
      <w:pPr>
        <w:pStyle w:val="ListParagraph"/>
        <w:numPr>
          <w:ilvl w:val="0"/>
          <w:numId w:val="11"/>
        </w:numPr>
        <w:spacing w:after="0"/>
        <w:jc w:val="both"/>
        <w:rPr>
          <w:rFonts w:ascii="Times New Roman" w:hAnsi="Times New Roman" w:cs="Times New Roman"/>
          <w:b/>
          <w:bCs/>
          <w:sz w:val="24"/>
          <w:szCs w:val="24"/>
        </w:rPr>
      </w:pPr>
      <w:r w:rsidRPr="00D05EDC">
        <w:rPr>
          <w:rFonts w:ascii="Times New Roman" w:hAnsi="Times New Roman" w:cs="Times New Roman"/>
          <w:b/>
          <w:bCs/>
          <w:sz w:val="24"/>
          <w:szCs w:val="24"/>
        </w:rPr>
        <w:t xml:space="preserve">identity in parties; </w:t>
      </w:r>
    </w:p>
    <w:p w14:paraId="545A8C61" w14:textId="77777777" w:rsidR="00FF7482" w:rsidRPr="00D05EDC" w:rsidRDefault="00FF7482" w:rsidP="00D05EDC">
      <w:pPr>
        <w:pStyle w:val="ListParagraph"/>
        <w:spacing w:after="0"/>
        <w:ind w:left="1128"/>
        <w:jc w:val="both"/>
        <w:rPr>
          <w:rFonts w:ascii="Times New Roman" w:hAnsi="Times New Roman" w:cs="Times New Roman"/>
          <w:b/>
          <w:bCs/>
          <w:sz w:val="24"/>
          <w:szCs w:val="24"/>
        </w:rPr>
      </w:pPr>
    </w:p>
    <w:p w14:paraId="6B5B4D49" w14:textId="30C84140" w:rsidR="00FF7482" w:rsidRDefault="00FF7482" w:rsidP="00EF1760">
      <w:pPr>
        <w:pStyle w:val="ListParagraph"/>
        <w:numPr>
          <w:ilvl w:val="0"/>
          <w:numId w:val="11"/>
        </w:numPr>
        <w:spacing w:after="0"/>
        <w:jc w:val="both"/>
        <w:rPr>
          <w:rFonts w:ascii="Times New Roman" w:hAnsi="Times New Roman" w:cs="Times New Roman"/>
          <w:b/>
          <w:bCs/>
          <w:sz w:val="24"/>
          <w:szCs w:val="24"/>
        </w:rPr>
      </w:pPr>
      <w:r w:rsidRPr="00D05EDC">
        <w:rPr>
          <w:rFonts w:ascii="Times New Roman" w:hAnsi="Times New Roman" w:cs="Times New Roman"/>
          <w:b/>
          <w:bCs/>
          <w:sz w:val="24"/>
          <w:szCs w:val="24"/>
        </w:rPr>
        <w:t xml:space="preserve">identity in subject matter; </w:t>
      </w:r>
    </w:p>
    <w:p w14:paraId="0D7C1031" w14:textId="77777777" w:rsidR="00FF7482" w:rsidRPr="00D05EDC" w:rsidRDefault="00FF7482" w:rsidP="00D05EDC">
      <w:pPr>
        <w:pStyle w:val="ListParagraph"/>
        <w:spacing w:after="0"/>
        <w:ind w:left="1128"/>
        <w:jc w:val="both"/>
        <w:rPr>
          <w:rFonts w:ascii="Times New Roman" w:hAnsi="Times New Roman" w:cs="Times New Roman"/>
          <w:b/>
          <w:bCs/>
          <w:sz w:val="24"/>
          <w:szCs w:val="24"/>
        </w:rPr>
      </w:pPr>
    </w:p>
    <w:p w14:paraId="36816E23" w14:textId="77777777" w:rsidR="00FF7482" w:rsidRDefault="00FF7482" w:rsidP="00EF1760">
      <w:pPr>
        <w:pStyle w:val="ListParagraph"/>
        <w:numPr>
          <w:ilvl w:val="0"/>
          <w:numId w:val="11"/>
        </w:numPr>
        <w:spacing w:after="0"/>
        <w:jc w:val="both"/>
        <w:rPr>
          <w:rFonts w:ascii="Times New Roman" w:hAnsi="Times New Roman" w:cs="Times New Roman"/>
          <w:b/>
          <w:bCs/>
          <w:sz w:val="24"/>
          <w:szCs w:val="24"/>
        </w:rPr>
      </w:pPr>
      <w:r w:rsidRPr="00D05EDC">
        <w:rPr>
          <w:rFonts w:ascii="Times New Roman" w:hAnsi="Times New Roman" w:cs="Times New Roman"/>
          <w:b/>
          <w:bCs/>
          <w:sz w:val="24"/>
          <w:szCs w:val="24"/>
        </w:rPr>
        <w:t>the issues are the same and relate to the subject matter; and</w:t>
      </w:r>
    </w:p>
    <w:p w14:paraId="691F5DCD" w14:textId="344E2F82" w:rsidR="00FF7482" w:rsidRDefault="00FF7482" w:rsidP="00D05EDC">
      <w:pPr>
        <w:pStyle w:val="ListParagraph"/>
        <w:spacing w:after="0"/>
        <w:ind w:left="1128"/>
        <w:jc w:val="both"/>
        <w:rPr>
          <w:rFonts w:ascii="Times New Roman" w:hAnsi="Times New Roman" w:cs="Times New Roman"/>
          <w:b/>
          <w:bCs/>
          <w:sz w:val="24"/>
          <w:szCs w:val="24"/>
        </w:rPr>
      </w:pPr>
      <w:r w:rsidRPr="00D05EDC">
        <w:rPr>
          <w:rFonts w:ascii="Times New Roman" w:hAnsi="Times New Roman" w:cs="Times New Roman"/>
          <w:b/>
          <w:bCs/>
          <w:sz w:val="24"/>
          <w:szCs w:val="24"/>
        </w:rPr>
        <w:t xml:space="preserve"> </w:t>
      </w:r>
    </w:p>
    <w:p w14:paraId="7BC0ED4E" w14:textId="519BF37A" w:rsidR="00FF7482" w:rsidRDefault="00FF7482" w:rsidP="00EF1760">
      <w:pPr>
        <w:pStyle w:val="ListParagraph"/>
        <w:numPr>
          <w:ilvl w:val="0"/>
          <w:numId w:val="11"/>
        </w:numPr>
        <w:spacing w:after="0"/>
        <w:jc w:val="both"/>
        <w:rPr>
          <w:rFonts w:ascii="Times New Roman" w:hAnsi="Times New Roman" w:cs="Times New Roman"/>
          <w:b/>
          <w:bCs/>
          <w:sz w:val="24"/>
          <w:szCs w:val="24"/>
        </w:rPr>
      </w:pPr>
      <w:r w:rsidRPr="00D05EDC">
        <w:rPr>
          <w:rFonts w:ascii="Times New Roman" w:hAnsi="Times New Roman" w:cs="Times New Roman"/>
          <w:b/>
          <w:bCs/>
          <w:sz w:val="24"/>
          <w:szCs w:val="24"/>
        </w:rPr>
        <w:lastRenderedPageBreak/>
        <w:t>the capacities of the persons are identical in reference to both the subject matter and the issues between them.</w:t>
      </w:r>
      <w:r w:rsidRPr="00910BB7">
        <w:rPr>
          <w:rFonts w:ascii="Times New Roman" w:hAnsi="Times New Roman" w:cs="Times New Roman"/>
          <w:sz w:val="24"/>
          <w:szCs w:val="24"/>
          <w:vertAlign w:val="superscript"/>
        </w:rPr>
        <w:footnoteReference w:id="719"/>
      </w:r>
    </w:p>
    <w:p w14:paraId="28BD5083" w14:textId="77777777" w:rsidR="00FF7482" w:rsidRPr="00D05EDC" w:rsidRDefault="00FF7482" w:rsidP="00D05EDC">
      <w:pPr>
        <w:pStyle w:val="ListParagraph"/>
        <w:rPr>
          <w:rFonts w:ascii="Times New Roman" w:hAnsi="Times New Roman" w:cs="Times New Roman"/>
          <w:b/>
          <w:bCs/>
          <w:sz w:val="24"/>
          <w:szCs w:val="24"/>
        </w:rPr>
      </w:pPr>
    </w:p>
    <w:p w14:paraId="5BCED48F" w14:textId="00964FFB" w:rsidR="00FF7482" w:rsidRDefault="00FF7482" w:rsidP="000424E0">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R</w:t>
      </w:r>
      <w:r w:rsidRPr="00D05EDC">
        <w:rPr>
          <w:rFonts w:ascii="Times New Roman" w:hAnsi="Times New Roman" w:cs="Times New Roman"/>
          <w:sz w:val="24"/>
          <w:szCs w:val="24"/>
        </w:rPr>
        <w:t xml:space="preserve">es judicata bars not just issues that were actually litigated in the prior action, but issues that </w:t>
      </w:r>
      <w:r w:rsidRPr="00D05EDC">
        <w:rPr>
          <w:rFonts w:ascii="Times New Roman" w:hAnsi="Times New Roman" w:cs="Times New Roman"/>
          <w:b/>
          <w:bCs/>
          <w:sz w:val="24"/>
          <w:szCs w:val="24"/>
        </w:rPr>
        <w:t>could have</w:t>
      </w:r>
      <w:r w:rsidRPr="00D05EDC">
        <w:rPr>
          <w:rFonts w:ascii="Times New Roman" w:hAnsi="Times New Roman" w:cs="Times New Roman"/>
          <w:sz w:val="24"/>
          <w:szCs w:val="24"/>
        </w:rPr>
        <w:t xml:space="preserve"> been raised in that action.</w:t>
      </w:r>
      <w:r w:rsidRPr="00910BB7">
        <w:rPr>
          <w:rFonts w:ascii="Times New Roman" w:hAnsi="Times New Roman" w:cs="Times New Roman"/>
          <w:sz w:val="24"/>
          <w:szCs w:val="24"/>
          <w:vertAlign w:val="superscript"/>
        </w:rPr>
        <w:footnoteReference w:id="720"/>
      </w:r>
    </w:p>
    <w:p w14:paraId="08119A3C" w14:textId="26569CD5" w:rsidR="00FF7482" w:rsidRDefault="00FF7482" w:rsidP="00D05EDC">
      <w:pPr>
        <w:pStyle w:val="ListParagraph"/>
        <w:spacing w:after="0"/>
        <w:ind w:left="0" w:firstLine="720"/>
        <w:jc w:val="both"/>
        <w:rPr>
          <w:rFonts w:ascii="Times New Roman" w:hAnsi="Times New Roman" w:cs="Times New Roman"/>
          <w:sz w:val="24"/>
          <w:szCs w:val="24"/>
        </w:rPr>
      </w:pPr>
    </w:p>
    <w:p w14:paraId="63CB5139" w14:textId="51A2E959" w:rsidR="00FF7482" w:rsidRDefault="00FF7482" w:rsidP="0068612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 difficulty with applying these concepts </w:t>
      </w:r>
      <w:r w:rsidR="00686127">
        <w:rPr>
          <w:rFonts w:ascii="Times New Roman" w:hAnsi="Times New Roman" w:cs="Times New Roman"/>
          <w:sz w:val="24"/>
          <w:szCs w:val="24"/>
        </w:rPr>
        <w:t xml:space="preserve">to </w:t>
      </w:r>
      <w:r>
        <w:rPr>
          <w:rFonts w:ascii="Times New Roman" w:hAnsi="Times New Roman" w:cs="Times New Roman"/>
          <w:sz w:val="24"/>
          <w:szCs w:val="24"/>
        </w:rPr>
        <w:t>workers’ compensation cases is that disability is ongoing and a workers’ compensation adjudication reflects disability at only one point in time. If the disability is sufficiently compelling—say a claimant is a double amputee who is adjudicated to be permanently disabled and in need of lifetime medical care—it may be perfectly clear that the initial adjudication will be all-encompassing. But this not always the case. Any one of the required elements of either the collateral estoppel or res judicata doctrines could impact a case in unpredictable ways.</w:t>
      </w:r>
    </w:p>
    <w:p w14:paraId="696CAC72" w14:textId="092090E0" w:rsidR="00FF7482" w:rsidRDefault="00FF7482" w:rsidP="00D05EDC">
      <w:pPr>
        <w:pStyle w:val="ListParagraph"/>
        <w:spacing w:after="0"/>
        <w:ind w:left="0" w:firstLine="720"/>
        <w:jc w:val="both"/>
        <w:rPr>
          <w:rFonts w:ascii="Times New Roman" w:hAnsi="Times New Roman" w:cs="Times New Roman"/>
          <w:sz w:val="24"/>
          <w:szCs w:val="24"/>
        </w:rPr>
      </w:pPr>
    </w:p>
    <w:p w14:paraId="0BB9BBE7" w14:textId="61F8D147" w:rsidR="00FF7482" w:rsidRDefault="00FF7482" w:rsidP="0068612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In </w:t>
      </w:r>
      <w:r w:rsidRPr="008B3190">
        <w:rPr>
          <w:rFonts w:ascii="Times New Roman" w:hAnsi="Times New Roman" w:cs="Times New Roman"/>
          <w:i/>
          <w:iCs/>
          <w:sz w:val="24"/>
          <w:szCs w:val="24"/>
        </w:rPr>
        <w:t>Porter v. Department of Workforce Services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21"/>
      </w:r>
      <w:r>
        <w:rPr>
          <w:rFonts w:ascii="Times New Roman" w:hAnsi="Times New Roman" w:cs="Times New Roman"/>
          <w:sz w:val="24"/>
          <w:szCs w:val="24"/>
        </w:rPr>
        <w:t xml:space="preserve"> for example, the Division denied a claim for benefits in August 2014.</w:t>
      </w:r>
      <w:r w:rsidRPr="00910BB7">
        <w:rPr>
          <w:rFonts w:ascii="Times New Roman" w:hAnsi="Times New Roman" w:cs="Times New Roman"/>
          <w:sz w:val="24"/>
          <w:szCs w:val="24"/>
          <w:vertAlign w:val="superscript"/>
        </w:rPr>
        <w:footnoteReference w:id="722"/>
      </w:r>
      <w:r>
        <w:rPr>
          <w:rFonts w:ascii="Times New Roman" w:hAnsi="Times New Roman" w:cs="Times New Roman"/>
          <w:sz w:val="24"/>
          <w:szCs w:val="24"/>
        </w:rPr>
        <w:t xml:space="preserve"> The claimant</w:t>
      </w:r>
      <w:r w:rsidRPr="008B3190">
        <w:rPr>
          <w:rFonts w:ascii="Times New Roman" w:hAnsi="Times New Roman" w:cs="Times New Roman"/>
          <w:sz w:val="24"/>
          <w:szCs w:val="24"/>
        </w:rPr>
        <w:t xml:space="preserve"> did not </w:t>
      </w:r>
      <w:r>
        <w:rPr>
          <w:rFonts w:ascii="Times New Roman" w:hAnsi="Times New Roman" w:cs="Times New Roman"/>
          <w:sz w:val="24"/>
          <w:szCs w:val="24"/>
        </w:rPr>
        <w:t>appeal the denial</w:t>
      </w:r>
      <w:r w:rsidRPr="008B3190">
        <w:rPr>
          <w:rFonts w:ascii="Times New Roman" w:hAnsi="Times New Roman" w:cs="Times New Roman"/>
          <w:sz w:val="24"/>
          <w:szCs w:val="24"/>
        </w:rPr>
        <w:t xml:space="preserve"> or request a hearing.</w:t>
      </w:r>
      <w:r w:rsidRPr="00910BB7">
        <w:rPr>
          <w:rFonts w:ascii="Times New Roman" w:hAnsi="Times New Roman" w:cs="Times New Roman"/>
          <w:sz w:val="24"/>
          <w:szCs w:val="24"/>
          <w:vertAlign w:val="superscript"/>
        </w:rPr>
        <w:footnoteReference w:id="723"/>
      </w:r>
      <w:r w:rsidRPr="008B3190">
        <w:rPr>
          <w:rFonts w:ascii="Times New Roman" w:hAnsi="Times New Roman" w:cs="Times New Roman"/>
          <w:sz w:val="24"/>
          <w:szCs w:val="24"/>
        </w:rPr>
        <w:t xml:space="preserve"> </w:t>
      </w:r>
      <w:r>
        <w:rPr>
          <w:rFonts w:ascii="Times New Roman" w:hAnsi="Times New Roman" w:cs="Times New Roman"/>
          <w:sz w:val="24"/>
          <w:szCs w:val="24"/>
        </w:rPr>
        <w:t>The claimant</w:t>
      </w:r>
      <w:r w:rsidRPr="008B3190">
        <w:rPr>
          <w:rFonts w:ascii="Times New Roman" w:hAnsi="Times New Roman" w:cs="Times New Roman"/>
          <w:sz w:val="24"/>
          <w:szCs w:val="24"/>
        </w:rPr>
        <w:t xml:space="preserve"> did, however, object</w:t>
      </w:r>
      <w:r>
        <w:rPr>
          <w:rFonts w:ascii="Times New Roman" w:hAnsi="Times New Roman" w:cs="Times New Roman"/>
          <w:sz w:val="24"/>
          <w:szCs w:val="24"/>
        </w:rPr>
        <w:t xml:space="preserve">, two months later, </w:t>
      </w:r>
      <w:r w:rsidRPr="008B3190">
        <w:rPr>
          <w:rFonts w:ascii="Times New Roman" w:hAnsi="Times New Roman" w:cs="Times New Roman"/>
          <w:sz w:val="24"/>
          <w:szCs w:val="24"/>
        </w:rPr>
        <w:t>to</w:t>
      </w:r>
      <w:r>
        <w:rPr>
          <w:rFonts w:ascii="Times New Roman" w:hAnsi="Times New Roman" w:cs="Times New Roman"/>
          <w:sz w:val="24"/>
          <w:szCs w:val="24"/>
        </w:rPr>
        <w:t xml:space="preserve"> the Division’s</w:t>
      </w:r>
      <w:r w:rsidRPr="008B3190">
        <w:rPr>
          <w:rFonts w:ascii="Times New Roman" w:hAnsi="Times New Roman" w:cs="Times New Roman"/>
          <w:sz w:val="24"/>
          <w:szCs w:val="24"/>
        </w:rPr>
        <w:t xml:space="preserve"> </w:t>
      </w:r>
      <w:r>
        <w:rPr>
          <w:rFonts w:ascii="Times New Roman" w:hAnsi="Times New Roman" w:cs="Times New Roman"/>
          <w:sz w:val="24"/>
          <w:szCs w:val="24"/>
        </w:rPr>
        <w:t>refusal to</w:t>
      </w:r>
      <w:r w:rsidRPr="008B3190">
        <w:rPr>
          <w:rFonts w:ascii="Times New Roman" w:hAnsi="Times New Roman" w:cs="Times New Roman"/>
          <w:sz w:val="24"/>
          <w:szCs w:val="24"/>
        </w:rPr>
        <w:t xml:space="preserve"> pay </w:t>
      </w:r>
      <w:r>
        <w:rPr>
          <w:rFonts w:ascii="Times New Roman" w:hAnsi="Times New Roman" w:cs="Times New Roman"/>
          <w:sz w:val="24"/>
          <w:szCs w:val="24"/>
        </w:rPr>
        <w:t>the</w:t>
      </w:r>
      <w:r w:rsidRPr="008B3190">
        <w:rPr>
          <w:rFonts w:ascii="Times New Roman" w:hAnsi="Times New Roman" w:cs="Times New Roman"/>
          <w:sz w:val="24"/>
          <w:szCs w:val="24"/>
        </w:rPr>
        <w:t xml:space="preserve"> costs related to an MRI of </w:t>
      </w:r>
      <w:r>
        <w:rPr>
          <w:rFonts w:ascii="Times New Roman" w:hAnsi="Times New Roman" w:cs="Times New Roman"/>
          <w:sz w:val="24"/>
          <w:szCs w:val="24"/>
        </w:rPr>
        <w:t>the</w:t>
      </w:r>
      <w:r w:rsidRPr="008B3190">
        <w:rPr>
          <w:rFonts w:ascii="Times New Roman" w:hAnsi="Times New Roman" w:cs="Times New Roman"/>
          <w:sz w:val="24"/>
          <w:szCs w:val="24"/>
        </w:rPr>
        <w:t xml:space="preserve"> left knee</w:t>
      </w:r>
      <w:r>
        <w:rPr>
          <w:rFonts w:ascii="Times New Roman" w:hAnsi="Times New Roman" w:cs="Times New Roman"/>
          <w:sz w:val="24"/>
          <w:szCs w:val="24"/>
        </w:rPr>
        <w:t xml:space="preserve"> that had been the subject of the original claim</w:t>
      </w:r>
      <w:r w:rsidRPr="008B3190">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24"/>
      </w:r>
      <w:r>
        <w:rPr>
          <w:rFonts w:ascii="Times New Roman" w:hAnsi="Times New Roman" w:cs="Times New Roman"/>
          <w:sz w:val="24"/>
          <w:szCs w:val="24"/>
        </w:rPr>
        <w:t xml:space="preserve"> The Office of Administrative Hearings upheld on summary judgment the denial of the Division’s denial, ruling that the claimant “</w:t>
      </w:r>
      <w:r w:rsidRPr="008A6A81">
        <w:rPr>
          <w:rFonts w:ascii="Times New Roman" w:hAnsi="Times New Roman" w:cs="Times New Roman"/>
          <w:sz w:val="24"/>
          <w:szCs w:val="24"/>
        </w:rPr>
        <w:t>could not challenge the denial of benefits for the MRI because she did not object to the Division’s August 2014 determination that her injury was not a work-related injury.</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25"/>
      </w:r>
      <w:r w:rsidRPr="008A6A81">
        <w:rPr>
          <w:rFonts w:ascii="Times New Roman" w:hAnsi="Times New Roman" w:cs="Times New Roman"/>
          <w:sz w:val="24"/>
          <w:szCs w:val="24"/>
        </w:rPr>
        <w:t xml:space="preserve"> </w:t>
      </w:r>
    </w:p>
    <w:p w14:paraId="5BB38329" w14:textId="77777777" w:rsidR="00FF7482" w:rsidRDefault="00FF7482" w:rsidP="00D05EDC">
      <w:pPr>
        <w:pStyle w:val="ListParagraph"/>
        <w:spacing w:after="0"/>
        <w:ind w:left="0" w:firstLine="720"/>
        <w:jc w:val="both"/>
        <w:rPr>
          <w:rFonts w:ascii="Times New Roman" w:hAnsi="Times New Roman" w:cs="Times New Roman"/>
          <w:sz w:val="24"/>
          <w:szCs w:val="24"/>
        </w:rPr>
      </w:pPr>
    </w:p>
    <w:p w14:paraId="4162845E" w14:textId="366C5075" w:rsidR="00FF7482" w:rsidRDefault="00FF7482" w:rsidP="0090561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On appeal from t</w:t>
      </w:r>
      <w:r w:rsidRPr="008A6A81">
        <w:rPr>
          <w:rFonts w:ascii="Times New Roman" w:hAnsi="Times New Roman" w:cs="Times New Roman"/>
          <w:sz w:val="24"/>
          <w:szCs w:val="24"/>
        </w:rPr>
        <w:t>he district court</w:t>
      </w:r>
      <w:r>
        <w:rPr>
          <w:rFonts w:ascii="Times New Roman" w:hAnsi="Times New Roman" w:cs="Times New Roman"/>
          <w:sz w:val="24"/>
          <w:szCs w:val="24"/>
        </w:rPr>
        <w:t>’s</w:t>
      </w:r>
      <w:r w:rsidRPr="008A6A81">
        <w:rPr>
          <w:rFonts w:ascii="Times New Roman" w:hAnsi="Times New Roman" w:cs="Times New Roman"/>
          <w:sz w:val="24"/>
          <w:szCs w:val="24"/>
        </w:rPr>
        <w:t xml:space="preserve"> affirm</w:t>
      </w:r>
      <w:r>
        <w:rPr>
          <w:rFonts w:ascii="Times New Roman" w:hAnsi="Times New Roman" w:cs="Times New Roman"/>
          <w:sz w:val="24"/>
          <w:szCs w:val="24"/>
        </w:rPr>
        <w:t>ance of</w:t>
      </w:r>
      <w:r w:rsidRPr="008A6A81">
        <w:rPr>
          <w:rFonts w:ascii="Times New Roman" w:hAnsi="Times New Roman" w:cs="Times New Roman"/>
          <w:sz w:val="24"/>
          <w:szCs w:val="24"/>
        </w:rPr>
        <w:t xml:space="preserve"> the OAH ruling</w:t>
      </w:r>
      <w:r>
        <w:rPr>
          <w:rFonts w:ascii="Times New Roman" w:hAnsi="Times New Roman" w:cs="Times New Roman"/>
          <w:sz w:val="24"/>
          <w:szCs w:val="24"/>
        </w:rPr>
        <w:t>, the Wyoming Supreme Court reversed.</w:t>
      </w:r>
      <w:r w:rsidRPr="00910BB7">
        <w:rPr>
          <w:rFonts w:ascii="Times New Roman" w:hAnsi="Times New Roman" w:cs="Times New Roman"/>
          <w:sz w:val="24"/>
          <w:szCs w:val="24"/>
          <w:vertAlign w:val="superscript"/>
        </w:rPr>
        <w:footnoteReference w:id="726"/>
      </w:r>
      <w:r>
        <w:rPr>
          <w:rFonts w:ascii="Times New Roman" w:hAnsi="Times New Roman" w:cs="Times New Roman"/>
          <w:sz w:val="24"/>
          <w:szCs w:val="24"/>
        </w:rPr>
        <w:t xml:space="preserve"> Framing the issue as whether the claimant “</w:t>
      </w:r>
      <w:r w:rsidRPr="00D871B6">
        <w:rPr>
          <w:rFonts w:ascii="Times New Roman" w:hAnsi="Times New Roman" w:cs="Times New Roman"/>
          <w:sz w:val="24"/>
          <w:szCs w:val="24"/>
        </w:rPr>
        <w:t>was collaterally estopped from challenging the Division’s October 2014 final determination because she failed to timely object to the Division’s August 2014 compensability determination</w:t>
      </w:r>
      <w:r>
        <w:rPr>
          <w:rFonts w:ascii="Times New Roman" w:hAnsi="Times New Roman" w:cs="Times New Roman"/>
          <w:sz w:val="24"/>
          <w:szCs w:val="24"/>
        </w:rPr>
        <w:t>,” the Court noted its extensive prior rulings that “</w:t>
      </w:r>
      <w:r w:rsidRPr="00D871B6">
        <w:rPr>
          <w:rFonts w:ascii="Times New Roman" w:hAnsi="Times New Roman" w:cs="Times New Roman"/>
          <w:sz w:val="24"/>
          <w:szCs w:val="24"/>
        </w:rPr>
        <w:t>an uncontested Division determination, either awarding or denying benefits, will not be given preclusive effect with respect to future determinations and objections.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27"/>
      </w:r>
      <w:r>
        <w:rPr>
          <w:rFonts w:ascii="Times New Roman" w:hAnsi="Times New Roman" w:cs="Times New Roman"/>
          <w:sz w:val="24"/>
          <w:szCs w:val="24"/>
        </w:rPr>
        <w:t xml:space="preserve"> The Division attempted to distinguish the prior rulings by arguing that </w:t>
      </w:r>
      <w:r w:rsidRPr="00D871B6">
        <w:rPr>
          <w:rFonts w:ascii="Times New Roman" w:hAnsi="Times New Roman" w:cs="Times New Roman"/>
          <w:sz w:val="24"/>
          <w:szCs w:val="24"/>
        </w:rPr>
        <w:t>the provision governing</w:t>
      </w:r>
      <w:r>
        <w:rPr>
          <w:rFonts w:ascii="Times New Roman" w:hAnsi="Times New Roman" w:cs="Times New Roman"/>
          <w:sz w:val="24"/>
          <w:szCs w:val="24"/>
        </w:rPr>
        <w:t xml:space="preserve"> </w:t>
      </w:r>
      <w:r w:rsidRPr="00D871B6">
        <w:rPr>
          <w:rFonts w:ascii="Times New Roman" w:hAnsi="Times New Roman" w:cs="Times New Roman"/>
          <w:sz w:val="24"/>
          <w:szCs w:val="24"/>
        </w:rPr>
        <w:t>initial compensability</w:t>
      </w:r>
      <w:r>
        <w:rPr>
          <w:rFonts w:ascii="Times New Roman" w:hAnsi="Times New Roman" w:cs="Times New Roman"/>
          <w:sz w:val="24"/>
          <w:szCs w:val="24"/>
        </w:rPr>
        <w:t xml:space="preserve"> </w:t>
      </w:r>
      <w:r w:rsidRPr="00D871B6">
        <w:rPr>
          <w:rFonts w:ascii="Times New Roman" w:hAnsi="Times New Roman" w:cs="Times New Roman"/>
          <w:sz w:val="24"/>
          <w:szCs w:val="24"/>
        </w:rPr>
        <w:t>reflect</w:t>
      </w:r>
      <w:r>
        <w:rPr>
          <w:rFonts w:ascii="Times New Roman" w:hAnsi="Times New Roman" w:cs="Times New Roman"/>
          <w:sz w:val="24"/>
          <w:szCs w:val="24"/>
        </w:rPr>
        <w:t>ed</w:t>
      </w:r>
      <w:r w:rsidRPr="00D871B6">
        <w:rPr>
          <w:rFonts w:ascii="Times New Roman" w:hAnsi="Times New Roman" w:cs="Times New Roman"/>
          <w:sz w:val="24"/>
          <w:szCs w:val="24"/>
        </w:rPr>
        <w:t xml:space="preserve"> an intention to treat the compensability </w:t>
      </w:r>
      <w:r w:rsidRPr="00D871B6">
        <w:rPr>
          <w:rFonts w:ascii="Times New Roman" w:hAnsi="Times New Roman" w:cs="Times New Roman"/>
          <w:sz w:val="24"/>
          <w:szCs w:val="24"/>
        </w:rPr>
        <w:lastRenderedPageBreak/>
        <w:t xml:space="preserve">determination as finally and fully litigated if a timely objection </w:t>
      </w:r>
      <w:r>
        <w:rPr>
          <w:rFonts w:ascii="Times New Roman" w:hAnsi="Times New Roman" w:cs="Times New Roman"/>
          <w:sz w:val="24"/>
          <w:szCs w:val="24"/>
        </w:rPr>
        <w:t>was</w:t>
      </w:r>
      <w:r w:rsidRPr="00D871B6">
        <w:rPr>
          <w:rFonts w:ascii="Times New Roman" w:hAnsi="Times New Roman" w:cs="Times New Roman"/>
          <w:sz w:val="24"/>
          <w:szCs w:val="24"/>
        </w:rPr>
        <w:t xml:space="preserve"> not made to </w:t>
      </w:r>
      <w:r w:rsidRPr="002C26D3">
        <w:rPr>
          <w:rFonts w:ascii="Times New Roman" w:hAnsi="Times New Roman" w:cs="Times New Roman"/>
          <w:i/>
          <w:iCs/>
          <w:sz w:val="24"/>
          <w:szCs w:val="24"/>
        </w:rPr>
        <w:t>that</w:t>
      </w:r>
      <w:r w:rsidRPr="00D871B6">
        <w:rPr>
          <w:rFonts w:ascii="Times New Roman" w:hAnsi="Times New Roman" w:cs="Times New Roman"/>
          <w:sz w:val="24"/>
          <w:szCs w:val="24"/>
        </w:rPr>
        <w:t xml:space="preserve"> determination.</w:t>
      </w:r>
      <w:r>
        <w:rPr>
          <w:rFonts w:ascii="Times New Roman" w:hAnsi="Times New Roman" w:cs="Times New Roman"/>
          <w:sz w:val="24"/>
          <w:szCs w:val="24"/>
        </w:rPr>
        <w:t xml:space="preserve"> The Court rejected the argument both because “</w:t>
      </w:r>
      <w:r w:rsidRPr="002C26D3">
        <w:rPr>
          <w:rFonts w:ascii="Times New Roman" w:hAnsi="Times New Roman" w:cs="Times New Roman"/>
          <w:sz w:val="24"/>
          <w:szCs w:val="24"/>
        </w:rPr>
        <w:t xml:space="preserve">the legislature expressed a clear intention to make the OAH or Medical Commission the </w:t>
      </w:r>
      <w:r>
        <w:rPr>
          <w:rFonts w:ascii="Times New Roman" w:hAnsi="Times New Roman" w:cs="Times New Roman"/>
          <w:sz w:val="24"/>
          <w:szCs w:val="24"/>
        </w:rPr>
        <w:t>‘</w:t>
      </w:r>
      <w:r w:rsidRPr="002C26D3">
        <w:rPr>
          <w:rFonts w:ascii="Times New Roman" w:hAnsi="Times New Roman" w:cs="Times New Roman"/>
          <w:sz w:val="24"/>
          <w:szCs w:val="24"/>
        </w:rPr>
        <w:t>court of competent jurisdiction</w:t>
      </w:r>
      <w:r>
        <w:rPr>
          <w:rFonts w:ascii="Times New Roman" w:hAnsi="Times New Roman" w:cs="Times New Roman"/>
          <w:sz w:val="24"/>
          <w:szCs w:val="24"/>
        </w:rPr>
        <w:t>’</w:t>
      </w:r>
      <w:r w:rsidRPr="002C26D3">
        <w:rPr>
          <w:rFonts w:ascii="Times New Roman" w:hAnsi="Times New Roman" w:cs="Times New Roman"/>
          <w:sz w:val="24"/>
          <w:szCs w:val="24"/>
        </w:rPr>
        <w:t xml:space="preserve"> for these determinations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28"/>
      </w:r>
      <w:r>
        <w:rPr>
          <w:rFonts w:ascii="Times New Roman" w:hAnsi="Times New Roman" w:cs="Times New Roman"/>
          <w:sz w:val="24"/>
          <w:szCs w:val="24"/>
        </w:rPr>
        <w:t xml:space="preserve"> and also because “</w:t>
      </w:r>
      <w:r w:rsidRPr="002C26D3">
        <w:rPr>
          <w:rFonts w:ascii="Times New Roman" w:hAnsi="Times New Roman" w:cs="Times New Roman"/>
          <w:sz w:val="24"/>
          <w:szCs w:val="24"/>
        </w:rPr>
        <w:t>the preclusive effect of the Division’s determination</w:t>
      </w:r>
      <w:r>
        <w:rPr>
          <w:rFonts w:ascii="Times New Roman" w:hAnsi="Times New Roman" w:cs="Times New Roman"/>
          <w:sz w:val="24"/>
          <w:szCs w:val="24"/>
        </w:rPr>
        <w:t xml:space="preserve"> . . . </w:t>
      </w:r>
      <w:r w:rsidRPr="002C26D3">
        <w:rPr>
          <w:rFonts w:ascii="Times New Roman" w:hAnsi="Times New Roman" w:cs="Times New Roman"/>
          <w:sz w:val="24"/>
          <w:szCs w:val="24"/>
        </w:rPr>
        <w:t>makes sense in light of the purpose served by the principle of collateral estoppel</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29"/>
      </w:r>
      <w:r>
        <w:rPr>
          <w:rFonts w:ascii="Times New Roman" w:hAnsi="Times New Roman" w:cs="Times New Roman"/>
          <w:sz w:val="24"/>
          <w:szCs w:val="24"/>
        </w:rPr>
        <w:t xml:space="preserve"> Simply put, </w:t>
      </w:r>
      <w:r w:rsidRPr="002C26D3">
        <w:rPr>
          <w:rFonts w:ascii="Times New Roman" w:hAnsi="Times New Roman" w:cs="Times New Roman"/>
          <w:sz w:val="24"/>
          <w:szCs w:val="24"/>
        </w:rPr>
        <w:t>the</w:t>
      </w:r>
      <w:r>
        <w:rPr>
          <w:rFonts w:ascii="Times New Roman" w:hAnsi="Times New Roman" w:cs="Times New Roman"/>
          <w:sz w:val="24"/>
          <w:szCs w:val="24"/>
        </w:rPr>
        <w:t xml:space="preserve"> refusal to object was not a</w:t>
      </w:r>
      <w:r w:rsidRPr="002C26D3">
        <w:rPr>
          <w:rFonts w:ascii="Times New Roman" w:hAnsi="Times New Roman" w:cs="Times New Roman"/>
          <w:sz w:val="24"/>
          <w:szCs w:val="24"/>
        </w:rPr>
        <w:t xml:space="preserve"> </w:t>
      </w:r>
      <w:r>
        <w:rPr>
          <w:rFonts w:ascii="Times New Roman" w:hAnsi="Times New Roman" w:cs="Times New Roman"/>
          <w:sz w:val="24"/>
          <w:szCs w:val="24"/>
        </w:rPr>
        <w:t>“</w:t>
      </w:r>
      <w:r w:rsidRPr="002C26D3">
        <w:rPr>
          <w:rFonts w:ascii="Times New Roman" w:hAnsi="Times New Roman" w:cs="Times New Roman"/>
          <w:sz w:val="24"/>
          <w:szCs w:val="24"/>
        </w:rPr>
        <w:t>prior adjudication</w:t>
      </w:r>
      <w:r>
        <w:rPr>
          <w:rFonts w:ascii="Times New Roman" w:hAnsi="Times New Roman" w:cs="Times New Roman"/>
          <w:sz w:val="24"/>
          <w:szCs w:val="24"/>
        </w:rPr>
        <w:t xml:space="preserve"> [that]</w:t>
      </w:r>
      <w:r w:rsidRPr="002C26D3">
        <w:rPr>
          <w:rFonts w:ascii="Times New Roman" w:hAnsi="Times New Roman" w:cs="Times New Roman"/>
          <w:sz w:val="24"/>
          <w:szCs w:val="24"/>
        </w:rPr>
        <w:t xml:space="preserve"> resulted in a judgment on the merits</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30"/>
      </w:r>
    </w:p>
    <w:p w14:paraId="6A14E123" w14:textId="04C82DA9" w:rsidR="00FF7482" w:rsidRDefault="00FF7482" w:rsidP="00D05EDC">
      <w:pPr>
        <w:pStyle w:val="ListParagraph"/>
        <w:spacing w:after="0"/>
        <w:ind w:left="0" w:firstLine="720"/>
        <w:jc w:val="both"/>
        <w:rPr>
          <w:rFonts w:ascii="Times New Roman" w:hAnsi="Times New Roman" w:cs="Times New Roman"/>
          <w:sz w:val="24"/>
          <w:szCs w:val="24"/>
        </w:rPr>
      </w:pPr>
    </w:p>
    <w:p w14:paraId="0E8C5B87" w14:textId="14677DC3" w:rsidR="00FF7482" w:rsidRDefault="00FF7482" w:rsidP="00C92ED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But just as the Division’s uncontested </w:t>
      </w:r>
      <w:r w:rsidRPr="009439CC">
        <w:rPr>
          <w:rFonts w:ascii="Times New Roman" w:hAnsi="Times New Roman" w:cs="Times New Roman"/>
          <w:i/>
          <w:iCs/>
          <w:sz w:val="24"/>
          <w:szCs w:val="24"/>
        </w:rPr>
        <w:t>denial</w:t>
      </w:r>
      <w:r>
        <w:rPr>
          <w:rFonts w:ascii="Times New Roman" w:hAnsi="Times New Roman" w:cs="Times New Roman"/>
          <w:sz w:val="24"/>
          <w:szCs w:val="24"/>
        </w:rPr>
        <w:t xml:space="preserve"> of benefits is not entitled to preclusive effect under collateral estoppel principles, neither is its uncontested </w:t>
      </w:r>
      <w:r w:rsidRPr="009439CC">
        <w:rPr>
          <w:rFonts w:ascii="Times New Roman" w:hAnsi="Times New Roman" w:cs="Times New Roman"/>
          <w:i/>
          <w:iCs/>
          <w:sz w:val="24"/>
          <w:szCs w:val="24"/>
        </w:rPr>
        <w:t>award</w:t>
      </w:r>
      <w:r>
        <w:rPr>
          <w:rFonts w:ascii="Times New Roman" w:hAnsi="Times New Roman" w:cs="Times New Roman"/>
          <w:sz w:val="24"/>
          <w:szCs w:val="24"/>
        </w:rPr>
        <w:t xml:space="preserve"> of benefits entitled to such effect. In </w:t>
      </w:r>
      <w:r w:rsidRPr="009439CC">
        <w:rPr>
          <w:rFonts w:ascii="Times New Roman" w:hAnsi="Times New Roman" w:cs="Times New Roman"/>
          <w:i/>
          <w:iCs/>
          <w:sz w:val="24"/>
          <w:szCs w:val="24"/>
        </w:rPr>
        <w:t>Matter of Claim of Hood</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31"/>
      </w:r>
      <w:r>
        <w:rPr>
          <w:rFonts w:ascii="Times New Roman" w:hAnsi="Times New Roman" w:cs="Times New Roman"/>
          <w:sz w:val="24"/>
          <w:szCs w:val="24"/>
        </w:rPr>
        <w:t xml:space="preserve"> the Wyoming Supreme Court upheld the Medical Commission’s determination that a claimant had not proven that a 2013 need for back surgery was directly related to a 2008 neck injury and resulting surgery.</w:t>
      </w:r>
      <w:r w:rsidRPr="00910BB7">
        <w:rPr>
          <w:rFonts w:ascii="Times New Roman" w:hAnsi="Times New Roman" w:cs="Times New Roman"/>
          <w:sz w:val="24"/>
          <w:szCs w:val="24"/>
          <w:vertAlign w:val="superscript"/>
        </w:rPr>
        <w:footnoteReference w:id="732"/>
      </w:r>
      <w:r>
        <w:rPr>
          <w:rFonts w:ascii="Times New Roman" w:hAnsi="Times New Roman" w:cs="Times New Roman"/>
          <w:sz w:val="24"/>
          <w:szCs w:val="24"/>
        </w:rPr>
        <w:t xml:space="preserve"> Subsequent to the neck surgery, a fusion, the claimant suffered from repeated syncopal episodes.</w:t>
      </w:r>
      <w:r w:rsidRPr="00910BB7">
        <w:rPr>
          <w:rFonts w:ascii="Times New Roman" w:hAnsi="Times New Roman" w:cs="Times New Roman"/>
          <w:sz w:val="24"/>
          <w:szCs w:val="24"/>
          <w:vertAlign w:val="superscript"/>
        </w:rPr>
        <w:footnoteReference w:id="733"/>
      </w:r>
      <w:r>
        <w:rPr>
          <w:rFonts w:ascii="Times New Roman" w:hAnsi="Times New Roman" w:cs="Times New Roman"/>
          <w:sz w:val="24"/>
          <w:szCs w:val="24"/>
        </w:rPr>
        <w:t xml:space="preserve"> “[T]</w:t>
      </w:r>
      <w:r w:rsidRPr="00BC6273">
        <w:rPr>
          <w:rFonts w:ascii="Times New Roman" w:hAnsi="Times New Roman" w:cs="Times New Roman"/>
          <w:sz w:val="24"/>
          <w:szCs w:val="24"/>
        </w:rPr>
        <w:t xml:space="preserve">he Division paid for all of the treatment </w:t>
      </w:r>
      <w:r>
        <w:rPr>
          <w:rFonts w:ascii="Times New Roman" w:hAnsi="Times New Roman" w:cs="Times New Roman"/>
          <w:sz w:val="24"/>
          <w:szCs w:val="24"/>
        </w:rPr>
        <w:t>[the claimant]</w:t>
      </w:r>
      <w:r w:rsidRPr="00BC6273">
        <w:rPr>
          <w:rFonts w:ascii="Times New Roman" w:hAnsi="Times New Roman" w:cs="Times New Roman"/>
          <w:sz w:val="24"/>
          <w:szCs w:val="24"/>
        </w:rPr>
        <w:t xml:space="preserve"> received for injuries suffered when he passed out and fell, and it paid for all of the diagnostic tests and evaluations conducted in an attempt to determine the cause of the syncope.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34"/>
      </w:r>
      <w:r>
        <w:rPr>
          <w:rFonts w:ascii="Times New Roman" w:hAnsi="Times New Roman" w:cs="Times New Roman"/>
          <w:sz w:val="24"/>
          <w:szCs w:val="24"/>
        </w:rPr>
        <w:t xml:space="preserve"> The claimant alleged that he suffered a lower back injury from one of the episodes in about February 2013 and in August 2013 the claimant sought authorization from the Division to have surgery performed in connection with the lower back injury.</w:t>
      </w:r>
      <w:r w:rsidRPr="00910BB7">
        <w:rPr>
          <w:rFonts w:ascii="Times New Roman" w:hAnsi="Times New Roman" w:cs="Times New Roman"/>
          <w:sz w:val="24"/>
          <w:szCs w:val="24"/>
          <w:vertAlign w:val="superscript"/>
        </w:rPr>
        <w:footnoteReference w:id="735"/>
      </w:r>
      <w:r>
        <w:rPr>
          <w:rFonts w:ascii="Times New Roman" w:hAnsi="Times New Roman" w:cs="Times New Roman"/>
          <w:sz w:val="24"/>
          <w:szCs w:val="24"/>
        </w:rPr>
        <w:t xml:space="preserve"> After physicians failed to identify the cause of the syncopal episodes, the Division denied payment for the lower back surgery.</w:t>
      </w:r>
      <w:r w:rsidRPr="00910BB7">
        <w:rPr>
          <w:rFonts w:ascii="Times New Roman" w:hAnsi="Times New Roman" w:cs="Times New Roman"/>
          <w:sz w:val="24"/>
          <w:szCs w:val="24"/>
          <w:vertAlign w:val="superscript"/>
        </w:rPr>
        <w:footnoteReference w:id="736"/>
      </w:r>
      <w:r>
        <w:rPr>
          <w:rFonts w:ascii="Times New Roman" w:hAnsi="Times New Roman" w:cs="Times New Roman"/>
          <w:sz w:val="24"/>
          <w:szCs w:val="24"/>
        </w:rPr>
        <w:t xml:space="preserve"> The Medical Commission upheld the denial because medical causation was not established.</w:t>
      </w:r>
      <w:r w:rsidRPr="00910BB7">
        <w:rPr>
          <w:rFonts w:ascii="Times New Roman" w:hAnsi="Times New Roman" w:cs="Times New Roman"/>
          <w:sz w:val="24"/>
          <w:szCs w:val="24"/>
          <w:vertAlign w:val="superscript"/>
        </w:rPr>
        <w:footnoteReference w:id="737"/>
      </w:r>
      <w:r>
        <w:rPr>
          <w:rFonts w:ascii="Times New Roman" w:hAnsi="Times New Roman" w:cs="Times New Roman"/>
          <w:sz w:val="24"/>
          <w:szCs w:val="24"/>
        </w:rPr>
        <w:t xml:space="preserve"> Responding to the claimant’s contention that the Division was estopped from denying his claim in light of its earlier payments, the Wyoming Supreme Court quoted a passage from its opinion in </w:t>
      </w:r>
      <w:r w:rsidRPr="00DE0F6B">
        <w:rPr>
          <w:rFonts w:ascii="Times New Roman" w:hAnsi="Times New Roman" w:cs="Times New Roman"/>
          <w:i/>
          <w:iCs/>
          <w:sz w:val="24"/>
          <w:szCs w:val="24"/>
        </w:rPr>
        <w:t>Jacobs v. Workers’ Safety &amp; Comp. Div</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38"/>
      </w:r>
      <w:r>
        <w:rPr>
          <w:rFonts w:ascii="Times New Roman" w:hAnsi="Times New Roman" w:cs="Times New Roman"/>
          <w:sz w:val="24"/>
          <w:szCs w:val="24"/>
        </w:rPr>
        <w:t xml:space="preserve">  </w:t>
      </w:r>
    </w:p>
    <w:p w14:paraId="651E4C30" w14:textId="77777777" w:rsidR="00FF7482" w:rsidRDefault="00FF7482" w:rsidP="00024707">
      <w:pPr>
        <w:pStyle w:val="ListParagraph"/>
        <w:spacing w:after="0"/>
        <w:ind w:right="720"/>
        <w:jc w:val="both"/>
        <w:rPr>
          <w:rFonts w:ascii="Times New Roman" w:hAnsi="Times New Roman" w:cs="Times New Roman"/>
          <w:sz w:val="24"/>
          <w:szCs w:val="24"/>
        </w:rPr>
      </w:pPr>
    </w:p>
    <w:p w14:paraId="73263458" w14:textId="1D35A9BC" w:rsidR="00FF7482" w:rsidRDefault="00FF7482" w:rsidP="00477822">
      <w:pPr>
        <w:pStyle w:val="ListParagraph"/>
        <w:spacing w:after="0"/>
        <w:ind w:right="720"/>
        <w:jc w:val="both"/>
        <w:rPr>
          <w:rFonts w:ascii="Times New Roman" w:hAnsi="Times New Roman" w:cs="Times New Roman"/>
          <w:sz w:val="24"/>
          <w:szCs w:val="24"/>
        </w:rPr>
      </w:pPr>
      <w:r w:rsidRPr="00024707">
        <w:rPr>
          <w:rFonts w:ascii="Times New Roman" w:hAnsi="Times New Roman" w:cs="Times New Roman"/>
          <w:sz w:val="24"/>
          <w:szCs w:val="24"/>
        </w:rPr>
        <w:t>The Division’s uncontested award of benefits is not a final adjudication that precludes the Division from challenging future benefits</w:t>
      </w:r>
      <w:r>
        <w:rPr>
          <w:rFonts w:ascii="Times New Roman" w:hAnsi="Times New Roman" w:cs="Times New Roman"/>
          <w:sz w:val="24"/>
          <w:szCs w:val="24"/>
        </w:rPr>
        <w:t xml:space="preserve"> . . . </w:t>
      </w:r>
      <w:r w:rsidRPr="00024707">
        <w:rPr>
          <w:rFonts w:ascii="Times New Roman" w:hAnsi="Times New Roman" w:cs="Times New Roman"/>
          <w:sz w:val="24"/>
          <w:szCs w:val="24"/>
        </w:rPr>
        <w:t xml:space="preserve">The statutory language of the Wyoming Workers’ Compensation Act confers finality on the benefits paid to the employee through uncontested determinations, subject to </w:t>
      </w:r>
      <w:r>
        <w:rPr>
          <w:rFonts w:ascii="Times New Roman" w:hAnsi="Times New Roman" w:cs="Times New Roman"/>
          <w:sz w:val="24"/>
          <w:szCs w:val="24"/>
        </w:rPr>
        <w:t>[certain statutory]</w:t>
      </w:r>
      <w:r w:rsidRPr="00024707">
        <w:rPr>
          <w:rFonts w:ascii="Times New Roman" w:hAnsi="Times New Roman" w:cs="Times New Roman"/>
          <w:sz w:val="24"/>
          <w:szCs w:val="24"/>
        </w:rPr>
        <w:t xml:space="preserve"> exceptions. The statutory language, however, does not </w:t>
      </w:r>
      <w:r w:rsidRPr="00024707">
        <w:rPr>
          <w:rFonts w:ascii="Times New Roman" w:hAnsi="Times New Roman" w:cs="Times New Roman"/>
          <w:sz w:val="24"/>
          <w:szCs w:val="24"/>
        </w:rPr>
        <w:lastRenderedPageBreak/>
        <w:t>guarantee a claimant future benefits on the basis of a</w:t>
      </w:r>
      <w:r>
        <w:rPr>
          <w:rFonts w:ascii="Times New Roman" w:hAnsi="Times New Roman" w:cs="Times New Roman"/>
          <w:sz w:val="24"/>
          <w:szCs w:val="24"/>
        </w:rPr>
        <w:t xml:space="preserve"> . . . </w:t>
      </w:r>
      <w:r w:rsidRPr="00024707">
        <w:rPr>
          <w:rFonts w:ascii="Times New Roman" w:hAnsi="Times New Roman" w:cs="Times New Roman"/>
          <w:sz w:val="24"/>
          <w:szCs w:val="24"/>
        </w:rPr>
        <w:t>prior award nor does public policy favor the payment of an unjustified worker’s compensation claim</w:t>
      </w:r>
      <w:r>
        <w:rPr>
          <w:rFonts w:ascii="Times New Roman" w:hAnsi="Times New Roman" w:cs="Times New Roman"/>
          <w:sz w:val="24"/>
          <w:szCs w:val="24"/>
        </w:rPr>
        <w:t xml:space="preserve">. . . </w:t>
      </w:r>
      <w:r w:rsidRPr="00024707">
        <w:rPr>
          <w:rFonts w:ascii="Times New Roman" w:hAnsi="Times New Roman" w:cs="Times New Roman"/>
          <w:sz w:val="24"/>
          <w:szCs w:val="24"/>
        </w:rPr>
        <w:t>Therefore, an employee/claimant must prove that he was entitled to receive benefits for all outstanding claims despite previous awards for the same injury.</w:t>
      </w:r>
      <w:r w:rsidRPr="00910BB7">
        <w:rPr>
          <w:rFonts w:ascii="Times New Roman" w:hAnsi="Times New Roman" w:cs="Times New Roman"/>
          <w:sz w:val="24"/>
          <w:szCs w:val="24"/>
          <w:vertAlign w:val="superscript"/>
        </w:rPr>
        <w:footnoteReference w:id="739"/>
      </w:r>
    </w:p>
    <w:p w14:paraId="15370F76" w14:textId="7C58E5C0" w:rsidR="00FF7482" w:rsidRDefault="00FF7482" w:rsidP="00024707">
      <w:pPr>
        <w:pStyle w:val="ListParagraph"/>
        <w:spacing w:after="0"/>
        <w:ind w:right="720"/>
        <w:jc w:val="both"/>
        <w:rPr>
          <w:rFonts w:ascii="Times New Roman" w:hAnsi="Times New Roman" w:cs="Times New Roman"/>
          <w:sz w:val="24"/>
          <w:szCs w:val="24"/>
        </w:rPr>
      </w:pPr>
    </w:p>
    <w:p w14:paraId="4A0C5F02" w14:textId="11AEA28B" w:rsidR="00FF7482" w:rsidRDefault="00FF7482" w:rsidP="0047782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These cases bear a certain relationship to cases from other states, notably Massachusetts</w:t>
      </w:r>
      <w:r w:rsidRPr="00910BB7">
        <w:rPr>
          <w:rFonts w:ascii="Times New Roman" w:hAnsi="Times New Roman" w:cs="Times New Roman"/>
          <w:sz w:val="24"/>
          <w:szCs w:val="24"/>
          <w:vertAlign w:val="superscript"/>
        </w:rPr>
        <w:footnoteReference w:id="740"/>
      </w:r>
      <w:r>
        <w:rPr>
          <w:rFonts w:ascii="Times New Roman" w:hAnsi="Times New Roman" w:cs="Times New Roman"/>
          <w:sz w:val="24"/>
          <w:szCs w:val="24"/>
        </w:rPr>
        <w:t xml:space="preserve"> and Vermont</w:t>
      </w:r>
      <w:r w:rsidRPr="00910BB7">
        <w:rPr>
          <w:rFonts w:ascii="Times New Roman" w:hAnsi="Times New Roman" w:cs="Times New Roman"/>
          <w:sz w:val="24"/>
          <w:szCs w:val="24"/>
          <w:vertAlign w:val="superscript"/>
        </w:rPr>
        <w:footnoteReference w:id="741"/>
      </w:r>
      <w:r>
        <w:rPr>
          <w:rFonts w:ascii="Times New Roman" w:hAnsi="Times New Roman" w:cs="Times New Roman"/>
          <w:sz w:val="24"/>
          <w:szCs w:val="24"/>
        </w:rPr>
        <w:t>, in which insurance carriers and employers are authorized to pay claims preliminarily “without prejudice.” Early payment of such claims does not estop the payors from later merits challenges.</w:t>
      </w:r>
    </w:p>
    <w:p w14:paraId="07EB826C" w14:textId="77777777" w:rsidR="00FF7482" w:rsidRDefault="00FF7482" w:rsidP="00E91DC5">
      <w:pPr>
        <w:pStyle w:val="ListParagraph"/>
        <w:spacing w:after="0"/>
        <w:ind w:left="0" w:firstLine="720"/>
        <w:jc w:val="both"/>
        <w:rPr>
          <w:rFonts w:ascii="Times New Roman" w:hAnsi="Times New Roman" w:cs="Times New Roman"/>
          <w:sz w:val="24"/>
          <w:szCs w:val="24"/>
        </w:rPr>
      </w:pPr>
    </w:p>
    <w:p w14:paraId="402CC544" w14:textId="10432311" w:rsidR="00FF7482" w:rsidRDefault="00FF7482" w:rsidP="00477822">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Outside of the context of the preclusive effect of unadjudicated Division determinations, the Wyoming Supreme Court’s opinion in </w:t>
      </w:r>
      <w:r w:rsidRPr="00964221">
        <w:rPr>
          <w:rFonts w:ascii="Times New Roman" w:hAnsi="Times New Roman" w:cs="Times New Roman"/>
          <w:i/>
          <w:iCs/>
          <w:sz w:val="24"/>
          <w:szCs w:val="24"/>
        </w:rPr>
        <w:t xml:space="preserve">Taylor v. Workers’ Safety </w:t>
      </w:r>
      <w:r>
        <w:rPr>
          <w:rFonts w:ascii="Times New Roman" w:hAnsi="Times New Roman" w:cs="Times New Roman"/>
          <w:i/>
          <w:iCs/>
          <w:sz w:val="24"/>
          <w:szCs w:val="24"/>
        </w:rPr>
        <w:t>&amp;</w:t>
      </w:r>
      <w:r w:rsidRPr="00964221">
        <w:rPr>
          <w:rFonts w:ascii="Times New Roman" w:hAnsi="Times New Roman" w:cs="Times New Roman"/>
          <w:i/>
          <w:iCs/>
          <w:sz w:val="24"/>
          <w:szCs w:val="24"/>
        </w:rPr>
        <w:t xml:space="preserve"> Comp. Div</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42"/>
      </w:r>
      <w:r>
        <w:rPr>
          <w:rFonts w:ascii="Times New Roman" w:hAnsi="Times New Roman" w:cs="Times New Roman"/>
          <w:sz w:val="24"/>
          <w:szCs w:val="24"/>
        </w:rPr>
        <w:t xml:space="preserve"> considered application of the doctrines of preclusion in the context of an Office of </w:t>
      </w:r>
      <w:r w:rsidR="00D573CB">
        <w:rPr>
          <w:rFonts w:ascii="Times New Roman" w:hAnsi="Times New Roman" w:cs="Times New Roman"/>
          <w:sz w:val="24"/>
          <w:szCs w:val="24"/>
        </w:rPr>
        <w:t>A</w:t>
      </w:r>
      <w:r>
        <w:rPr>
          <w:rFonts w:ascii="Times New Roman" w:hAnsi="Times New Roman" w:cs="Times New Roman"/>
          <w:sz w:val="24"/>
          <w:szCs w:val="24"/>
        </w:rPr>
        <w:t xml:space="preserve">dministrative </w:t>
      </w:r>
      <w:r w:rsidR="00D573CB">
        <w:rPr>
          <w:rFonts w:ascii="Times New Roman" w:hAnsi="Times New Roman" w:cs="Times New Roman"/>
          <w:sz w:val="24"/>
          <w:szCs w:val="24"/>
        </w:rPr>
        <w:t>H</w:t>
      </w:r>
      <w:r>
        <w:rPr>
          <w:rFonts w:ascii="Times New Roman" w:hAnsi="Times New Roman" w:cs="Times New Roman"/>
          <w:sz w:val="24"/>
          <w:szCs w:val="24"/>
        </w:rPr>
        <w:t xml:space="preserve">earings decision. In </w:t>
      </w:r>
      <w:r w:rsidRPr="000C3842">
        <w:rPr>
          <w:rFonts w:ascii="Times New Roman" w:hAnsi="Times New Roman" w:cs="Times New Roman"/>
          <w:i/>
          <w:iCs/>
          <w:sz w:val="24"/>
          <w:szCs w:val="24"/>
        </w:rPr>
        <w:t>Taylor</w:t>
      </w:r>
      <w:r>
        <w:rPr>
          <w:rFonts w:ascii="Times New Roman" w:hAnsi="Times New Roman" w:cs="Times New Roman"/>
          <w:sz w:val="24"/>
          <w:szCs w:val="24"/>
        </w:rPr>
        <w:t>, a claimant had suffered a work-related injury in 1991.</w:t>
      </w:r>
      <w:r w:rsidRPr="00910BB7">
        <w:rPr>
          <w:rFonts w:ascii="Times New Roman" w:hAnsi="Times New Roman" w:cs="Times New Roman"/>
          <w:sz w:val="24"/>
          <w:szCs w:val="24"/>
          <w:vertAlign w:val="superscript"/>
        </w:rPr>
        <w:footnoteReference w:id="743"/>
      </w:r>
      <w:r>
        <w:rPr>
          <w:rFonts w:ascii="Times New Roman" w:hAnsi="Times New Roman" w:cs="Times New Roman"/>
          <w:sz w:val="24"/>
          <w:szCs w:val="24"/>
        </w:rPr>
        <w:t xml:space="preserve"> In connection with the injury, the Division had approved chiropractic treatment until 1998, when it began denying payment for the treatment on the grounds that it was no longer related to the 1991 injury.</w:t>
      </w:r>
      <w:r w:rsidRPr="00910BB7">
        <w:rPr>
          <w:rFonts w:ascii="Times New Roman" w:hAnsi="Times New Roman" w:cs="Times New Roman"/>
          <w:sz w:val="24"/>
          <w:szCs w:val="24"/>
          <w:vertAlign w:val="superscript"/>
        </w:rPr>
        <w:footnoteReference w:id="744"/>
      </w:r>
      <w:r>
        <w:rPr>
          <w:rFonts w:ascii="Times New Roman" w:hAnsi="Times New Roman" w:cs="Times New Roman"/>
          <w:sz w:val="24"/>
          <w:szCs w:val="24"/>
        </w:rPr>
        <w:t xml:space="preserve">  Following appeal of the denial, the Office of Administrative Hearings, in 1998, reversed the Division “</w:t>
      </w:r>
      <w:r w:rsidRPr="000C3842">
        <w:rPr>
          <w:rFonts w:ascii="Times New Roman" w:hAnsi="Times New Roman" w:cs="Times New Roman"/>
          <w:sz w:val="24"/>
          <w:szCs w:val="24"/>
        </w:rPr>
        <w:t xml:space="preserve">and concluded that his chiropractic treatment was related to the 1991 injury and </w:t>
      </w:r>
      <w:r>
        <w:rPr>
          <w:rFonts w:ascii="Times New Roman" w:hAnsi="Times New Roman" w:cs="Times New Roman"/>
          <w:sz w:val="24"/>
          <w:szCs w:val="24"/>
        </w:rPr>
        <w:t>‘</w:t>
      </w:r>
      <w:r w:rsidRPr="000C3842">
        <w:rPr>
          <w:rFonts w:ascii="Times New Roman" w:hAnsi="Times New Roman" w:cs="Times New Roman"/>
          <w:sz w:val="24"/>
          <w:szCs w:val="24"/>
        </w:rPr>
        <w:t>until further medical evidence would warrant a change, [</w:t>
      </w:r>
      <w:r>
        <w:rPr>
          <w:rFonts w:ascii="Times New Roman" w:hAnsi="Times New Roman" w:cs="Times New Roman"/>
          <w:sz w:val="24"/>
          <w:szCs w:val="24"/>
        </w:rPr>
        <w:t>the claimant</w:t>
      </w:r>
      <w:r w:rsidRPr="000C3842">
        <w:rPr>
          <w:rFonts w:ascii="Times New Roman" w:hAnsi="Times New Roman" w:cs="Times New Roman"/>
          <w:sz w:val="24"/>
          <w:szCs w:val="24"/>
        </w:rPr>
        <w:t>] is entitled to receive medical benefits for continuing chiropractic care received twice per month.</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45"/>
      </w:r>
      <w:r>
        <w:rPr>
          <w:rFonts w:ascii="Times New Roman" w:hAnsi="Times New Roman" w:cs="Times New Roman"/>
          <w:sz w:val="24"/>
          <w:szCs w:val="24"/>
        </w:rPr>
        <w:t xml:space="preserve"> Eventually, in 2007, the Division again denied coverage.</w:t>
      </w:r>
      <w:r w:rsidRPr="00910BB7">
        <w:rPr>
          <w:rFonts w:ascii="Times New Roman" w:hAnsi="Times New Roman" w:cs="Times New Roman"/>
          <w:sz w:val="24"/>
          <w:szCs w:val="24"/>
          <w:vertAlign w:val="superscript"/>
        </w:rPr>
        <w:footnoteReference w:id="746"/>
      </w:r>
      <w:r>
        <w:rPr>
          <w:rFonts w:ascii="Times New Roman" w:hAnsi="Times New Roman" w:cs="Times New Roman"/>
          <w:sz w:val="24"/>
          <w:szCs w:val="24"/>
        </w:rPr>
        <w:t xml:space="preserve"> This time, the Medical Commission upheld the denial, accepting the testimony of Division experts that the chiropractic treatment no longer related to the original injury, pointing in particular to a nonwork-related motorcycle injury in 1987—though the claimant had suffered another automobile accident in 1999.</w:t>
      </w:r>
      <w:r w:rsidRPr="00910BB7">
        <w:rPr>
          <w:rFonts w:ascii="Times New Roman" w:hAnsi="Times New Roman" w:cs="Times New Roman"/>
          <w:sz w:val="24"/>
          <w:szCs w:val="24"/>
          <w:vertAlign w:val="superscript"/>
        </w:rPr>
        <w:footnoteReference w:id="747"/>
      </w:r>
      <w:r>
        <w:rPr>
          <w:rFonts w:ascii="Times New Roman" w:hAnsi="Times New Roman" w:cs="Times New Roman"/>
          <w:sz w:val="24"/>
          <w:szCs w:val="24"/>
        </w:rPr>
        <w:t xml:space="preserve"> The claimant appealed and, as germane to this discussion, argued “</w:t>
      </w:r>
      <w:r w:rsidRPr="00CD5E97">
        <w:rPr>
          <w:rFonts w:ascii="Times New Roman" w:hAnsi="Times New Roman" w:cs="Times New Roman"/>
          <w:sz w:val="24"/>
          <w:szCs w:val="24"/>
        </w:rPr>
        <w:t>that the Commission committed an error of law when it considered any evidence that was, or could have been, presented at the 1998 contested case hearing. In particular, he challenges the Commission's reliance on evidence of his preexisting injury incurred in the 1987 motor vehicle accident to deny his claims for chiropractic care.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48"/>
      </w:r>
      <w:r>
        <w:rPr>
          <w:rFonts w:ascii="Times New Roman" w:hAnsi="Times New Roman" w:cs="Times New Roman"/>
          <w:sz w:val="24"/>
          <w:szCs w:val="24"/>
        </w:rPr>
        <w:t xml:space="preserve"> From the claimant’s point of view, the Office of Administrative Hearings had implicitly concluded that the 1987 motorcycle </w:t>
      </w:r>
      <w:r>
        <w:rPr>
          <w:rFonts w:ascii="Times New Roman" w:hAnsi="Times New Roman" w:cs="Times New Roman"/>
          <w:sz w:val="24"/>
          <w:szCs w:val="24"/>
        </w:rPr>
        <w:lastRenderedPageBreak/>
        <w:t>accident was not a disqualifying preexisting condition when it ordered continuation of the chiropractic treatment in 1998. Accordingly, on the claimant’s theory, the Medical Commission was collaterally estopped from reaching a contrary finding.</w:t>
      </w:r>
      <w:r w:rsidRPr="00910BB7">
        <w:rPr>
          <w:rFonts w:ascii="Times New Roman" w:hAnsi="Times New Roman" w:cs="Times New Roman"/>
          <w:sz w:val="24"/>
          <w:szCs w:val="24"/>
          <w:vertAlign w:val="superscript"/>
        </w:rPr>
        <w:footnoteReference w:id="749"/>
      </w:r>
    </w:p>
    <w:p w14:paraId="4B1523D7" w14:textId="77777777" w:rsidR="00FF7482" w:rsidRDefault="00FF7482" w:rsidP="00E91DC5">
      <w:pPr>
        <w:pStyle w:val="ListParagraph"/>
        <w:spacing w:after="0"/>
        <w:ind w:left="0" w:firstLine="720"/>
        <w:jc w:val="both"/>
        <w:rPr>
          <w:rFonts w:ascii="Times New Roman" w:hAnsi="Times New Roman" w:cs="Times New Roman"/>
          <w:sz w:val="24"/>
          <w:szCs w:val="24"/>
        </w:rPr>
      </w:pPr>
    </w:p>
    <w:p w14:paraId="7972E651" w14:textId="18801DCC" w:rsidR="00FF7482" w:rsidRDefault="00FF7482" w:rsidP="00D573CB">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The Wyoming Supreme Court disagreed. The Court’s collateral estoppel analysis requires little discussion. It was simply not clear from the 1998 administrative proceeding that “</w:t>
      </w:r>
      <w:r w:rsidRPr="006D65DC">
        <w:rPr>
          <w:rFonts w:ascii="Times New Roman" w:hAnsi="Times New Roman" w:cs="Times New Roman"/>
          <w:sz w:val="24"/>
          <w:szCs w:val="24"/>
        </w:rPr>
        <w:t xml:space="preserve">the OAH considered the effect of </w:t>
      </w:r>
      <w:r>
        <w:rPr>
          <w:rFonts w:ascii="Times New Roman" w:hAnsi="Times New Roman" w:cs="Times New Roman"/>
          <w:sz w:val="24"/>
          <w:szCs w:val="24"/>
        </w:rPr>
        <w:t>[the claimant’s]</w:t>
      </w:r>
      <w:r w:rsidRPr="006D65DC">
        <w:rPr>
          <w:rFonts w:ascii="Times New Roman" w:hAnsi="Times New Roman" w:cs="Times New Roman"/>
          <w:sz w:val="24"/>
          <w:szCs w:val="24"/>
        </w:rPr>
        <w:t xml:space="preserve"> pre-existing shoulder and neck injury incurred in the 1987 accident on his 1991 work related injury at the hearing.</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50"/>
      </w:r>
      <w:r>
        <w:rPr>
          <w:rFonts w:ascii="Times New Roman" w:hAnsi="Times New Roman" w:cs="Times New Roman"/>
          <w:sz w:val="24"/>
          <w:szCs w:val="24"/>
        </w:rPr>
        <w:t xml:space="preserve"> Accordingly, the first prong of the collateral analysis, </w:t>
      </w:r>
      <w:r w:rsidRPr="006D65DC">
        <w:rPr>
          <w:rFonts w:ascii="Times New Roman" w:hAnsi="Times New Roman" w:cs="Times New Roman"/>
          <w:sz w:val="24"/>
          <w:szCs w:val="24"/>
        </w:rPr>
        <w:t xml:space="preserve">the issue decided in the prior adjudication was </w:t>
      </w:r>
      <w:r>
        <w:rPr>
          <w:rFonts w:ascii="Times New Roman" w:hAnsi="Times New Roman" w:cs="Times New Roman"/>
          <w:sz w:val="24"/>
          <w:szCs w:val="24"/>
        </w:rPr>
        <w:t xml:space="preserve">not </w:t>
      </w:r>
      <w:r w:rsidRPr="006D65DC">
        <w:rPr>
          <w:rFonts w:ascii="Times New Roman" w:hAnsi="Times New Roman" w:cs="Times New Roman"/>
          <w:sz w:val="24"/>
          <w:szCs w:val="24"/>
        </w:rPr>
        <w:t>identical with the issue presented in the present action</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51"/>
      </w:r>
      <w:r>
        <w:rPr>
          <w:rFonts w:ascii="Times New Roman" w:hAnsi="Times New Roman" w:cs="Times New Roman"/>
          <w:sz w:val="24"/>
          <w:szCs w:val="24"/>
        </w:rPr>
        <w:t xml:space="preserve"> The Court’s res judicata analysis seem</w:t>
      </w:r>
      <w:r w:rsidR="00ED45A1">
        <w:rPr>
          <w:rFonts w:ascii="Times New Roman" w:hAnsi="Times New Roman" w:cs="Times New Roman"/>
          <w:sz w:val="24"/>
          <w:szCs w:val="24"/>
        </w:rPr>
        <w:t>ed</w:t>
      </w:r>
      <w:r>
        <w:rPr>
          <w:rFonts w:ascii="Times New Roman" w:hAnsi="Times New Roman" w:cs="Times New Roman"/>
          <w:sz w:val="24"/>
          <w:szCs w:val="24"/>
        </w:rPr>
        <w:t xml:space="preserve"> more strained. As the Court acknowledged, “</w:t>
      </w:r>
      <w:r w:rsidRPr="00E834A9">
        <w:rPr>
          <w:rFonts w:ascii="Times New Roman" w:hAnsi="Times New Roman" w:cs="Times New Roman"/>
          <w:sz w:val="24"/>
          <w:szCs w:val="24"/>
        </w:rPr>
        <w:t xml:space="preserve">There is, of course, a general rule that </w:t>
      </w:r>
      <w:r>
        <w:rPr>
          <w:rFonts w:ascii="Times New Roman" w:hAnsi="Times New Roman" w:cs="Times New Roman"/>
          <w:sz w:val="24"/>
          <w:szCs w:val="24"/>
        </w:rPr>
        <w:t>‘</w:t>
      </w:r>
      <w:r w:rsidRPr="00E834A9">
        <w:rPr>
          <w:rFonts w:ascii="Times New Roman" w:hAnsi="Times New Roman" w:cs="Times New Roman"/>
          <w:sz w:val="24"/>
          <w:szCs w:val="24"/>
        </w:rPr>
        <w:t>[c]laim preclusion principles of res judicata bar the relitigation of issues that were or could have been raised in the first action.</w:t>
      </w:r>
      <w:r>
        <w:rPr>
          <w:rFonts w:ascii="Times New Roman" w:hAnsi="Times New Roman" w:cs="Times New Roman"/>
          <w:sz w:val="24"/>
          <w:szCs w:val="24"/>
        </w:rPr>
        <w:t>’</w:t>
      </w:r>
      <w:r w:rsidRPr="00E834A9">
        <w:rPr>
          <w:rFonts w:ascii="Times New Roman" w:hAnsi="Times New Roman" w:cs="Times New Roman"/>
          <w:sz w:val="24"/>
          <w:szCs w:val="24"/>
        </w:rPr>
        <w:t xml:space="preserve"> However, our statutes and case law indicate that application of the general principle is limited in the workers' compensation context.</w:t>
      </w:r>
      <w:r>
        <w:rPr>
          <w:rFonts w:ascii="Times New Roman" w:hAnsi="Times New Roman" w:cs="Times New Roman"/>
          <w:sz w:val="24"/>
          <w:szCs w:val="24"/>
        </w:rPr>
        <w:t xml:space="preserve">” </w:t>
      </w:r>
      <w:r w:rsidRPr="00910BB7">
        <w:rPr>
          <w:rFonts w:ascii="Times New Roman" w:hAnsi="Times New Roman" w:cs="Times New Roman"/>
          <w:sz w:val="24"/>
          <w:szCs w:val="24"/>
          <w:vertAlign w:val="superscript"/>
        </w:rPr>
        <w:footnoteReference w:id="752"/>
      </w:r>
      <w:r>
        <w:rPr>
          <w:rFonts w:ascii="Times New Roman" w:hAnsi="Times New Roman" w:cs="Times New Roman"/>
          <w:sz w:val="24"/>
          <w:szCs w:val="24"/>
        </w:rPr>
        <w:t xml:space="preserve"> It </w:t>
      </w:r>
      <w:r w:rsidR="00ED45A1">
        <w:rPr>
          <w:rFonts w:ascii="Times New Roman" w:hAnsi="Times New Roman" w:cs="Times New Roman"/>
          <w:sz w:val="24"/>
          <w:szCs w:val="24"/>
        </w:rPr>
        <w:t>appears</w:t>
      </w:r>
      <w:r>
        <w:rPr>
          <w:rFonts w:ascii="Times New Roman" w:hAnsi="Times New Roman" w:cs="Times New Roman"/>
          <w:sz w:val="24"/>
          <w:szCs w:val="24"/>
        </w:rPr>
        <w:t xml:space="preserve"> obvious that the question of causal contribution of the 1987 motorcycle accident to the claimant’s disability in 1998 </w:t>
      </w:r>
      <w:r w:rsidRPr="00E834A9">
        <w:rPr>
          <w:rFonts w:ascii="Times New Roman" w:hAnsi="Times New Roman" w:cs="Times New Roman"/>
          <w:i/>
          <w:iCs/>
          <w:sz w:val="24"/>
          <w:szCs w:val="24"/>
        </w:rPr>
        <w:t>could have been brought</w:t>
      </w:r>
      <w:r>
        <w:rPr>
          <w:rFonts w:ascii="Times New Roman" w:hAnsi="Times New Roman" w:cs="Times New Roman"/>
          <w:i/>
          <w:iCs/>
          <w:sz w:val="24"/>
          <w:szCs w:val="24"/>
        </w:rPr>
        <w:t xml:space="preserve"> </w:t>
      </w:r>
      <w:r>
        <w:rPr>
          <w:rFonts w:ascii="Times New Roman" w:hAnsi="Times New Roman" w:cs="Times New Roman"/>
          <w:sz w:val="24"/>
          <w:szCs w:val="24"/>
        </w:rPr>
        <w:t>by the Division. It seems an unsatisfying answer to this dilemma to recite that “</w:t>
      </w:r>
      <w:r w:rsidRPr="00E834A9">
        <w:rPr>
          <w:rFonts w:ascii="Times New Roman" w:hAnsi="Times New Roman" w:cs="Times New Roman"/>
          <w:sz w:val="24"/>
          <w:szCs w:val="24"/>
        </w:rPr>
        <w:t>the Wyoming legislature has made it very clear that workers' compensation claims can, and should, be separately decided.</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53"/>
      </w:r>
      <w:r>
        <w:rPr>
          <w:rFonts w:ascii="Times New Roman" w:hAnsi="Times New Roman" w:cs="Times New Roman"/>
          <w:sz w:val="24"/>
          <w:szCs w:val="24"/>
        </w:rPr>
        <w:t xml:space="preserve"> The Court d</w:t>
      </w:r>
      <w:r w:rsidR="00ED45A1">
        <w:rPr>
          <w:rFonts w:ascii="Times New Roman" w:hAnsi="Times New Roman" w:cs="Times New Roman"/>
          <w:sz w:val="24"/>
          <w:szCs w:val="24"/>
        </w:rPr>
        <w:t>id</w:t>
      </w:r>
      <w:r>
        <w:rPr>
          <w:rFonts w:ascii="Times New Roman" w:hAnsi="Times New Roman" w:cs="Times New Roman"/>
          <w:sz w:val="24"/>
          <w:szCs w:val="24"/>
        </w:rPr>
        <w:t xml:space="preserve"> not expand upon when res judicata </w:t>
      </w:r>
      <w:r w:rsidRPr="00AA3A52">
        <w:rPr>
          <w:rFonts w:ascii="Times New Roman" w:hAnsi="Times New Roman" w:cs="Times New Roman"/>
          <w:i/>
          <w:iCs/>
          <w:sz w:val="24"/>
          <w:szCs w:val="24"/>
        </w:rPr>
        <w:t xml:space="preserve">does </w:t>
      </w:r>
      <w:r>
        <w:rPr>
          <w:rFonts w:ascii="Times New Roman" w:hAnsi="Times New Roman" w:cs="Times New Roman"/>
          <w:sz w:val="24"/>
          <w:szCs w:val="24"/>
        </w:rPr>
        <w:t>apply in workers’ compensation claims, and</w:t>
      </w:r>
      <w:r w:rsidR="00ED45A1">
        <w:rPr>
          <w:rFonts w:ascii="Times New Roman" w:hAnsi="Times New Roman" w:cs="Times New Roman"/>
          <w:sz w:val="24"/>
          <w:szCs w:val="24"/>
        </w:rPr>
        <w:t>,</w:t>
      </w:r>
      <w:r>
        <w:rPr>
          <w:rFonts w:ascii="Times New Roman" w:hAnsi="Times New Roman" w:cs="Times New Roman"/>
          <w:sz w:val="24"/>
          <w:szCs w:val="24"/>
        </w:rPr>
        <w:t xml:space="preserve"> taken to its logical conclusion</w:t>
      </w:r>
      <w:r w:rsidR="00ED45A1">
        <w:rPr>
          <w:rFonts w:ascii="Times New Roman" w:hAnsi="Times New Roman" w:cs="Times New Roman"/>
          <w:sz w:val="24"/>
          <w:szCs w:val="24"/>
        </w:rPr>
        <w:t>,</w:t>
      </w:r>
      <w:r>
        <w:rPr>
          <w:rFonts w:ascii="Times New Roman" w:hAnsi="Times New Roman" w:cs="Times New Roman"/>
          <w:sz w:val="24"/>
          <w:szCs w:val="24"/>
        </w:rPr>
        <w:t xml:space="preserve"> the “should be separately decided” language </w:t>
      </w:r>
      <w:r w:rsidR="000B5242">
        <w:rPr>
          <w:rFonts w:ascii="Times New Roman" w:hAnsi="Times New Roman" w:cs="Times New Roman"/>
          <w:sz w:val="24"/>
          <w:szCs w:val="24"/>
        </w:rPr>
        <w:t>could be read to</w:t>
      </w:r>
      <w:r>
        <w:rPr>
          <w:rFonts w:ascii="Times New Roman" w:hAnsi="Times New Roman" w:cs="Times New Roman"/>
          <w:sz w:val="24"/>
          <w:szCs w:val="24"/>
        </w:rPr>
        <w:t xml:space="preserve"> mean res judicata </w:t>
      </w:r>
      <w:r w:rsidRPr="00AA3A52">
        <w:rPr>
          <w:rFonts w:ascii="Times New Roman" w:hAnsi="Times New Roman" w:cs="Times New Roman"/>
          <w:i/>
          <w:iCs/>
          <w:sz w:val="24"/>
          <w:szCs w:val="24"/>
        </w:rPr>
        <w:t>never</w:t>
      </w:r>
      <w:r>
        <w:rPr>
          <w:rFonts w:ascii="Times New Roman" w:hAnsi="Times New Roman" w:cs="Times New Roman"/>
          <w:sz w:val="24"/>
          <w:szCs w:val="24"/>
        </w:rPr>
        <w:t xml:space="preserve"> applies. </w:t>
      </w:r>
      <w:r w:rsidR="00ED45A1">
        <w:rPr>
          <w:rFonts w:ascii="Times New Roman" w:hAnsi="Times New Roman" w:cs="Times New Roman"/>
          <w:sz w:val="24"/>
          <w:szCs w:val="24"/>
        </w:rPr>
        <w:t>Hopefully,</w:t>
      </w:r>
      <w:r>
        <w:rPr>
          <w:rFonts w:ascii="Times New Roman" w:hAnsi="Times New Roman" w:cs="Times New Roman"/>
          <w:sz w:val="24"/>
          <w:szCs w:val="24"/>
        </w:rPr>
        <w:t xml:space="preserve"> the Court will clarify the law in this area. </w:t>
      </w:r>
      <w:r w:rsidR="00ED45A1">
        <w:rPr>
          <w:rFonts w:ascii="Times New Roman" w:hAnsi="Times New Roman" w:cs="Times New Roman"/>
          <w:sz w:val="24"/>
          <w:szCs w:val="24"/>
        </w:rPr>
        <w:t>T</w:t>
      </w:r>
      <w:r>
        <w:rPr>
          <w:rFonts w:ascii="Times New Roman" w:hAnsi="Times New Roman" w:cs="Times New Roman"/>
          <w:sz w:val="24"/>
          <w:szCs w:val="24"/>
        </w:rPr>
        <w:t xml:space="preserve">he entire </w:t>
      </w:r>
      <w:r w:rsidRPr="001C76B2">
        <w:rPr>
          <w:rFonts w:ascii="Times New Roman" w:hAnsi="Times New Roman" w:cs="Times New Roman"/>
          <w:i/>
          <w:iCs/>
          <w:sz w:val="24"/>
          <w:szCs w:val="24"/>
        </w:rPr>
        <w:t>Taylor</w:t>
      </w:r>
      <w:r>
        <w:rPr>
          <w:rFonts w:ascii="Times New Roman" w:hAnsi="Times New Roman" w:cs="Times New Roman"/>
          <w:sz w:val="24"/>
          <w:szCs w:val="24"/>
        </w:rPr>
        <w:t xml:space="preserve"> case might have been resolved under principles of </w:t>
      </w:r>
      <w:r w:rsidRPr="001C76B2">
        <w:rPr>
          <w:rFonts w:ascii="Times New Roman" w:hAnsi="Times New Roman" w:cs="Times New Roman"/>
          <w:i/>
          <w:iCs/>
          <w:sz w:val="24"/>
          <w:szCs w:val="24"/>
        </w:rPr>
        <w:t>continuing causation</w:t>
      </w:r>
      <w:r>
        <w:rPr>
          <w:rFonts w:ascii="Times New Roman" w:hAnsi="Times New Roman" w:cs="Times New Roman"/>
          <w:sz w:val="24"/>
          <w:szCs w:val="24"/>
        </w:rPr>
        <w:t>: the nonwork-related motorcycle injury may not have been a superseding cause of disability in 1998, but may later have become such a cause.</w:t>
      </w:r>
      <w:r w:rsidRPr="00910BB7">
        <w:rPr>
          <w:rFonts w:ascii="Times New Roman" w:hAnsi="Times New Roman" w:cs="Times New Roman"/>
          <w:sz w:val="24"/>
          <w:szCs w:val="24"/>
          <w:vertAlign w:val="superscript"/>
        </w:rPr>
        <w:footnoteReference w:id="754"/>
      </w:r>
      <w:r>
        <w:rPr>
          <w:rFonts w:ascii="Times New Roman" w:hAnsi="Times New Roman" w:cs="Times New Roman"/>
          <w:sz w:val="24"/>
          <w:szCs w:val="24"/>
        </w:rPr>
        <w:t xml:space="preserve"> Preclusion would be immaterial.</w:t>
      </w:r>
    </w:p>
    <w:p w14:paraId="39423A36" w14:textId="77777777" w:rsidR="006B1474" w:rsidRDefault="006B1474" w:rsidP="00E91DC5">
      <w:pPr>
        <w:pStyle w:val="ListParagraph"/>
        <w:spacing w:after="0"/>
        <w:ind w:left="0" w:firstLine="720"/>
        <w:jc w:val="both"/>
        <w:rPr>
          <w:rFonts w:ascii="Times New Roman" w:hAnsi="Times New Roman" w:cs="Times New Roman"/>
          <w:sz w:val="24"/>
          <w:szCs w:val="24"/>
        </w:rPr>
      </w:pPr>
    </w:p>
    <w:p w14:paraId="2609AF32" w14:textId="165D3AD5" w:rsidR="00FF7482" w:rsidRDefault="00ED45A1" w:rsidP="006B1474">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Recently, the Wyoming Supreme Court held, in </w:t>
      </w:r>
      <w:r w:rsidRPr="006B1474">
        <w:rPr>
          <w:rFonts w:ascii="Times New Roman" w:hAnsi="Times New Roman" w:cs="Times New Roman"/>
          <w:i/>
          <w:iCs/>
          <w:sz w:val="24"/>
          <w:szCs w:val="24"/>
        </w:rPr>
        <w:t>Lower v. Peabody Powder River Services, LLC</w:t>
      </w:r>
      <w:r w:rsidRPr="00ED45A1">
        <w:rPr>
          <w:rFonts w:ascii="Times New Roman" w:hAnsi="Times New Roman" w:cs="Times New Roman"/>
          <w:sz w:val="24"/>
          <w:szCs w:val="24"/>
        </w:rPr>
        <w:t>,</w:t>
      </w:r>
      <w:r>
        <w:rPr>
          <w:rStyle w:val="FootnoteReference"/>
          <w:rFonts w:ascii="Times New Roman" w:hAnsi="Times New Roman" w:cs="Times New Roman"/>
          <w:sz w:val="24"/>
          <w:szCs w:val="24"/>
        </w:rPr>
        <w:footnoteReference w:id="755"/>
      </w:r>
      <w:r w:rsidRPr="00ED45A1">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433BDA">
        <w:rPr>
          <w:rFonts w:ascii="Times New Roman" w:hAnsi="Times New Roman" w:cs="Times New Roman"/>
          <w:sz w:val="24"/>
          <w:szCs w:val="24"/>
        </w:rPr>
        <w:t>an</w:t>
      </w:r>
      <w:r w:rsidR="00433BDA" w:rsidRPr="00433BDA">
        <w:rPr>
          <w:rFonts w:ascii="Times New Roman" w:hAnsi="Times New Roman" w:cs="Times New Roman"/>
          <w:sz w:val="24"/>
          <w:szCs w:val="24"/>
        </w:rPr>
        <w:t xml:space="preserve"> O</w:t>
      </w:r>
      <w:r w:rsidR="00433BDA">
        <w:rPr>
          <w:rFonts w:ascii="Times New Roman" w:hAnsi="Times New Roman" w:cs="Times New Roman"/>
          <w:sz w:val="24"/>
          <w:szCs w:val="24"/>
        </w:rPr>
        <w:t xml:space="preserve">ffice of </w:t>
      </w:r>
      <w:r w:rsidR="00433BDA" w:rsidRPr="00433BDA">
        <w:rPr>
          <w:rFonts w:ascii="Times New Roman" w:hAnsi="Times New Roman" w:cs="Times New Roman"/>
          <w:sz w:val="24"/>
          <w:szCs w:val="24"/>
        </w:rPr>
        <w:t>A</w:t>
      </w:r>
      <w:r w:rsidR="00433BDA">
        <w:rPr>
          <w:rFonts w:ascii="Times New Roman" w:hAnsi="Times New Roman" w:cs="Times New Roman"/>
          <w:sz w:val="24"/>
          <w:szCs w:val="24"/>
        </w:rPr>
        <w:t xml:space="preserve">dministrative </w:t>
      </w:r>
      <w:r w:rsidR="00433BDA" w:rsidRPr="00433BDA">
        <w:rPr>
          <w:rFonts w:ascii="Times New Roman" w:hAnsi="Times New Roman" w:cs="Times New Roman"/>
          <w:sz w:val="24"/>
          <w:szCs w:val="24"/>
        </w:rPr>
        <w:t>H</w:t>
      </w:r>
      <w:r w:rsidR="00433BDA">
        <w:rPr>
          <w:rFonts w:ascii="Times New Roman" w:hAnsi="Times New Roman" w:cs="Times New Roman"/>
          <w:sz w:val="24"/>
          <w:szCs w:val="24"/>
        </w:rPr>
        <w:t xml:space="preserve">earings </w:t>
      </w:r>
      <w:r w:rsidR="00433BDA" w:rsidRPr="00433BDA">
        <w:rPr>
          <w:rFonts w:ascii="Times New Roman" w:hAnsi="Times New Roman" w:cs="Times New Roman"/>
          <w:sz w:val="24"/>
          <w:szCs w:val="24"/>
        </w:rPr>
        <w:t>“Order Vacating Hearing and</w:t>
      </w:r>
      <w:r w:rsidR="00433BDA">
        <w:rPr>
          <w:rFonts w:ascii="Times New Roman" w:hAnsi="Times New Roman" w:cs="Times New Roman"/>
          <w:sz w:val="24"/>
          <w:szCs w:val="24"/>
        </w:rPr>
        <w:t xml:space="preserve"> </w:t>
      </w:r>
      <w:r w:rsidR="00433BDA" w:rsidRPr="00433BDA">
        <w:rPr>
          <w:rFonts w:ascii="Times New Roman" w:hAnsi="Times New Roman" w:cs="Times New Roman"/>
          <w:sz w:val="24"/>
          <w:szCs w:val="24"/>
        </w:rPr>
        <w:t xml:space="preserve">Awarding Benefits” </w:t>
      </w:r>
      <w:r w:rsidR="00433BDA">
        <w:rPr>
          <w:rFonts w:ascii="Times New Roman" w:hAnsi="Times New Roman" w:cs="Times New Roman"/>
          <w:sz w:val="24"/>
          <w:szCs w:val="24"/>
        </w:rPr>
        <w:t xml:space="preserve">was not </w:t>
      </w:r>
      <w:r w:rsidR="00433BDA" w:rsidRPr="00433BDA">
        <w:rPr>
          <w:rFonts w:ascii="Times New Roman" w:hAnsi="Times New Roman" w:cs="Times New Roman"/>
          <w:sz w:val="24"/>
          <w:szCs w:val="24"/>
        </w:rPr>
        <w:t>a final appealable order giving rise to</w:t>
      </w:r>
      <w:r w:rsidR="00433BDA">
        <w:rPr>
          <w:rFonts w:ascii="Times New Roman" w:hAnsi="Times New Roman" w:cs="Times New Roman"/>
          <w:sz w:val="24"/>
          <w:szCs w:val="24"/>
        </w:rPr>
        <w:t xml:space="preserve"> </w:t>
      </w:r>
      <w:r w:rsidR="00433BDA" w:rsidRPr="00433BDA">
        <w:rPr>
          <w:rFonts w:ascii="Times New Roman" w:hAnsi="Times New Roman" w:cs="Times New Roman"/>
          <w:sz w:val="24"/>
          <w:szCs w:val="24"/>
        </w:rPr>
        <w:t>collateral estoppel</w:t>
      </w:r>
      <w:r w:rsidR="00433BDA">
        <w:rPr>
          <w:rFonts w:ascii="Times New Roman" w:hAnsi="Times New Roman" w:cs="Times New Roman"/>
          <w:sz w:val="24"/>
          <w:szCs w:val="24"/>
        </w:rPr>
        <w:t>. As the Court stated, “[i]</w:t>
      </w:r>
      <w:r w:rsidR="00433BDA" w:rsidRPr="00433BDA">
        <w:rPr>
          <w:rFonts w:ascii="Times New Roman" w:hAnsi="Times New Roman" w:cs="Times New Roman"/>
          <w:sz w:val="24"/>
          <w:szCs w:val="24"/>
        </w:rPr>
        <w:t>n the absence of a final adjudication, the</w:t>
      </w:r>
      <w:r w:rsidR="00433BDA">
        <w:rPr>
          <w:rFonts w:ascii="Times New Roman" w:hAnsi="Times New Roman" w:cs="Times New Roman"/>
          <w:sz w:val="24"/>
          <w:szCs w:val="24"/>
        </w:rPr>
        <w:t xml:space="preserve"> </w:t>
      </w:r>
      <w:r w:rsidR="00433BDA" w:rsidRPr="00433BDA">
        <w:rPr>
          <w:rFonts w:ascii="Times New Roman" w:hAnsi="Times New Roman" w:cs="Times New Roman"/>
          <w:sz w:val="24"/>
          <w:szCs w:val="24"/>
        </w:rPr>
        <w:t>doctrine of collateral estoppel does not apply.</w:t>
      </w:r>
      <w:r w:rsidR="00433BDA">
        <w:rPr>
          <w:rFonts w:ascii="Times New Roman" w:hAnsi="Times New Roman" w:cs="Times New Roman"/>
          <w:sz w:val="24"/>
          <w:szCs w:val="24"/>
        </w:rPr>
        <w:t>”</w:t>
      </w:r>
      <w:r w:rsidR="00433BDA">
        <w:rPr>
          <w:rStyle w:val="FootnoteReference"/>
          <w:rFonts w:ascii="Times New Roman" w:hAnsi="Times New Roman" w:cs="Times New Roman"/>
          <w:sz w:val="24"/>
          <w:szCs w:val="24"/>
        </w:rPr>
        <w:footnoteReference w:id="756"/>
      </w:r>
      <w:r w:rsidR="00433BDA">
        <w:rPr>
          <w:rFonts w:ascii="Times New Roman" w:hAnsi="Times New Roman" w:cs="Times New Roman"/>
          <w:sz w:val="24"/>
          <w:szCs w:val="24"/>
        </w:rPr>
        <w:t xml:space="preserve"> The Workers’ Compensation and Safety </w:t>
      </w:r>
      <w:r w:rsidR="00044250">
        <w:rPr>
          <w:rFonts w:ascii="Times New Roman" w:hAnsi="Times New Roman" w:cs="Times New Roman"/>
          <w:sz w:val="24"/>
          <w:szCs w:val="24"/>
        </w:rPr>
        <w:t>D</w:t>
      </w:r>
      <w:r w:rsidR="00433BDA">
        <w:rPr>
          <w:rFonts w:ascii="Times New Roman" w:hAnsi="Times New Roman" w:cs="Times New Roman"/>
          <w:sz w:val="24"/>
          <w:szCs w:val="24"/>
        </w:rPr>
        <w:t>ivision had first determined that Lower’s development of a flesh-</w:t>
      </w:r>
      <w:r w:rsidR="00433BDA">
        <w:rPr>
          <w:rFonts w:ascii="Times New Roman" w:hAnsi="Times New Roman" w:cs="Times New Roman"/>
          <w:sz w:val="24"/>
          <w:szCs w:val="24"/>
        </w:rPr>
        <w:lastRenderedPageBreak/>
        <w:t>eating bacterial condition (that eventually led to leg amputation) was not work-related and denied his claim.</w:t>
      </w:r>
      <w:r w:rsidR="00044250">
        <w:rPr>
          <w:rStyle w:val="FootnoteReference"/>
          <w:rFonts w:ascii="Times New Roman" w:hAnsi="Times New Roman" w:cs="Times New Roman"/>
          <w:sz w:val="24"/>
          <w:szCs w:val="24"/>
        </w:rPr>
        <w:footnoteReference w:id="757"/>
      </w:r>
      <w:r w:rsidR="00433BDA">
        <w:rPr>
          <w:rFonts w:ascii="Times New Roman" w:hAnsi="Times New Roman" w:cs="Times New Roman"/>
          <w:sz w:val="24"/>
          <w:szCs w:val="24"/>
        </w:rPr>
        <w:t xml:space="preserve"> Lower appealed and the case was referred to the Office of Administrative Hearings.</w:t>
      </w:r>
      <w:r w:rsidR="00044250">
        <w:rPr>
          <w:rStyle w:val="FootnoteReference"/>
          <w:rFonts w:ascii="Times New Roman" w:hAnsi="Times New Roman" w:cs="Times New Roman"/>
          <w:sz w:val="24"/>
          <w:szCs w:val="24"/>
        </w:rPr>
        <w:footnoteReference w:id="758"/>
      </w:r>
      <w:r w:rsidR="00433BDA">
        <w:rPr>
          <w:rFonts w:ascii="Times New Roman" w:hAnsi="Times New Roman" w:cs="Times New Roman"/>
          <w:sz w:val="24"/>
          <w:szCs w:val="24"/>
        </w:rPr>
        <w:t xml:space="preserve"> Subsequent to the referral</w:t>
      </w:r>
      <w:r w:rsidR="00A54710">
        <w:rPr>
          <w:rFonts w:ascii="Times New Roman" w:hAnsi="Times New Roman" w:cs="Times New Roman"/>
          <w:sz w:val="24"/>
          <w:szCs w:val="24"/>
        </w:rPr>
        <w:t xml:space="preserve"> an</w:t>
      </w:r>
      <w:r w:rsidR="00433BDA">
        <w:rPr>
          <w:rFonts w:ascii="Times New Roman" w:hAnsi="Times New Roman" w:cs="Times New Roman"/>
          <w:sz w:val="24"/>
          <w:szCs w:val="24"/>
        </w:rPr>
        <w:t xml:space="preserve"> </w:t>
      </w:r>
      <w:r w:rsidR="00A54710">
        <w:rPr>
          <w:rFonts w:ascii="Times New Roman" w:hAnsi="Times New Roman" w:cs="Times New Roman"/>
          <w:sz w:val="24"/>
          <w:szCs w:val="24"/>
        </w:rPr>
        <w:t>“IME” physician opined that the condition was work-related, and the Division withdrew its denial of benefits.</w:t>
      </w:r>
      <w:r w:rsidR="00044250">
        <w:rPr>
          <w:rStyle w:val="FootnoteReference"/>
          <w:rFonts w:ascii="Times New Roman" w:hAnsi="Times New Roman" w:cs="Times New Roman"/>
          <w:sz w:val="24"/>
          <w:szCs w:val="24"/>
        </w:rPr>
        <w:footnoteReference w:id="759"/>
      </w:r>
      <w:r w:rsidR="00A54710">
        <w:rPr>
          <w:rFonts w:ascii="Times New Roman" w:hAnsi="Times New Roman" w:cs="Times New Roman"/>
          <w:sz w:val="24"/>
          <w:szCs w:val="24"/>
        </w:rPr>
        <w:t xml:space="preserve"> The OAH, learning of the Division’s withdrawal issued an order “</w:t>
      </w:r>
      <w:r w:rsidR="00A54710" w:rsidRPr="00A54710">
        <w:rPr>
          <w:rFonts w:ascii="Times New Roman" w:hAnsi="Times New Roman" w:cs="Times New Roman"/>
          <w:sz w:val="24"/>
          <w:szCs w:val="24"/>
        </w:rPr>
        <w:t>vacat</w:t>
      </w:r>
      <w:r w:rsidR="00A54710">
        <w:rPr>
          <w:rFonts w:ascii="Times New Roman" w:hAnsi="Times New Roman" w:cs="Times New Roman"/>
          <w:sz w:val="24"/>
          <w:szCs w:val="24"/>
        </w:rPr>
        <w:t xml:space="preserve">[ing] </w:t>
      </w:r>
      <w:r w:rsidR="00A54710" w:rsidRPr="00A54710">
        <w:rPr>
          <w:rFonts w:ascii="Times New Roman" w:hAnsi="Times New Roman" w:cs="Times New Roman"/>
          <w:sz w:val="24"/>
          <w:szCs w:val="24"/>
        </w:rPr>
        <w:t>the pending hearing; directed that the disputed claims be</w:t>
      </w:r>
      <w:r w:rsidR="00A54710">
        <w:rPr>
          <w:rFonts w:ascii="Times New Roman" w:hAnsi="Times New Roman" w:cs="Times New Roman"/>
          <w:sz w:val="24"/>
          <w:szCs w:val="24"/>
        </w:rPr>
        <w:t xml:space="preserve"> </w:t>
      </w:r>
      <w:r w:rsidR="00A54710" w:rsidRPr="00A54710">
        <w:rPr>
          <w:rFonts w:ascii="Times New Roman" w:hAnsi="Times New Roman" w:cs="Times New Roman"/>
          <w:sz w:val="24"/>
          <w:szCs w:val="24"/>
        </w:rPr>
        <w:t>paid; dismissed the proceedings; and returned the case to the</w:t>
      </w:r>
      <w:r w:rsidR="00A54710">
        <w:rPr>
          <w:rFonts w:ascii="Times New Roman" w:hAnsi="Times New Roman" w:cs="Times New Roman"/>
          <w:sz w:val="24"/>
          <w:szCs w:val="24"/>
        </w:rPr>
        <w:t xml:space="preserve"> </w:t>
      </w:r>
      <w:r w:rsidR="00A54710" w:rsidRPr="00A54710">
        <w:rPr>
          <w:rFonts w:ascii="Times New Roman" w:hAnsi="Times New Roman" w:cs="Times New Roman"/>
          <w:sz w:val="24"/>
          <w:szCs w:val="24"/>
        </w:rPr>
        <w:t>Division.</w:t>
      </w:r>
      <w:r w:rsidR="00A54710">
        <w:rPr>
          <w:rFonts w:ascii="Times New Roman" w:hAnsi="Times New Roman" w:cs="Times New Roman"/>
          <w:sz w:val="24"/>
          <w:szCs w:val="24"/>
        </w:rPr>
        <w:t>”</w:t>
      </w:r>
      <w:r w:rsidR="00044250">
        <w:rPr>
          <w:rStyle w:val="FootnoteReference"/>
          <w:rFonts w:ascii="Times New Roman" w:hAnsi="Times New Roman" w:cs="Times New Roman"/>
          <w:sz w:val="24"/>
          <w:szCs w:val="24"/>
        </w:rPr>
        <w:footnoteReference w:id="760"/>
      </w:r>
      <w:r w:rsidR="00A54710">
        <w:rPr>
          <w:rFonts w:ascii="Times New Roman" w:hAnsi="Times New Roman" w:cs="Times New Roman"/>
          <w:sz w:val="24"/>
          <w:szCs w:val="24"/>
        </w:rPr>
        <w:t xml:space="preserve"> The Division subsequently issued a new order awarding benefits and affording a right of appeal</w:t>
      </w:r>
      <w:r w:rsidR="00044250">
        <w:rPr>
          <w:rFonts w:ascii="Times New Roman" w:hAnsi="Times New Roman" w:cs="Times New Roman"/>
          <w:sz w:val="24"/>
          <w:szCs w:val="24"/>
        </w:rPr>
        <w:t xml:space="preserve"> to the involved parties</w:t>
      </w:r>
      <w:r w:rsidR="00A54710">
        <w:rPr>
          <w:rFonts w:ascii="Times New Roman" w:hAnsi="Times New Roman" w:cs="Times New Roman"/>
          <w:sz w:val="24"/>
          <w:szCs w:val="24"/>
        </w:rPr>
        <w:t>.</w:t>
      </w:r>
      <w:r w:rsidR="00044250">
        <w:rPr>
          <w:rStyle w:val="FootnoteReference"/>
          <w:rFonts w:ascii="Times New Roman" w:hAnsi="Times New Roman" w:cs="Times New Roman"/>
          <w:sz w:val="24"/>
          <w:szCs w:val="24"/>
        </w:rPr>
        <w:footnoteReference w:id="761"/>
      </w:r>
      <w:r w:rsidR="00A54710">
        <w:rPr>
          <w:rFonts w:ascii="Times New Roman" w:hAnsi="Times New Roman" w:cs="Times New Roman"/>
          <w:sz w:val="24"/>
          <w:szCs w:val="24"/>
        </w:rPr>
        <w:t xml:space="preserve"> The Employer appealed from this order but had not appealed from the OAH order.</w:t>
      </w:r>
      <w:r w:rsidR="00044250">
        <w:rPr>
          <w:rStyle w:val="FootnoteReference"/>
          <w:rFonts w:ascii="Times New Roman" w:hAnsi="Times New Roman" w:cs="Times New Roman"/>
          <w:sz w:val="24"/>
          <w:szCs w:val="24"/>
        </w:rPr>
        <w:footnoteReference w:id="762"/>
      </w:r>
      <w:r w:rsidR="00A54710">
        <w:rPr>
          <w:rFonts w:ascii="Times New Roman" w:hAnsi="Times New Roman" w:cs="Times New Roman"/>
          <w:sz w:val="24"/>
          <w:szCs w:val="24"/>
        </w:rPr>
        <w:t xml:space="preserve"> The Wyoming Supreme Court</w:t>
      </w:r>
      <w:r w:rsidR="005A7BAE">
        <w:rPr>
          <w:rFonts w:ascii="Times New Roman" w:hAnsi="Times New Roman" w:cs="Times New Roman"/>
          <w:sz w:val="24"/>
          <w:szCs w:val="24"/>
        </w:rPr>
        <w:t xml:space="preserve"> concluded</w:t>
      </w:r>
      <w:r w:rsidR="00A54710">
        <w:rPr>
          <w:rFonts w:ascii="Times New Roman" w:hAnsi="Times New Roman" w:cs="Times New Roman"/>
          <w:sz w:val="24"/>
          <w:szCs w:val="24"/>
        </w:rPr>
        <w:t xml:space="preserve">, however, that the OAH never </w:t>
      </w:r>
      <w:r w:rsidR="00A54710" w:rsidRPr="00A54710">
        <w:rPr>
          <w:rFonts w:ascii="Times New Roman" w:hAnsi="Times New Roman" w:cs="Times New Roman"/>
          <w:sz w:val="24"/>
          <w:szCs w:val="24"/>
        </w:rPr>
        <w:t>had the authority to</w:t>
      </w:r>
      <w:r w:rsidR="00A54710">
        <w:rPr>
          <w:rFonts w:ascii="Times New Roman" w:hAnsi="Times New Roman" w:cs="Times New Roman"/>
          <w:sz w:val="24"/>
          <w:szCs w:val="24"/>
        </w:rPr>
        <w:t xml:space="preserve"> </w:t>
      </w:r>
      <w:r w:rsidR="00A54710" w:rsidRPr="00A54710">
        <w:rPr>
          <w:rFonts w:ascii="Times New Roman" w:hAnsi="Times New Roman" w:cs="Times New Roman"/>
          <w:sz w:val="24"/>
          <w:szCs w:val="24"/>
        </w:rPr>
        <w:t>award benefits in its procedural order</w:t>
      </w:r>
      <w:r w:rsidR="00A54710">
        <w:rPr>
          <w:rFonts w:ascii="Times New Roman" w:hAnsi="Times New Roman" w:cs="Times New Roman"/>
          <w:sz w:val="24"/>
          <w:szCs w:val="24"/>
        </w:rPr>
        <w:t>.</w:t>
      </w:r>
      <w:r w:rsidR="00044250">
        <w:rPr>
          <w:rStyle w:val="FootnoteReference"/>
          <w:rFonts w:ascii="Times New Roman" w:hAnsi="Times New Roman" w:cs="Times New Roman"/>
          <w:sz w:val="24"/>
          <w:szCs w:val="24"/>
        </w:rPr>
        <w:footnoteReference w:id="763"/>
      </w:r>
      <w:r w:rsidR="00A54710">
        <w:rPr>
          <w:rFonts w:ascii="Times New Roman" w:hAnsi="Times New Roman" w:cs="Times New Roman"/>
          <w:sz w:val="24"/>
          <w:szCs w:val="24"/>
        </w:rPr>
        <w:t xml:space="preserve"> At the end of the day, the entitlement to benefits </w:t>
      </w:r>
      <w:r w:rsidR="00044250">
        <w:rPr>
          <w:rFonts w:ascii="Times New Roman" w:hAnsi="Times New Roman" w:cs="Times New Roman"/>
          <w:sz w:val="24"/>
          <w:szCs w:val="24"/>
        </w:rPr>
        <w:t>had not been decided in a prior adjudication so collateral estoppel could not have attached.</w:t>
      </w:r>
      <w:r w:rsidR="00044250">
        <w:rPr>
          <w:rStyle w:val="FootnoteReference"/>
          <w:rFonts w:ascii="Times New Roman" w:hAnsi="Times New Roman" w:cs="Times New Roman"/>
          <w:sz w:val="24"/>
          <w:szCs w:val="24"/>
        </w:rPr>
        <w:footnoteReference w:id="764"/>
      </w:r>
      <w:r w:rsidR="00433BDA">
        <w:rPr>
          <w:rFonts w:ascii="Times New Roman" w:hAnsi="Times New Roman" w:cs="Times New Roman"/>
          <w:sz w:val="24"/>
          <w:szCs w:val="24"/>
        </w:rPr>
        <w:t xml:space="preserve">  </w:t>
      </w:r>
    </w:p>
    <w:p w14:paraId="16EBE2A2" w14:textId="77777777" w:rsidR="006B1474" w:rsidRDefault="006B1474" w:rsidP="00E91DC5">
      <w:pPr>
        <w:pStyle w:val="ListParagraph"/>
        <w:spacing w:after="0"/>
        <w:ind w:left="0" w:firstLine="720"/>
        <w:jc w:val="both"/>
        <w:rPr>
          <w:rFonts w:ascii="Times New Roman" w:hAnsi="Times New Roman" w:cs="Times New Roman"/>
          <w:sz w:val="24"/>
          <w:szCs w:val="24"/>
        </w:rPr>
      </w:pPr>
    </w:p>
    <w:p w14:paraId="31F0BC4B" w14:textId="385D57E8" w:rsidR="00FF7482" w:rsidRDefault="00FF7482" w:rsidP="00A75209">
      <w:pPr>
        <w:pStyle w:val="Heading2"/>
        <w:spacing w:before="0"/>
        <w:rPr>
          <w:rFonts w:ascii="Times New Roman" w:hAnsi="Times New Roman" w:cs="Times New Roman"/>
          <w:b/>
          <w:color w:val="auto"/>
          <w:sz w:val="28"/>
          <w:szCs w:val="28"/>
        </w:rPr>
      </w:pPr>
      <w:bookmarkStart w:id="1051" w:name="_Toc75269426"/>
      <w:r w:rsidRPr="001C76B2">
        <w:rPr>
          <w:rFonts w:ascii="Times New Roman" w:hAnsi="Times New Roman" w:cs="Times New Roman"/>
          <w:b/>
          <w:color w:val="auto"/>
          <w:sz w:val="28"/>
          <w:szCs w:val="28"/>
        </w:rPr>
        <w:t>Judicial Notice</w:t>
      </w:r>
      <w:bookmarkEnd w:id="1051"/>
    </w:p>
    <w:p w14:paraId="238B2008" w14:textId="2B588EC7" w:rsidR="00FF7482" w:rsidRDefault="00FF7482" w:rsidP="00A21EC3">
      <w:pPr>
        <w:spacing w:after="0"/>
      </w:pPr>
    </w:p>
    <w:p w14:paraId="17532FA2" w14:textId="711193B5" w:rsidR="00FF7482" w:rsidRDefault="00FF7482" w:rsidP="00A75209">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T</w:t>
      </w:r>
      <w:r w:rsidRPr="00A21EC3">
        <w:rPr>
          <w:rFonts w:ascii="Times New Roman" w:hAnsi="Times New Roman" w:cs="Times New Roman"/>
          <w:sz w:val="24"/>
          <w:szCs w:val="24"/>
        </w:rPr>
        <w:t xml:space="preserve">he Wyoming </w:t>
      </w:r>
      <w:r w:rsidRPr="001F3142">
        <w:rPr>
          <w:rFonts w:ascii="Times New Roman" w:hAnsi="Times New Roman" w:cs="Times New Roman"/>
          <w:b/>
          <w:bCs/>
          <w:sz w:val="24"/>
          <w:szCs w:val="24"/>
        </w:rPr>
        <w:t>Contested Case Procedures</w:t>
      </w:r>
      <w:r w:rsidRPr="00A21EC3">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65"/>
      </w:r>
      <w:r w:rsidRPr="00A21EC3">
        <w:rPr>
          <w:rFonts w:ascii="Times New Roman" w:hAnsi="Times New Roman" w:cs="Times New Roman"/>
          <w:sz w:val="24"/>
          <w:szCs w:val="24"/>
        </w:rPr>
        <w:t xml:space="preserve"> which, as will be discussed</w:t>
      </w:r>
      <w:r>
        <w:rPr>
          <w:rFonts w:ascii="Times New Roman" w:hAnsi="Times New Roman" w:cs="Times New Roman"/>
          <w:sz w:val="24"/>
          <w:szCs w:val="24"/>
        </w:rPr>
        <w:t xml:space="preserve"> in the next section</w:t>
      </w:r>
      <w:r w:rsidRPr="00A21EC3">
        <w:rPr>
          <w:rFonts w:ascii="Times New Roman" w:hAnsi="Times New Roman" w:cs="Times New Roman"/>
          <w:sz w:val="24"/>
          <w:szCs w:val="24"/>
        </w:rPr>
        <w:t>, govern workers’ compensation adjudication in Wyoming</w:t>
      </w:r>
      <w:r>
        <w:rPr>
          <w:rFonts w:ascii="Times New Roman" w:hAnsi="Times New Roman" w:cs="Times New Roman"/>
          <w:sz w:val="24"/>
          <w:szCs w:val="24"/>
        </w:rPr>
        <w:t>, define the scope of judicial notice in Wyoming workers’ compensation cases:</w:t>
      </w:r>
    </w:p>
    <w:p w14:paraId="40B834E7" w14:textId="77777777" w:rsidR="00FF7482" w:rsidRDefault="00FF7482" w:rsidP="001C76B2">
      <w:pPr>
        <w:pStyle w:val="ListParagraph"/>
        <w:spacing w:after="0"/>
        <w:ind w:left="0" w:firstLine="720"/>
        <w:jc w:val="both"/>
        <w:rPr>
          <w:rFonts w:ascii="Times New Roman" w:hAnsi="Times New Roman" w:cs="Times New Roman"/>
          <w:sz w:val="24"/>
          <w:szCs w:val="24"/>
        </w:rPr>
      </w:pPr>
    </w:p>
    <w:p w14:paraId="7F6A20C9" w14:textId="5161E9CC" w:rsidR="00FF7482" w:rsidRDefault="00FF7482" w:rsidP="00A75209">
      <w:pPr>
        <w:pStyle w:val="ListParagraph"/>
        <w:spacing w:after="0"/>
        <w:ind w:right="720"/>
        <w:jc w:val="both"/>
        <w:rPr>
          <w:rFonts w:ascii="Times New Roman" w:hAnsi="Times New Roman" w:cs="Times New Roman"/>
          <w:sz w:val="24"/>
          <w:szCs w:val="24"/>
        </w:rPr>
      </w:pPr>
      <w:r w:rsidRPr="00A21EC3">
        <w:rPr>
          <w:rFonts w:ascii="Times New Roman" w:hAnsi="Times New Roman" w:cs="Times New Roman"/>
          <w:sz w:val="24"/>
          <w:szCs w:val="24"/>
        </w:rPr>
        <w:t xml:space="preserve">Notice may be taken of </w:t>
      </w:r>
      <w:r w:rsidRPr="00262982">
        <w:rPr>
          <w:rFonts w:ascii="Times New Roman" w:hAnsi="Times New Roman" w:cs="Times New Roman"/>
          <w:b/>
          <w:bCs/>
          <w:sz w:val="24"/>
          <w:szCs w:val="24"/>
          <w:u w:val="single"/>
        </w:rPr>
        <w:t>judicially cognizable facts</w:t>
      </w:r>
      <w:r w:rsidRPr="00A21EC3">
        <w:rPr>
          <w:rFonts w:ascii="Times New Roman" w:hAnsi="Times New Roman" w:cs="Times New Roman"/>
          <w:sz w:val="24"/>
          <w:szCs w:val="24"/>
        </w:rPr>
        <w:t xml:space="preserve">. In addition notice may be taken of </w:t>
      </w:r>
      <w:r w:rsidRPr="00262982">
        <w:rPr>
          <w:rFonts w:ascii="Times New Roman" w:hAnsi="Times New Roman" w:cs="Times New Roman"/>
          <w:b/>
          <w:bCs/>
          <w:sz w:val="24"/>
          <w:szCs w:val="24"/>
          <w:u w:val="single"/>
        </w:rPr>
        <w:t>technical or scientific facts within the agency's specialized knowledge or of information, data and material included within the agency's files</w:t>
      </w:r>
      <w:r w:rsidRPr="00A21EC3">
        <w:rPr>
          <w:rFonts w:ascii="Times New Roman" w:hAnsi="Times New Roman" w:cs="Times New Roman"/>
          <w:sz w:val="24"/>
          <w:szCs w:val="24"/>
        </w:rPr>
        <w:t xml:space="preserve">. The parties shall be notified either before or during the hearing or after the hearing but before the agency decision of material facts noticed, and they </w:t>
      </w:r>
      <w:r w:rsidRPr="00262982">
        <w:rPr>
          <w:rFonts w:ascii="Times New Roman" w:hAnsi="Times New Roman" w:cs="Times New Roman"/>
          <w:b/>
          <w:bCs/>
          <w:sz w:val="24"/>
          <w:szCs w:val="24"/>
          <w:u w:val="single"/>
        </w:rPr>
        <w:t>shall be afforded an opportunity to contest the facts noticed</w:t>
      </w:r>
      <w:r w:rsidRPr="00A21EC3">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66"/>
      </w:r>
    </w:p>
    <w:p w14:paraId="5E75C682" w14:textId="425B351C" w:rsidR="00FF7482" w:rsidRDefault="00FF7482" w:rsidP="00A21EC3">
      <w:pPr>
        <w:pStyle w:val="ListParagraph"/>
        <w:spacing w:after="0"/>
        <w:ind w:right="720"/>
        <w:jc w:val="both"/>
        <w:rPr>
          <w:rFonts w:ascii="Times New Roman" w:hAnsi="Times New Roman" w:cs="Times New Roman"/>
          <w:sz w:val="24"/>
          <w:szCs w:val="24"/>
        </w:rPr>
      </w:pPr>
    </w:p>
    <w:p w14:paraId="7294294B" w14:textId="6CD67C06" w:rsidR="00FF7482" w:rsidRDefault="00FF7482" w:rsidP="00A75209">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These general rules are straightforward, but cases implicating the principles occasionally arise. Thus, in </w:t>
      </w:r>
      <w:bookmarkStart w:id="1054" w:name="_Hlk12373813"/>
      <w:r w:rsidRPr="0082531F">
        <w:rPr>
          <w:rFonts w:ascii="Times New Roman" w:hAnsi="Times New Roman" w:cs="Times New Roman"/>
          <w:i/>
          <w:iCs/>
          <w:sz w:val="24"/>
          <w:szCs w:val="24"/>
        </w:rPr>
        <w:t>Workers’ Compensation Claim of Rodgers v. Workers’ Safety &amp; Compensation Div</w:t>
      </w:r>
      <w:bookmarkEnd w:id="1054"/>
      <w:r w:rsidRPr="0082531F">
        <w:rPr>
          <w:rFonts w:ascii="Times New Roman" w:hAnsi="Times New Roman" w:cs="Times New Roman"/>
          <w:i/>
          <w:iCs/>
          <w:sz w:val="24"/>
          <w:szCs w:val="24"/>
        </w:rPr>
        <w:t>.</w:t>
      </w:r>
      <w:r>
        <w:rPr>
          <w:rFonts w:ascii="Times New Roman" w:hAnsi="Times New Roman" w:cs="Times New Roman"/>
          <w:sz w:val="24"/>
          <w:szCs w:val="24"/>
        </w:rPr>
        <w:t>, a claimant challenged the Division’s refusal to pay a claim for benefits for the treatment of gastrointestinal problems allegedly caused by pain medications for a work-related back injury.</w:t>
      </w:r>
      <w:r w:rsidRPr="00910BB7">
        <w:rPr>
          <w:rFonts w:ascii="Times New Roman" w:hAnsi="Times New Roman" w:cs="Times New Roman"/>
          <w:sz w:val="24"/>
          <w:szCs w:val="24"/>
          <w:vertAlign w:val="superscript"/>
        </w:rPr>
        <w:footnoteReference w:id="767"/>
      </w:r>
      <w:r>
        <w:rPr>
          <w:rFonts w:ascii="Times New Roman" w:hAnsi="Times New Roman" w:cs="Times New Roman"/>
          <w:sz w:val="24"/>
          <w:szCs w:val="24"/>
        </w:rPr>
        <w:t xml:space="preserve"> The Medical Commission </w:t>
      </w:r>
      <w:r>
        <w:rPr>
          <w:rFonts w:ascii="Times New Roman" w:hAnsi="Times New Roman" w:cs="Times New Roman"/>
          <w:sz w:val="24"/>
          <w:szCs w:val="24"/>
        </w:rPr>
        <w:lastRenderedPageBreak/>
        <w:t>upheld the Division’s denial of benefits, but was itself reversed by the Wyoming Supreme Court for a number of problems the Court found with the Commission’s fact finding.</w:t>
      </w:r>
      <w:r w:rsidRPr="00910BB7">
        <w:rPr>
          <w:rFonts w:ascii="Times New Roman" w:hAnsi="Times New Roman" w:cs="Times New Roman"/>
          <w:sz w:val="24"/>
          <w:szCs w:val="24"/>
          <w:vertAlign w:val="superscript"/>
        </w:rPr>
        <w:footnoteReference w:id="768"/>
      </w:r>
      <w:r>
        <w:rPr>
          <w:rFonts w:ascii="Times New Roman" w:hAnsi="Times New Roman" w:cs="Times New Roman"/>
          <w:sz w:val="24"/>
          <w:szCs w:val="24"/>
        </w:rPr>
        <w:t xml:space="preserve"> </w:t>
      </w:r>
    </w:p>
    <w:p w14:paraId="79CD3BF4" w14:textId="77777777" w:rsidR="00FF7482" w:rsidRDefault="00FF7482" w:rsidP="00262982">
      <w:pPr>
        <w:pStyle w:val="ListParagraph"/>
        <w:spacing w:after="0"/>
        <w:ind w:left="0" w:firstLine="720"/>
        <w:jc w:val="both"/>
        <w:rPr>
          <w:rFonts w:ascii="Times New Roman" w:hAnsi="Times New Roman" w:cs="Times New Roman"/>
          <w:sz w:val="24"/>
          <w:szCs w:val="24"/>
        </w:rPr>
      </w:pPr>
    </w:p>
    <w:p w14:paraId="401156C0" w14:textId="45B36546" w:rsidR="00FF7482" w:rsidRDefault="00FF7482" w:rsidP="0082531F">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One such problem was that the Medical Commission had taken judicial notice of a contested fact. A material issue to the case was when the claimant’s “esophageal stricture” (narrowing of the esophagus) had first appeared.</w:t>
      </w:r>
      <w:r w:rsidRPr="00910BB7">
        <w:rPr>
          <w:rFonts w:ascii="Times New Roman" w:hAnsi="Times New Roman" w:cs="Times New Roman"/>
          <w:sz w:val="24"/>
          <w:szCs w:val="24"/>
          <w:vertAlign w:val="superscript"/>
        </w:rPr>
        <w:footnoteReference w:id="769"/>
      </w:r>
      <w:r>
        <w:rPr>
          <w:rFonts w:ascii="Times New Roman" w:hAnsi="Times New Roman" w:cs="Times New Roman"/>
          <w:sz w:val="24"/>
          <w:szCs w:val="24"/>
        </w:rPr>
        <w:t xml:space="preserve"> The claimant presented evidence that the stricture had occurred early in relation to his consuming of pain medication,</w:t>
      </w:r>
      <w:r w:rsidRPr="00910BB7">
        <w:rPr>
          <w:rFonts w:ascii="Times New Roman" w:hAnsi="Times New Roman" w:cs="Times New Roman"/>
          <w:sz w:val="24"/>
          <w:szCs w:val="24"/>
          <w:vertAlign w:val="superscript"/>
        </w:rPr>
        <w:footnoteReference w:id="770"/>
      </w:r>
      <w:r>
        <w:rPr>
          <w:rFonts w:ascii="Times New Roman" w:hAnsi="Times New Roman" w:cs="Times New Roman"/>
          <w:sz w:val="24"/>
          <w:szCs w:val="24"/>
        </w:rPr>
        <w:t xml:space="preserve"> which suggested a causal relationship between the pain medication and the stricture. The Medical Commission panel posited an alternative theory, however: “</w:t>
      </w:r>
      <w:r w:rsidRPr="006D0503">
        <w:rPr>
          <w:rFonts w:ascii="Times New Roman" w:hAnsi="Times New Roman" w:cs="Times New Roman"/>
          <w:sz w:val="24"/>
          <w:szCs w:val="24"/>
        </w:rPr>
        <w:t>This Panel notes that a Schatzki's ring is also known as a lower esophageal ring and generally consists [of] thin rings of tissue that occur in the lower (distal) esophageal junction and is generally associated with hiatal hernia and is not caused by reflux.</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71"/>
      </w:r>
      <w:r>
        <w:rPr>
          <w:rFonts w:ascii="Times New Roman" w:hAnsi="Times New Roman" w:cs="Times New Roman"/>
          <w:sz w:val="24"/>
          <w:szCs w:val="24"/>
        </w:rPr>
        <w:t xml:space="preserve"> But as the Court noted, “[t]</w:t>
      </w:r>
      <w:r w:rsidRPr="006D0503">
        <w:rPr>
          <w:rFonts w:ascii="Times New Roman" w:hAnsi="Times New Roman" w:cs="Times New Roman"/>
          <w:sz w:val="24"/>
          <w:szCs w:val="24"/>
        </w:rPr>
        <w:t xml:space="preserve">he record contains no information describing a Schatzki's ring or its cause, and </w:t>
      </w:r>
      <w:r>
        <w:rPr>
          <w:rFonts w:ascii="Times New Roman" w:hAnsi="Times New Roman" w:cs="Times New Roman"/>
          <w:sz w:val="24"/>
          <w:szCs w:val="24"/>
        </w:rPr>
        <w:t>[the claimant]</w:t>
      </w:r>
      <w:r w:rsidRPr="006D0503">
        <w:rPr>
          <w:rFonts w:ascii="Times New Roman" w:hAnsi="Times New Roman" w:cs="Times New Roman"/>
          <w:sz w:val="24"/>
          <w:szCs w:val="24"/>
        </w:rPr>
        <w:t xml:space="preserve"> therefore argues that the Medical Commission improperly took judicial notice of a contested fact when it made this finding. We agree.</w:t>
      </w:r>
      <w:r>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72"/>
      </w:r>
    </w:p>
    <w:p w14:paraId="2F6F8D41" w14:textId="658ACA15" w:rsidR="00FF7482" w:rsidRDefault="00FF7482" w:rsidP="00262982">
      <w:pPr>
        <w:pStyle w:val="ListParagraph"/>
        <w:spacing w:after="0"/>
        <w:ind w:left="0" w:firstLine="720"/>
        <w:jc w:val="both"/>
        <w:rPr>
          <w:rFonts w:ascii="Times New Roman" w:hAnsi="Times New Roman" w:cs="Times New Roman"/>
          <w:sz w:val="24"/>
          <w:szCs w:val="24"/>
        </w:rPr>
      </w:pPr>
    </w:p>
    <w:p w14:paraId="2283A418" w14:textId="70331E7D" w:rsidR="00FF7482" w:rsidRPr="001E27A7" w:rsidRDefault="00FF7482" w:rsidP="001E27A7">
      <w:pPr>
        <w:spacing w:after="0"/>
        <w:jc w:val="both"/>
        <w:rPr>
          <w:rFonts w:ascii="Times New Roman" w:hAnsi="Times New Roman" w:cs="Times New Roman"/>
          <w:sz w:val="24"/>
          <w:szCs w:val="24"/>
        </w:rPr>
      </w:pPr>
      <w:r w:rsidRPr="001E27A7">
        <w:rPr>
          <w:rFonts w:ascii="Times New Roman" w:hAnsi="Times New Roman" w:cs="Times New Roman"/>
          <w:sz w:val="24"/>
          <w:szCs w:val="24"/>
        </w:rPr>
        <w:t>The case was ultimately remanded with the unusual instructions:</w:t>
      </w:r>
    </w:p>
    <w:p w14:paraId="05B3F66B" w14:textId="77777777" w:rsidR="00FF7482" w:rsidRDefault="00FF7482" w:rsidP="00262982">
      <w:pPr>
        <w:pStyle w:val="ListParagraph"/>
        <w:spacing w:after="0"/>
        <w:ind w:left="0" w:firstLine="720"/>
        <w:jc w:val="both"/>
        <w:rPr>
          <w:rFonts w:ascii="Times New Roman" w:hAnsi="Times New Roman" w:cs="Times New Roman"/>
          <w:sz w:val="24"/>
          <w:szCs w:val="24"/>
        </w:rPr>
      </w:pPr>
    </w:p>
    <w:p w14:paraId="18776ECF" w14:textId="6B1C8695" w:rsidR="00FF7482" w:rsidRPr="00FD20CF" w:rsidRDefault="00FF7482" w:rsidP="001E27A7">
      <w:pPr>
        <w:pStyle w:val="ListParagraph"/>
        <w:spacing w:after="0"/>
        <w:ind w:right="720"/>
        <w:jc w:val="both"/>
        <w:rPr>
          <w:rFonts w:ascii="Times New Roman" w:hAnsi="Times New Roman" w:cs="Times New Roman"/>
          <w:sz w:val="24"/>
          <w:szCs w:val="24"/>
        </w:rPr>
      </w:pPr>
      <w:r w:rsidRPr="00FD20CF">
        <w:rPr>
          <w:rFonts w:ascii="Times New Roman" w:hAnsi="Times New Roman" w:cs="Times New Roman"/>
          <w:sz w:val="24"/>
          <w:szCs w:val="24"/>
        </w:rPr>
        <w:t xml:space="preserve">Based on Dr. Kuckel's opinion, </w:t>
      </w:r>
      <w:r>
        <w:rPr>
          <w:rFonts w:ascii="Times New Roman" w:hAnsi="Times New Roman" w:cs="Times New Roman"/>
          <w:sz w:val="24"/>
          <w:szCs w:val="24"/>
        </w:rPr>
        <w:t>[the claimant’s]</w:t>
      </w:r>
      <w:r w:rsidRPr="00FD20CF">
        <w:rPr>
          <w:rFonts w:ascii="Times New Roman" w:hAnsi="Times New Roman" w:cs="Times New Roman"/>
          <w:sz w:val="24"/>
          <w:szCs w:val="24"/>
        </w:rPr>
        <w:t xml:space="preserve"> use of narcotic pain medications to treat his chronic back pain caused his gastrointestinal problems which caused his esophageal stricture. </w:t>
      </w:r>
      <w:r w:rsidRPr="00FD20CF">
        <w:rPr>
          <w:rFonts w:ascii="Times New Roman" w:hAnsi="Times New Roman" w:cs="Times New Roman"/>
          <w:b/>
          <w:bCs/>
          <w:sz w:val="24"/>
          <w:szCs w:val="24"/>
        </w:rPr>
        <w:t>Only a “small portion” of [the claimant’s] condition is related to the presence of H. pylori</w:t>
      </w:r>
      <w:r>
        <w:rPr>
          <w:rFonts w:ascii="Times New Roman" w:hAnsi="Times New Roman" w:cs="Times New Roman"/>
          <w:sz w:val="24"/>
          <w:szCs w:val="24"/>
        </w:rPr>
        <w:t xml:space="preserve"> (an alternative causal explanation for the stricture)</w:t>
      </w:r>
      <w:r w:rsidRPr="00FD20CF">
        <w:rPr>
          <w:rFonts w:ascii="Times New Roman" w:hAnsi="Times New Roman" w:cs="Times New Roman"/>
          <w:sz w:val="24"/>
          <w:szCs w:val="24"/>
        </w:rPr>
        <w:t xml:space="preserve"> which all parties agree is not related to the pain medications. </w:t>
      </w:r>
      <w:r w:rsidRPr="00FD20CF">
        <w:rPr>
          <w:rFonts w:ascii="Times New Roman" w:hAnsi="Times New Roman" w:cs="Times New Roman"/>
          <w:b/>
          <w:bCs/>
          <w:sz w:val="24"/>
          <w:szCs w:val="24"/>
        </w:rPr>
        <w:t xml:space="preserve">We therefore reverse the order of the district court and remand with directions to vacate the order denying benefits. Further, the district court is to remand the case to the Medical Commission for entry of an order awarding benefits for the diagnosis and treatment of </w:t>
      </w:r>
      <w:r>
        <w:rPr>
          <w:rFonts w:ascii="Times New Roman" w:hAnsi="Times New Roman" w:cs="Times New Roman"/>
          <w:b/>
          <w:bCs/>
          <w:sz w:val="24"/>
          <w:szCs w:val="24"/>
        </w:rPr>
        <w:t>[the claimant’s]</w:t>
      </w:r>
      <w:r w:rsidRPr="00FD20CF">
        <w:rPr>
          <w:rFonts w:ascii="Times New Roman" w:hAnsi="Times New Roman" w:cs="Times New Roman"/>
          <w:b/>
          <w:bCs/>
          <w:sz w:val="24"/>
          <w:szCs w:val="24"/>
        </w:rPr>
        <w:t xml:space="preserve"> gastrointestinal problems and esophageal stricture, with the exception of any costs related solely to the treatment of</w:t>
      </w:r>
      <w:r>
        <w:rPr>
          <w:rFonts w:ascii="Times New Roman" w:hAnsi="Times New Roman" w:cs="Times New Roman"/>
          <w:b/>
          <w:bCs/>
          <w:sz w:val="24"/>
          <w:szCs w:val="24"/>
        </w:rPr>
        <w:t xml:space="preserve"> claimant</w:t>
      </w:r>
      <w:r w:rsidRPr="00FD20CF">
        <w:rPr>
          <w:rFonts w:ascii="Times New Roman" w:hAnsi="Times New Roman" w:cs="Times New Roman"/>
          <w:b/>
          <w:bCs/>
          <w:sz w:val="24"/>
          <w:szCs w:val="24"/>
        </w:rPr>
        <w:t xml:space="preserve"> for the presence of H. pylori</w:t>
      </w:r>
      <w:r w:rsidRPr="001E27A7">
        <w:rPr>
          <w:rFonts w:ascii="Times New Roman" w:hAnsi="Times New Roman" w:cs="Times New Roman"/>
          <w:sz w:val="24"/>
          <w:szCs w:val="24"/>
        </w:rPr>
        <w:t>.</w:t>
      </w:r>
      <w:r w:rsidRPr="00910BB7">
        <w:rPr>
          <w:rFonts w:ascii="Times New Roman" w:hAnsi="Times New Roman" w:cs="Times New Roman"/>
          <w:sz w:val="24"/>
          <w:szCs w:val="24"/>
          <w:vertAlign w:val="superscript"/>
        </w:rPr>
        <w:footnoteReference w:id="773"/>
      </w:r>
    </w:p>
    <w:p w14:paraId="6276D9FF" w14:textId="77777777" w:rsidR="00FF7482" w:rsidRDefault="00FF7482" w:rsidP="00FD20CF">
      <w:pPr>
        <w:pStyle w:val="ListParagraph"/>
        <w:spacing w:after="0"/>
        <w:ind w:left="0" w:firstLine="720"/>
        <w:jc w:val="both"/>
        <w:rPr>
          <w:rFonts w:ascii="Times New Roman" w:hAnsi="Times New Roman" w:cs="Times New Roman"/>
          <w:sz w:val="24"/>
          <w:szCs w:val="24"/>
        </w:rPr>
      </w:pPr>
    </w:p>
    <w:p w14:paraId="2D763D0C" w14:textId="565DAB06" w:rsidR="00FF7482" w:rsidRDefault="00FF7482" w:rsidP="001E27A7">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It might be wondered why a fact finder would have been moved to judicially notice a medical condition, but it is really not so surprising. While a lay fact finder would </w:t>
      </w:r>
      <w:r>
        <w:rPr>
          <w:rFonts w:ascii="Times New Roman" w:hAnsi="Times New Roman" w:cs="Times New Roman"/>
          <w:sz w:val="24"/>
          <w:szCs w:val="24"/>
        </w:rPr>
        <w:lastRenderedPageBreak/>
        <w:t xml:space="preserve">be unlikely to attempt to diagnose or define a medical condition, the hearing panel were, after all, doctors, who routinely diagnose and define medical terms. The case underscores the challenges of medical fact finding. While the fact finder </w:t>
      </w:r>
      <w:r w:rsidRPr="00B540C7">
        <w:rPr>
          <w:rFonts w:ascii="Times New Roman" w:hAnsi="Times New Roman" w:cs="Times New Roman"/>
          <w:i/>
          <w:iCs/>
          <w:sz w:val="24"/>
          <w:szCs w:val="24"/>
        </w:rPr>
        <w:t>possesses</w:t>
      </w:r>
      <w:r>
        <w:rPr>
          <w:rFonts w:ascii="Times New Roman" w:hAnsi="Times New Roman" w:cs="Times New Roman"/>
          <w:sz w:val="24"/>
          <w:szCs w:val="24"/>
        </w:rPr>
        <w:t xml:space="preserve"> medical expertise, it may not use that expertise as a </w:t>
      </w:r>
      <w:r w:rsidRPr="00B540C7">
        <w:rPr>
          <w:rFonts w:ascii="Times New Roman" w:hAnsi="Times New Roman" w:cs="Times New Roman"/>
          <w:i/>
          <w:iCs/>
          <w:sz w:val="24"/>
          <w:szCs w:val="24"/>
        </w:rPr>
        <w:t>witness</w:t>
      </w:r>
      <w:r>
        <w:rPr>
          <w:rFonts w:ascii="Times New Roman" w:hAnsi="Times New Roman" w:cs="Times New Roman"/>
          <w:sz w:val="24"/>
          <w:szCs w:val="24"/>
        </w:rPr>
        <w:t xml:space="preserve"> in an affirmative evidentiary sense. It may only </w:t>
      </w:r>
      <w:r w:rsidRPr="0064554E">
        <w:rPr>
          <w:rFonts w:ascii="Times New Roman" w:hAnsi="Times New Roman" w:cs="Times New Roman"/>
          <w:i/>
          <w:iCs/>
          <w:sz w:val="24"/>
          <w:szCs w:val="24"/>
        </w:rPr>
        <w:t>assess</w:t>
      </w:r>
      <w:r>
        <w:rPr>
          <w:rFonts w:ascii="Times New Roman" w:hAnsi="Times New Roman" w:cs="Times New Roman"/>
          <w:sz w:val="24"/>
          <w:szCs w:val="24"/>
        </w:rPr>
        <w:t xml:space="preserve"> evidence presented by the parties. Thus the system differs from that utilizing a true IME structure, where neutrals are witnesses who </w:t>
      </w:r>
      <w:r w:rsidRPr="00B540C7">
        <w:rPr>
          <w:rFonts w:ascii="Times New Roman" w:hAnsi="Times New Roman" w:cs="Times New Roman"/>
          <w:i/>
          <w:iCs/>
          <w:sz w:val="24"/>
          <w:szCs w:val="24"/>
        </w:rPr>
        <w:t xml:space="preserve">provide </w:t>
      </w:r>
      <w:r>
        <w:rPr>
          <w:rFonts w:ascii="Times New Roman" w:hAnsi="Times New Roman" w:cs="Times New Roman"/>
          <w:sz w:val="24"/>
          <w:szCs w:val="24"/>
        </w:rPr>
        <w:t xml:space="preserve">evidence as they evaluate it. </w:t>
      </w:r>
    </w:p>
    <w:p w14:paraId="17D91805" w14:textId="77777777" w:rsidR="00FF7482" w:rsidRDefault="00FF7482" w:rsidP="00FD20CF">
      <w:pPr>
        <w:pStyle w:val="ListParagraph"/>
        <w:spacing w:after="0"/>
        <w:ind w:left="0" w:firstLine="720"/>
        <w:jc w:val="both"/>
        <w:rPr>
          <w:rFonts w:ascii="Times New Roman" w:hAnsi="Times New Roman" w:cs="Times New Roman"/>
          <w:sz w:val="24"/>
          <w:szCs w:val="24"/>
        </w:rPr>
      </w:pPr>
    </w:p>
    <w:p w14:paraId="6F1719E4" w14:textId="6B024F22" w:rsidR="00FF7482" w:rsidRDefault="00FF7482" w:rsidP="001E27A7">
      <w:pPr>
        <w:pStyle w:val="Heading2"/>
        <w:spacing w:before="0"/>
        <w:rPr>
          <w:rFonts w:ascii="Times New Roman" w:hAnsi="Times New Roman" w:cs="Times New Roman"/>
          <w:b/>
          <w:color w:val="auto"/>
          <w:sz w:val="28"/>
          <w:szCs w:val="28"/>
        </w:rPr>
      </w:pPr>
      <w:bookmarkStart w:id="1063" w:name="_Toc75269427"/>
      <w:r w:rsidRPr="0064554E">
        <w:rPr>
          <w:rFonts w:ascii="Times New Roman" w:hAnsi="Times New Roman" w:cs="Times New Roman"/>
          <w:b/>
          <w:color w:val="auto"/>
          <w:sz w:val="28"/>
          <w:szCs w:val="28"/>
        </w:rPr>
        <w:t>Workers’ Compensation and Administrative Law Generally</w:t>
      </w:r>
      <w:bookmarkEnd w:id="1063"/>
      <w:r w:rsidRPr="0064554E">
        <w:rPr>
          <w:rFonts w:ascii="Times New Roman" w:hAnsi="Times New Roman" w:cs="Times New Roman"/>
          <w:b/>
          <w:color w:val="auto"/>
          <w:sz w:val="28"/>
          <w:szCs w:val="28"/>
        </w:rPr>
        <w:t xml:space="preserve"> </w:t>
      </w:r>
    </w:p>
    <w:p w14:paraId="7FC521C3" w14:textId="48AD2F3A" w:rsidR="00FF7482" w:rsidRDefault="00FF7482" w:rsidP="00AC7743">
      <w:pPr>
        <w:spacing w:after="0"/>
      </w:pPr>
    </w:p>
    <w:p w14:paraId="3296E7D0" w14:textId="7D686AE1" w:rsidR="00C94B70" w:rsidRDefault="00FF7482" w:rsidP="006C4967">
      <w:pPr>
        <w:pStyle w:val="LawReview-StandardBodyText"/>
        <w:spacing w:after="0" w:line="259" w:lineRule="auto"/>
        <w:ind w:firstLine="0"/>
        <w:rPr>
          <w:rFonts w:cs="Times New Roman"/>
        </w:rPr>
      </w:pPr>
      <w:r w:rsidRPr="00AC7743">
        <w:rPr>
          <w:rFonts w:cs="Times New Roman"/>
        </w:rPr>
        <w:t>Originally, in Wyoming and elsewhere, workers’ compensation was a court-based system</w:t>
      </w:r>
      <w:r>
        <w:rPr>
          <w:rFonts w:cs="Times New Roman"/>
        </w:rPr>
        <w:t>. The 19</w:t>
      </w:r>
      <w:r w:rsidRPr="00AC7743">
        <w:rPr>
          <w:rFonts w:cs="Times New Roman"/>
          <w:vertAlign w:val="superscript"/>
        </w:rPr>
        <w:t>th</w:t>
      </w:r>
      <w:r>
        <w:rPr>
          <w:rFonts w:cs="Times New Roman"/>
        </w:rPr>
        <w:t xml:space="preserve"> century English system was maintained in county courts, often under the auspices of the county clerk.</w:t>
      </w:r>
      <w:r w:rsidRPr="00910BB7">
        <w:rPr>
          <w:rFonts w:cs="Times New Roman"/>
          <w:vertAlign w:val="superscript"/>
        </w:rPr>
        <w:footnoteReference w:id="774"/>
      </w:r>
      <w:r>
        <w:rPr>
          <w:rFonts w:cs="Times New Roman"/>
        </w:rPr>
        <w:t xml:space="preserve"> All American states except Alabama, have now moved away from court-based workers’ compensation adjudication and handle contested cases in administrative agencies.</w:t>
      </w:r>
      <w:r w:rsidRPr="00910BB7">
        <w:rPr>
          <w:rFonts w:cs="Times New Roman"/>
          <w:vertAlign w:val="superscript"/>
        </w:rPr>
        <w:footnoteReference w:id="775"/>
      </w:r>
      <w:r>
        <w:rPr>
          <w:rFonts w:cs="Times New Roman"/>
        </w:rPr>
        <w:t xml:space="preserve"> </w:t>
      </w:r>
      <w:r>
        <w:t>It should first be noted that most workers’ compensation claims are routinely resolved informally by the workers’ compensation insurance carrier.</w:t>
      </w:r>
      <w:r w:rsidRPr="00910BB7">
        <w:rPr>
          <w:vertAlign w:val="superscript"/>
        </w:rPr>
        <w:footnoteReference w:id="776"/>
      </w:r>
      <w:r>
        <w:t xml:space="preserve"> Contested claims can become like litigation, of course</w:t>
      </w:r>
      <w:bookmarkStart w:id="1067" w:name="_Ref4612090"/>
      <w:r>
        <w:t>,</w:t>
      </w:r>
      <w:r w:rsidRPr="00910BB7">
        <w:rPr>
          <w:vertAlign w:val="superscript"/>
        </w:rPr>
        <w:footnoteReference w:id="777"/>
      </w:r>
      <w:bookmarkEnd w:id="1067"/>
      <w:r>
        <w:t xml:space="preserve"> and initially, therefore,</w:t>
      </w:r>
      <w:r>
        <w:rPr>
          <w:rFonts w:cs="Times New Roman"/>
        </w:rPr>
        <w:t xml:space="preserve"> contested workers’ compensation claims were resolved by the courts.</w:t>
      </w:r>
      <w:bookmarkStart w:id="1071" w:name="_Ref4612935"/>
      <w:r w:rsidRPr="00910BB7">
        <w:rPr>
          <w:rFonts w:cs="Times New Roman"/>
          <w:vertAlign w:val="superscript"/>
        </w:rPr>
        <w:footnoteReference w:id="778"/>
      </w:r>
      <w:bookmarkEnd w:id="1071"/>
      <w:r>
        <w:rPr>
          <w:rFonts w:cs="Times New Roman"/>
        </w:rPr>
        <w:t xml:space="preserve"> In 1986, as part of a national trend, the Wyoming </w:t>
      </w:r>
      <w:r w:rsidR="00925BE4">
        <w:rPr>
          <w:rFonts w:cs="Times New Roman"/>
        </w:rPr>
        <w:t>l</w:t>
      </w:r>
      <w:r>
        <w:rPr>
          <w:rFonts w:cs="Times New Roman"/>
        </w:rPr>
        <w:t>egislature transformed the workers’ compensation regime from a judicial to an administrative adjudicative process.</w:t>
      </w:r>
      <w:r w:rsidRPr="00910BB7">
        <w:rPr>
          <w:rFonts w:cs="Times New Roman"/>
          <w:vertAlign w:val="superscript"/>
        </w:rPr>
        <w:footnoteReference w:id="779"/>
      </w:r>
      <w:r>
        <w:rPr>
          <w:rFonts w:cs="Times New Roman"/>
        </w:rPr>
        <w:t xml:space="preserve"> This transformation has been </w:t>
      </w:r>
      <w:r>
        <w:rPr>
          <w:rFonts w:cs="Times New Roman"/>
        </w:rPr>
        <w:lastRenderedPageBreak/>
        <w:t>justified on the grounds that administrative agencies are more efficient, and that claims decisions can and should be no more than a perfunctory conferral between physicians and administrative officials not requiring the intervention of civil court judges.</w:t>
      </w:r>
      <w:r w:rsidRPr="00910BB7">
        <w:rPr>
          <w:rFonts w:cs="Times New Roman"/>
          <w:vertAlign w:val="superscript"/>
        </w:rPr>
        <w:footnoteReference w:id="780"/>
      </w:r>
      <w:r>
        <w:rPr>
          <w:rFonts w:cs="Times New Roman"/>
        </w:rPr>
        <w:t xml:space="preserve"> Be that as it may, the result of the transformation has been that administrative agencies are tasked with receiving and processing claims for compensation,</w:t>
      </w:r>
      <w:r w:rsidRPr="00910BB7">
        <w:rPr>
          <w:rFonts w:cs="Times New Roman"/>
          <w:vertAlign w:val="superscript"/>
        </w:rPr>
        <w:footnoteReference w:id="781"/>
      </w:r>
      <w:r>
        <w:rPr>
          <w:rFonts w:cs="Times New Roman"/>
        </w:rPr>
        <w:t xml:space="preserve"> hearing contested cases,</w:t>
      </w:r>
      <w:r w:rsidRPr="00910BB7">
        <w:rPr>
          <w:rFonts w:cs="Times New Roman"/>
          <w:vertAlign w:val="superscript"/>
        </w:rPr>
        <w:footnoteReference w:id="782"/>
      </w:r>
      <w:r>
        <w:rPr>
          <w:rFonts w:cs="Times New Roman"/>
        </w:rPr>
        <w:t xml:space="preserve"> and administering the insurance mechanism (where insurance companies are germane to the discussion).</w:t>
      </w:r>
      <w:r w:rsidRPr="00910BB7">
        <w:rPr>
          <w:rFonts w:cs="Times New Roman"/>
          <w:vertAlign w:val="superscript"/>
        </w:rPr>
        <w:footnoteReference w:id="783"/>
      </w:r>
      <w:r>
        <w:rPr>
          <w:rFonts w:cs="Times New Roman"/>
        </w:rPr>
        <w:t xml:space="preserve"> Accordingly, substantive issues such as “whether an employee provided timely notice of injury, whether a worker is an employee within the meaning of the Act, and whether an injury occurred on an employee’s premises, are initially decided by an administrative agency.”</w:t>
      </w:r>
      <w:r w:rsidRPr="00910BB7">
        <w:rPr>
          <w:rFonts w:cs="Times New Roman"/>
          <w:vertAlign w:val="superscript"/>
        </w:rPr>
        <w:footnoteReference w:id="784"/>
      </w:r>
      <w:r>
        <w:rPr>
          <w:rFonts w:cs="Times New Roman"/>
        </w:rPr>
        <w:t xml:space="preserve"> Wyoming’s regime in particular presents a more complicated dynamic because, in addition to its other responsibilities, the State, as has been noted, is both the exclusive guarantor and payor of workers’ compensation benefits.</w:t>
      </w:r>
      <w:bookmarkStart w:id="1079" w:name="_Ref7816504"/>
      <w:r w:rsidRPr="00910BB7">
        <w:rPr>
          <w:vertAlign w:val="superscript"/>
        </w:rPr>
        <w:footnoteReference w:id="785"/>
      </w:r>
      <w:bookmarkEnd w:id="1079"/>
    </w:p>
    <w:p w14:paraId="29D93380" w14:textId="77777777" w:rsidR="00C94B70" w:rsidRDefault="00C94B70" w:rsidP="006C4967">
      <w:pPr>
        <w:pStyle w:val="LawReview-StandardBodyText"/>
        <w:spacing w:after="0" w:line="259" w:lineRule="auto"/>
        <w:ind w:firstLine="0"/>
        <w:rPr>
          <w:rFonts w:cs="Times New Roman"/>
        </w:rPr>
      </w:pPr>
    </w:p>
    <w:p w14:paraId="78DB7682" w14:textId="2DC34E59" w:rsidR="00730925" w:rsidRDefault="00FF7482" w:rsidP="006C4967">
      <w:pPr>
        <w:pStyle w:val="Heading2"/>
        <w:spacing w:before="0"/>
        <w:rPr>
          <w:rFonts w:ascii="Times New Roman" w:hAnsi="Times New Roman" w:cs="Times New Roman"/>
          <w:b/>
          <w:color w:val="auto"/>
          <w:sz w:val="28"/>
          <w:szCs w:val="28"/>
        </w:rPr>
      </w:pPr>
      <w:bookmarkStart w:id="1081" w:name="_Toc75269428"/>
      <w:r w:rsidRPr="00425F0D">
        <w:rPr>
          <w:rFonts w:ascii="Times New Roman" w:hAnsi="Times New Roman" w:cs="Times New Roman"/>
          <w:b/>
          <w:color w:val="auto"/>
          <w:sz w:val="28"/>
          <w:szCs w:val="28"/>
        </w:rPr>
        <w:t>Wyoming</w:t>
      </w:r>
      <w:r>
        <w:rPr>
          <w:rFonts w:ascii="Times New Roman" w:hAnsi="Times New Roman" w:cs="Times New Roman"/>
          <w:b/>
          <w:color w:val="auto"/>
          <w:sz w:val="28"/>
          <w:szCs w:val="28"/>
        </w:rPr>
        <w:t xml:space="preserve"> Workers’ Compensation</w:t>
      </w:r>
      <w:r w:rsidRPr="00425F0D">
        <w:rPr>
          <w:rFonts w:ascii="Times New Roman" w:hAnsi="Times New Roman" w:cs="Times New Roman"/>
          <w:b/>
          <w:color w:val="auto"/>
          <w:sz w:val="28"/>
          <w:szCs w:val="28"/>
        </w:rPr>
        <w:t xml:space="preserve"> Administrative Structure</w:t>
      </w:r>
      <w:bookmarkEnd w:id="1081"/>
    </w:p>
    <w:p w14:paraId="629748DF" w14:textId="77777777" w:rsidR="00730925" w:rsidRDefault="00730925" w:rsidP="006C4967">
      <w:pPr>
        <w:pStyle w:val="LawReview-StandardBodyText"/>
        <w:spacing w:after="0" w:line="259" w:lineRule="auto"/>
        <w:ind w:firstLine="0"/>
      </w:pPr>
    </w:p>
    <w:p w14:paraId="374DACD9" w14:textId="7B5763A9" w:rsidR="00FF7482" w:rsidRDefault="00FF7482" w:rsidP="006C4967">
      <w:pPr>
        <w:pStyle w:val="LawReview-StandardBodyText"/>
        <w:spacing w:after="0" w:line="259" w:lineRule="auto"/>
        <w:ind w:firstLine="0"/>
      </w:pPr>
      <w:r>
        <w:t xml:space="preserve">Wyoming’s administration of workers’ compensation and its adjudication process for contested workers’ compensation cases revolve around three administrative branches of  Wyoming government: the Workers’ Safety and Compensation Division (housed in turn within the Department of Workforce Services), the Office of Administrative Hearings (OAH), and the Medical Commission. </w:t>
      </w:r>
    </w:p>
    <w:p w14:paraId="4FD2B033" w14:textId="77777777" w:rsidR="00730925" w:rsidRDefault="00730925" w:rsidP="006C4967">
      <w:pPr>
        <w:pStyle w:val="LawReview-StandardBodyText"/>
        <w:spacing w:after="0" w:line="259" w:lineRule="auto"/>
        <w:ind w:firstLine="0"/>
      </w:pPr>
    </w:p>
    <w:p w14:paraId="736D4398" w14:textId="16714B01" w:rsidR="00FF7482" w:rsidRPr="008E53E1" w:rsidRDefault="00FF7482" w:rsidP="006C4967">
      <w:pPr>
        <w:pStyle w:val="Heading2"/>
        <w:spacing w:before="0"/>
        <w:rPr>
          <w:rFonts w:ascii="Times New Roman" w:hAnsi="Times New Roman" w:cs="Times New Roman"/>
          <w:b/>
          <w:color w:val="auto"/>
          <w:sz w:val="28"/>
          <w:szCs w:val="28"/>
        </w:rPr>
      </w:pPr>
      <w:bookmarkStart w:id="1082" w:name="_Toc8583906"/>
      <w:bookmarkStart w:id="1083" w:name="_Toc75269429"/>
      <w:r w:rsidRPr="008E53E1">
        <w:rPr>
          <w:rFonts w:ascii="Times New Roman" w:hAnsi="Times New Roman" w:cs="Times New Roman"/>
          <w:b/>
          <w:color w:val="auto"/>
          <w:sz w:val="28"/>
          <w:szCs w:val="28"/>
        </w:rPr>
        <w:t xml:space="preserve">The </w:t>
      </w:r>
      <w:r>
        <w:rPr>
          <w:rFonts w:ascii="Times New Roman" w:hAnsi="Times New Roman" w:cs="Times New Roman"/>
          <w:b/>
          <w:color w:val="auto"/>
          <w:sz w:val="28"/>
          <w:szCs w:val="28"/>
        </w:rPr>
        <w:t xml:space="preserve">Wyoming Workers’ Safety and Compensation </w:t>
      </w:r>
      <w:r w:rsidRPr="008E53E1">
        <w:rPr>
          <w:rFonts w:ascii="Times New Roman" w:hAnsi="Times New Roman" w:cs="Times New Roman"/>
          <w:b/>
          <w:color w:val="auto"/>
          <w:sz w:val="28"/>
          <w:szCs w:val="28"/>
        </w:rPr>
        <w:t>Division</w:t>
      </w:r>
      <w:bookmarkEnd w:id="1082"/>
      <w:bookmarkEnd w:id="1083"/>
      <w:r w:rsidRPr="008E53E1">
        <w:rPr>
          <w:rFonts w:ascii="Times New Roman" w:hAnsi="Times New Roman" w:cs="Times New Roman"/>
          <w:b/>
          <w:color w:val="auto"/>
          <w:sz w:val="28"/>
          <w:szCs w:val="28"/>
        </w:rPr>
        <w:t xml:space="preserve"> </w:t>
      </w:r>
    </w:p>
    <w:p w14:paraId="31DBBBC1" w14:textId="77777777" w:rsidR="00FF7482" w:rsidRDefault="00FF7482" w:rsidP="006C4967">
      <w:pPr>
        <w:pStyle w:val="LawReview-StandardBodyText"/>
        <w:spacing w:after="0" w:line="259" w:lineRule="auto"/>
        <w:rPr>
          <w:rFonts w:cs="Times New Roman (Body CS)"/>
        </w:rPr>
      </w:pPr>
    </w:p>
    <w:p w14:paraId="2D0708B9" w14:textId="4E2C27BD" w:rsidR="00FF7482" w:rsidRDefault="00FF7482" w:rsidP="006C4967">
      <w:pPr>
        <w:pStyle w:val="LawReview-StandardBodyText"/>
        <w:spacing w:after="0" w:line="259" w:lineRule="auto"/>
        <w:ind w:firstLine="0"/>
        <w:rPr>
          <w:rFonts w:cs="Times New Roman (Body CS)"/>
        </w:rPr>
      </w:pPr>
      <w:r>
        <w:rPr>
          <w:rFonts w:cs="Times New Roman (Body CS)"/>
        </w:rPr>
        <w:t>The Workers’ Safety and Compensation Division (“the Division”) is a sub-part of Wyoming’s Department of Workforce Services.</w:t>
      </w:r>
      <w:bookmarkStart w:id="1084" w:name="_Ref7816333"/>
      <w:r w:rsidRPr="00910BB7">
        <w:rPr>
          <w:rFonts w:cs="Times New Roman (Body CS)"/>
          <w:vertAlign w:val="superscript"/>
        </w:rPr>
        <w:footnoteReference w:id="786"/>
      </w:r>
      <w:bookmarkEnd w:id="1084"/>
      <w:r>
        <w:rPr>
          <w:rFonts w:cs="Times New Roman (Body CS)"/>
        </w:rPr>
        <w:t xml:space="preserve"> Virtually all day-to-day informal case-handling matters are processed within the Division. While a full description of these activities is beyond the scope of this Treatise, the headings of the rules by which the Division is governed suggests its broad scope: General </w:t>
      </w:r>
      <w:r>
        <w:rPr>
          <w:rFonts w:cs="Times New Roman (Body CS)"/>
        </w:rPr>
        <w:lastRenderedPageBreak/>
        <w:t xml:space="preserve">Provisions; Employer Coverage; Compliance; and Discount Programs; Failure of Employer to Comply; Injury Report Procedure, determinations by Division – Coverage &amp; Compensability of Claims; Contested Case Proceedings; Benefits; Chiropractic Panel; Fee Schedules; Miscellaneous Medical Protocols; Workplace Safety Contracts; Fiscal Provisions; and Presumption of Disability for Certain Diseases. As the Department of Workplace Services website recommends, the rules may easily be accessed through the Wyoming Secretary of State’s website at </w:t>
      </w:r>
      <w:hyperlink r:id="rId122" w:history="1">
        <w:r w:rsidRPr="006B3B14">
          <w:rPr>
            <w:rStyle w:val="Hyperlink"/>
            <w:rFonts w:cs="Times New Roman (Body CS)"/>
          </w:rPr>
          <w:t>https://rules.wyo.gov/</w:t>
        </w:r>
      </w:hyperlink>
      <w:r>
        <w:rPr>
          <w:rFonts w:cs="Times New Roman (Body CS)"/>
        </w:rPr>
        <w:t>.</w:t>
      </w:r>
      <w:r w:rsidRPr="00910BB7">
        <w:rPr>
          <w:rFonts w:cs="Times New Roman (Body CS)"/>
          <w:vertAlign w:val="superscript"/>
        </w:rPr>
        <w:footnoteReference w:id="787"/>
      </w:r>
      <w:r>
        <w:rPr>
          <w:rFonts w:cs="Times New Roman (Body CS)"/>
        </w:rPr>
        <w:t xml:space="preserve"> </w:t>
      </w:r>
    </w:p>
    <w:p w14:paraId="0F3FD499" w14:textId="573A2229" w:rsidR="00FF7482" w:rsidRDefault="00FF7482" w:rsidP="006C4967">
      <w:pPr>
        <w:pStyle w:val="LawReview-StandardBodyText"/>
        <w:spacing w:after="0" w:line="259" w:lineRule="auto"/>
        <w:rPr>
          <w:rFonts w:cs="Times New Roman (Body CS)"/>
        </w:rPr>
      </w:pPr>
    </w:p>
    <w:p w14:paraId="60DAED9E" w14:textId="4F6BCF54" w:rsidR="00FF7482" w:rsidRDefault="00FF7482" w:rsidP="006C4967">
      <w:pPr>
        <w:pStyle w:val="LawReview-StandardBodyText"/>
        <w:spacing w:after="0" w:line="259" w:lineRule="auto"/>
        <w:ind w:firstLine="0"/>
        <w:rPr>
          <w:rFonts w:cs="Times New Roman (Body CS)"/>
        </w:rPr>
      </w:pPr>
      <w:r>
        <w:rPr>
          <w:rFonts w:cs="Times New Roman (Body CS)"/>
        </w:rPr>
        <w:t>In general, the Division makes a preliminary determination to approve or deny a bill or claim for medical or hospital care, or to approve or deny impairment disability or death benefits.</w:t>
      </w:r>
      <w:r w:rsidRPr="00910BB7">
        <w:rPr>
          <w:rFonts w:cs="Times New Roman (Body CS)"/>
          <w:vertAlign w:val="superscript"/>
        </w:rPr>
        <w:footnoteReference w:id="788"/>
      </w:r>
      <w:r>
        <w:rPr>
          <w:rFonts w:cs="Times New Roman (Body CS)"/>
        </w:rPr>
        <w:t xml:space="preserve"> </w:t>
      </w:r>
      <w:r w:rsidRPr="00DA7B4E">
        <w:rPr>
          <w:rFonts w:cs="Times New Roman (Body CS)"/>
          <w:b/>
          <w:bCs/>
        </w:rPr>
        <w:t>“A person seeking an award of benefits under the Act must submit a written application for benefits to the Division, on a form provided by the Division.”</w:t>
      </w:r>
      <w:r w:rsidRPr="00910BB7">
        <w:rPr>
          <w:rFonts w:cs="Times New Roman (Body CS)"/>
          <w:vertAlign w:val="superscript"/>
        </w:rPr>
        <w:footnoteReference w:id="789"/>
      </w:r>
      <w:r w:rsidRPr="00A328A9">
        <w:rPr>
          <w:rFonts w:cs="Times New Roman (Body CS)"/>
        </w:rPr>
        <w:t xml:space="preserve"> </w:t>
      </w:r>
      <w:r>
        <w:rPr>
          <w:rFonts w:cs="Times New Roman (Body CS)"/>
        </w:rPr>
        <w:t>Furthermore, a “Report of Injury” is not a claim for benefits.</w:t>
      </w:r>
      <w:r w:rsidRPr="00910BB7">
        <w:rPr>
          <w:rFonts w:cs="Times New Roman (Body CS)"/>
          <w:vertAlign w:val="superscript"/>
        </w:rPr>
        <w:footnoteReference w:id="790"/>
      </w:r>
      <w:r>
        <w:rPr>
          <w:rFonts w:cs="Times New Roman (Body CS)"/>
        </w:rPr>
        <w:t xml:space="preserve"> An injured worker may initiate a claim by filing various “application” forms, which are available on the Department of Workforce Services website: </w:t>
      </w:r>
      <w:bookmarkStart w:id="1090" w:name="_Hlk12440641"/>
      <w:r>
        <w:rPr>
          <w:rFonts w:cs="Times New Roman (Body CS)"/>
        </w:rPr>
        <w:t>“Employee’s Application for Temporary Total Disability Benefits;” “</w:t>
      </w:r>
      <w:r w:rsidRPr="00880430">
        <w:rPr>
          <w:rFonts w:cs="Times New Roman (Body CS)"/>
        </w:rPr>
        <w:t>Employee’s Application For Temporary Total Disability Benefits: Extraordinary Circumstances</w:t>
      </w:r>
      <w:r>
        <w:rPr>
          <w:rFonts w:cs="Times New Roman (Body CS)"/>
        </w:rPr>
        <w:t>;” and “Application for Death Benefits or Balance of Award.”</w:t>
      </w:r>
      <w:bookmarkEnd w:id="1090"/>
      <w:r w:rsidRPr="00910BB7">
        <w:rPr>
          <w:rFonts w:cs="Times New Roman (Body CS)"/>
          <w:vertAlign w:val="superscript"/>
        </w:rPr>
        <w:footnoteReference w:id="791"/>
      </w:r>
      <w:r>
        <w:rPr>
          <w:rFonts w:cs="Times New Roman (Body CS)"/>
        </w:rPr>
        <w:t xml:space="preserve"> The Division thereafter notifies both the employee and any involved health care provider of any portion of a claim for which the employee may be liable.</w:t>
      </w:r>
      <w:r w:rsidRPr="00910BB7">
        <w:rPr>
          <w:rFonts w:cs="Times New Roman (Body CS)"/>
          <w:vertAlign w:val="superscript"/>
        </w:rPr>
        <w:footnoteReference w:id="792"/>
      </w:r>
    </w:p>
    <w:p w14:paraId="3242EC16" w14:textId="597C3314" w:rsidR="00FF7482" w:rsidRDefault="00FF7482" w:rsidP="006C4967">
      <w:pPr>
        <w:pStyle w:val="LawReview-StandardBodyText"/>
        <w:spacing w:after="0" w:line="259" w:lineRule="auto"/>
        <w:rPr>
          <w:rFonts w:cs="Times New Roman (Body CS)"/>
        </w:rPr>
      </w:pPr>
    </w:p>
    <w:p w14:paraId="0CC05C23" w14:textId="79FF6CB6" w:rsidR="00FF7482" w:rsidRDefault="00FF7482" w:rsidP="006C4967">
      <w:pPr>
        <w:pStyle w:val="LawReview-StandardBodyText"/>
        <w:spacing w:after="0" w:line="259" w:lineRule="auto"/>
        <w:ind w:firstLine="0"/>
        <w:rPr>
          <w:rFonts w:cs="Times New Roman (Body CS)"/>
        </w:rPr>
      </w:pPr>
      <w:r w:rsidRPr="0002714E">
        <w:rPr>
          <w:rFonts w:cs="Times New Roman (Body CS)"/>
          <w:b/>
          <w:bCs/>
          <w:u w:val="single"/>
        </w:rPr>
        <w:t>A primary duty of the Division is to administer the statutory claim procedure</w:t>
      </w:r>
      <w:r>
        <w:rPr>
          <w:rFonts w:cs="Times New Roman (Body CS)"/>
          <w:b/>
          <w:bCs/>
          <w:u w:val="single"/>
        </w:rPr>
        <w:t>s</w:t>
      </w:r>
      <w:r w:rsidRPr="0002714E">
        <w:rPr>
          <w:rFonts w:cs="Times New Roman (Body CS)"/>
          <w:b/>
          <w:bCs/>
          <w:u w:val="single"/>
        </w:rPr>
        <w:t xml:space="preserve"> set out in </w:t>
      </w:r>
      <w:r>
        <w:rPr>
          <w:rFonts w:cs="Times New Roman"/>
          <w:b/>
          <w:bCs/>
          <w:u w:val="single"/>
        </w:rPr>
        <w:t>§</w:t>
      </w:r>
      <w:r>
        <w:rPr>
          <w:rFonts w:cs="Times New Roman (Body CS)"/>
          <w:b/>
          <w:bCs/>
          <w:u w:val="single"/>
        </w:rPr>
        <w:t xml:space="preserve"> </w:t>
      </w:r>
      <w:r w:rsidRPr="0002714E">
        <w:rPr>
          <w:rFonts w:cs="Times New Roman (Body CS)"/>
          <w:b/>
          <w:bCs/>
          <w:u w:val="single"/>
        </w:rPr>
        <w:t xml:space="preserve">27-14-501 through </w:t>
      </w:r>
      <w:r>
        <w:rPr>
          <w:rFonts w:cs="Times New Roman"/>
          <w:b/>
          <w:bCs/>
          <w:u w:val="single"/>
        </w:rPr>
        <w:t xml:space="preserve">§ </w:t>
      </w:r>
      <w:r w:rsidRPr="0002714E">
        <w:rPr>
          <w:rFonts w:cs="Times New Roman (Body CS)"/>
          <w:b/>
          <w:bCs/>
          <w:u w:val="single"/>
        </w:rPr>
        <w:t>27-14-511</w:t>
      </w:r>
      <w:r>
        <w:rPr>
          <w:rFonts w:cs="Times New Roman (Body CS)"/>
        </w:rPr>
        <w:t>. (The Division also acts through an Internal Hearings Unit to determine whether request for hearings are timely</w:t>
      </w:r>
      <w:r w:rsidR="006C4967">
        <w:rPr>
          <w:rFonts w:cs="Times New Roman (Body CS)"/>
        </w:rPr>
        <w:t>.</w:t>
      </w:r>
      <w:r>
        <w:rPr>
          <w:rFonts w:cs="Times New Roman (Body CS)"/>
        </w:rPr>
        <w:t>)</w:t>
      </w:r>
      <w:r w:rsidRPr="00910BB7">
        <w:rPr>
          <w:rFonts w:cs="Times New Roman (Body CS)"/>
          <w:vertAlign w:val="superscript"/>
        </w:rPr>
        <w:footnoteReference w:id="793"/>
      </w:r>
      <w:r>
        <w:rPr>
          <w:rFonts w:cs="Times New Roman (Body CS)"/>
        </w:rPr>
        <w:t xml:space="preserve"> An especially important part of the claims procedure occurs during the Division’s </w:t>
      </w:r>
      <w:r w:rsidRPr="008613B1">
        <w:rPr>
          <w:rFonts w:cs="Times New Roman (Body CS)"/>
          <w:b/>
          <w:bCs/>
          <w:u w:val="single"/>
        </w:rPr>
        <w:t>Determination Procedure</w:t>
      </w:r>
      <w:r w:rsidRPr="00910BB7">
        <w:rPr>
          <w:rFonts w:cs="Times New Roman (Body CS)"/>
          <w:vertAlign w:val="superscript"/>
        </w:rPr>
        <w:footnoteReference w:id="794"/>
      </w:r>
      <w:r w:rsidRPr="008613B1">
        <w:rPr>
          <w:rFonts w:cs="Times New Roman (Body CS)"/>
        </w:rPr>
        <w:t>:</w:t>
      </w:r>
      <w:r>
        <w:rPr>
          <w:rFonts w:cs="Times New Roman (Body CS)"/>
        </w:rPr>
        <w:t xml:space="preserve">  </w:t>
      </w:r>
    </w:p>
    <w:p w14:paraId="2B66F361" w14:textId="304040B5" w:rsidR="00FF7482" w:rsidRDefault="00FF7482" w:rsidP="006C4967">
      <w:pPr>
        <w:pStyle w:val="LawReview-StandardBodyText"/>
        <w:spacing w:after="0" w:line="259" w:lineRule="auto"/>
        <w:rPr>
          <w:rFonts w:cs="Times New Roman (Body CS)"/>
        </w:rPr>
      </w:pPr>
    </w:p>
    <w:p w14:paraId="090B79CC" w14:textId="3F4D15A1" w:rsidR="00FF7482" w:rsidRPr="00C94B70" w:rsidRDefault="00FF7482" w:rsidP="00C94B70">
      <w:pPr>
        <w:pStyle w:val="LawReview-StandardBodyText"/>
        <w:numPr>
          <w:ilvl w:val="0"/>
          <w:numId w:val="16"/>
        </w:numPr>
        <w:spacing w:after="160" w:line="259" w:lineRule="auto"/>
        <w:ind w:left="720" w:right="720"/>
        <w:rPr>
          <w:rFonts w:cs="Times New Roman (Body CS)"/>
        </w:rPr>
      </w:pPr>
      <w:r w:rsidRPr="008613B1">
        <w:rPr>
          <w:rFonts w:cs="Times New Roman (Body CS)"/>
        </w:rPr>
        <w:t>The Division review</w:t>
      </w:r>
      <w:r>
        <w:rPr>
          <w:rFonts w:cs="Times New Roman (Body CS)"/>
        </w:rPr>
        <w:t>s</w:t>
      </w:r>
      <w:r w:rsidRPr="008613B1">
        <w:rPr>
          <w:rFonts w:cs="Times New Roman (Body CS)"/>
        </w:rPr>
        <w:t xml:space="preserve"> the</w:t>
      </w:r>
      <w:r>
        <w:rPr>
          <w:rFonts w:cs="Times New Roman (Body CS)"/>
        </w:rPr>
        <w:t xml:space="preserve"> claim</w:t>
      </w:r>
      <w:r w:rsidRPr="008613B1">
        <w:rPr>
          <w:rFonts w:cs="Times New Roman (Body CS)"/>
        </w:rPr>
        <w:t xml:space="preserve"> </w:t>
      </w:r>
      <w:r w:rsidRPr="008613B1">
        <w:rPr>
          <w:rFonts w:cs="Times New Roman (Body CS)"/>
          <w:b/>
          <w:bCs/>
        </w:rPr>
        <w:t>within 15 days from the date any completed employer or employee injury report or claim</w:t>
      </w:r>
      <w:r w:rsidRPr="008613B1">
        <w:rPr>
          <w:rFonts w:cs="Times New Roman (Body CS)"/>
        </w:rPr>
        <w:t xml:space="preserve"> is filed </w:t>
      </w:r>
      <w:r w:rsidRPr="008613B1">
        <w:rPr>
          <w:rFonts w:cs="Times New Roman (Body CS)"/>
        </w:rPr>
        <w:lastRenderedPageBreak/>
        <w:t>and will issue either a final determination or request for additional information</w:t>
      </w:r>
      <w:r w:rsidR="006C4967">
        <w:rPr>
          <w:rFonts w:cs="Times New Roman (Body CS)"/>
        </w:rPr>
        <w:t>.</w:t>
      </w:r>
    </w:p>
    <w:p w14:paraId="7287E404" w14:textId="65D29C07" w:rsidR="00FF7482" w:rsidRPr="00C94B70" w:rsidRDefault="00FF7482" w:rsidP="00C94B70">
      <w:pPr>
        <w:pStyle w:val="LawReview-StandardBodyText"/>
        <w:numPr>
          <w:ilvl w:val="0"/>
          <w:numId w:val="16"/>
        </w:numPr>
        <w:spacing w:after="160" w:line="259" w:lineRule="auto"/>
        <w:ind w:left="720" w:right="720"/>
        <w:rPr>
          <w:rFonts w:cs="Times New Roman (Body CS)"/>
        </w:rPr>
      </w:pPr>
      <w:r w:rsidRPr="008613B1">
        <w:rPr>
          <w:rFonts w:cs="Times New Roman (Body CS)"/>
        </w:rPr>
        <w:t xml:space="preserve">At the earliest possible date </w:t>
      </w:r>
      <w:r w:rsidRPr="008613B1">
        <w:rPr>
          <w:rFonts w:cs="Times New Roman (Body CS)"/>
          <w:b/>
          <w:bCs/>
        </w:rPr>
        <w:t>within 45 days following the request for additional information</w:t>
      </w:r>
      <w:r w:rsidRPr="008613B1">
        <w:rPr>
          <w:rFonts w:cs="Times New Roman (Body CS)"/>
        </w:rPr>
        <w:t xml:space="preserve">, the </w:t>
      </w:r>
      <w:r w:rsidRPr="008613B1">
        <w:rPr>
          <w:rFonts w:cs="Times New Roman (Body CS)"/>
          <w:b/>
          <w:bCs/>
        </w:rPr>
        <w:t>Division makes its final determination</w:t>
      </w:r>
      <w:r w:rsidRPr="008613B1">
        <w:rPr>
          <w:rFonts w:cs="Times New Roman (Body CS)"/>
        </w:rPr>
        <w:t xml:space="preserve"> as to whether the injury, or death resulting from injury, is compensable and within the jurisdiction of the Act or whether and in what amount a claim or bill is allowed.</w:t>
      </w:r>
    </w:p>
    <w:p w14:paraId="5E5D6E32" w14:textId="54C41F6B" w:rsidR="00FF7482" w:rsidRPr="00C94B70" w:rsidRDefault="00FF7482" w:rsidP="00C94B70">
      <w:pPr>
        <w:pStyle w:val="LawReview-StandardBodyText"/>
        <w:numPr>
          <w:ilvl w:val="0"/>
          <w:numId w:val="16"/>
        </w:numPr>
        <w:spacing w:after="160" w:line="259" w:lineRule="auto"/>
        <w:ind w:left="720" w:right="720"/>
        <w:rPr>
          <w:rFonts w:cs="Times New Roman (Body CS)"/>
          <w:b/>
          <w:bCs/>
        </w:rPr>
      </w:pPr>
      <w:r w:rsidRPr="008613B1">
        <w:rPr>
          <w:rFonts w:cs="Times New Roman (Body CS)"/>
          <w:b/>
          <w:bCs/>
        </w:rPr>
        <w:t>Upon mutual consent of the worker, the employer, and the Division, the time limit for the determination by the Division may be extended</w:t>
      </w:r>
      <w:r w:rsidRPr="008613B1">
        <w:rPr>
          <w:rFonts w:cs="Times New Roman (Body CS)"/>
        </w:rPr>
        <w:t xml:space="preserve">. </w:t>
      </w:r>
      <w:r w:rsidRPr="008613B1">
        <w:rPr>
          <w:rFonts w:cs="Times New Roman (Body CS)"/>
          <w:b/>
          <w:bCs/>
        </w:rPr>
        <w:t>Otherwise, upon failure of the Division to make a decision within the time allowed by the Act, at the request of any affected party the matter shall be referred by the Division for hearing</w:t>
      </w:r>
      <w:r w:rsidR="006C4967">
        <w:rPr>
          <w:rFonts w:cs="Times New Roman (Body CS)"/>
          <w:b/>
          <w:bCs/>
        </w:rPr>
        <w:t>.</w:t>
      </w:r>
    </w:p>
    <w:p w14:paraId="4B296B8D" w14:textId="05E2E89E" w:rsidR="00FF7482" w:rsidRPr="00C94B70" w:rsidRDefault="00FF7482" w:rsidP="00C94B70">
      <w:pPr>
        <w:pStyle w:val="LawReview-StandardBodyText"/>
        <w:numPr>
          <w:ilvl w:val="0"/>
          <w:numId w:val="16"/>
        </w:numPr>
        <w:spacing w:after="160" w:line="259" w:lineRule="auto"/>
        <w:ind w:left="720" w:right="720"/>
        <w:rPr>
          <w:rFonts w:cs="Times New Roman (Body CS)"/>
        </w:rPr>
      </w:pPr>
      <w:r w:rsidRPr="00817ECC">
        <w:rPr>
          <w:rFonts w:cs="Times New Roman (Body CS)"/>
          <w:b/>
          <w:bCs/>
        </w:rPr>
        <w:t>The final determination</w:t>
      </w:r>
      <w:r w:rsidRPr="008613B1">
        <w:rPr>
          <w:rFonts w:cs="Times New Roman (Body CS)"/>
        </w:rPr>
        <w:t xml:space="preserve"> </w:t>
      </w:r>
      <w:r>
        <w:rPr>
          <w:rFonts w:cs="Times New Roman (Body CS)"/>
        </w:rPr>
        <w:t>is</w:t>
      </w:r>
      <w:r w:rsidRPr="008613B1">
        <w:rPr>
          <w:rFonts w:cs="Times New Roman (Body CS)"/>
        </w:rPr>
        <w:t xml:space="preserve"> mailed to all affected parties at their last known addresses, and, </w:t>
      </w:r>
      <w:r>
        <w:rPr>
          <w:rFonts w:cs="Times New Roman (Body CS)"/>
        </w:rPr>
        <w:t>“</w:t>
      </w:r>
      <w:r w:rsidRPr="008613B1">
        <w:rPr>
          <w:rFonts w:cs="Times New Roman (Body CS)"/>
        </w:rPr>
        <w:t>when required by law,</w:t>
      </w:r>
      <w:r>
        <w:rPr>
          <w:rFonts w:cs="Times New Roman (Body CS)"/>
        </w:rPr>
        <w:t>”</w:t>
      </w:r>
      <w:r w:rsidRPr="008613B1">
        <w:rPr>
          <w:rFonts w:cs="Times New Roman (Body CS)"/>
        </w:rPr>
        <w:t xml:space="preserve"> include</w:t>
      </w:r>
      <w:r>
        <w:rPr>
          <w:rFonts w:cs="Times New Roman (Body CS)"/>
        </w:rPr>
        <w:t>s</w:t>
      </w:r>
      <w:r w:rsidRPr="008613B1">
        <w:rPr>
          <w:rFonts w:cs="Times New Roman (Body CS)"/>
        </w:rPr>
        <w:t xml:space="preserve"> a statement of reasons, and a notice of right to request a hearing and right to counsel. An affected party </w:t>
      </w:r>
      <w:r>
        <w:rPr>
          <w:rFonts w:cs="Times New Roman (Body CS)"/>
        </w:rPr>
        <w:t>must</w:t>
      </w:r>
      <w:r w:rsidRPr="008613B1">
        <w:rPr>
          <w:rFonts w:cs="Times New Roman (Body CS)"/>
        </w:rPr>
        <w:t xml:space="preserve"> immediately notify the Division, in writing, of any change of address or physical residence</w:t>
      </w:r>
      <w:r w:rsidR="006C4967">
        <w:rPr>
          <w:rFonts w:cs="Times New Roman (Body CS)"/>
        </w:rPr>
        <w:t>.</w:t>
      </w:r>
    </w:p>
    <w:p w14:paraId="2BFF3014" w14:textId="7DBB3B89" w:rsidR="00FF7482" w:rsidRDefault="00FF7482" w:rsidP="00C94B70">
      <w:pPr>
        <w:pStyle w:val="LawReview-StandardBodyText"/>
        <w:numPr>
          <w:ilvl w:val="0"/>
          <w:numId w:val="16"/>
        </w:numPr>
        <w:spacing w:after="160" w:line="259" w:lineRule="auto"/>
        <w:ind w:left="720" w:right="720"/>
        <w:rPr>
          <w:rFonts w:cs="Times New Roman (Body CS)"/>
        </w:rPr>
      </w:pPr>
      <w:r w:rsidRPr="008613B1">
        <w:rPr>
          <w:rFonts w:cs="Times New Roman (Body CS)"/>
          <w:b/>
          <w:bCs/>
          <w:u w:val="single"/>
        </w:rPr>
        <w:t>Any affected party may object to the Division's final determination by filing a written request for hearing with the Division within 15 days following the mailing of the determination</w:t>
      </w:r>
      <w:r w:rsidRPr="008613B1">
        <w:rPr>
          <w:rFonts w:cs="Times New Roman (Body CS)"/>
          <w:u w:val="single"/>
        </w:rPr>
        <w:t xml:space="preserve">. </w:t>
      </w:r>
      <w:r w:rsidRPr="008613B1">
        <w:rPr>
          <w:rFonts w:cs="Times New Roman (Body CS)"/>
          <w:b/>
          <w:bCs/>
          <w:u w:val="single"/>
        </w:rPr>
        <w:t>A timely written request for hearing is prerequisite to review by the appropriate hearing authority</w:t>
      </w:r>
      <w:r w:rsidRPr="008613B1">
        <w:rPr>
          <w:rFonts w:cs="Times New Roman (Body CS)"/>
        </w:rPr>
        <w:t>.</w:t>
      </w:r>
    </w:p>
    <w:p w14:paraId="64852809" w14:textId="77777777" w:rsidR="00FF7482" w:rsidRDefault="00FF7482" w:rsidP="006C4967">
      <w:pPr>
        <w:pStyle w:val="LawReview-StandardBodyText"/>
        <w:spacing w:after="0" w:line="259" w:lineRule="auto"/>
        <w:ind w:firstLine="0"/>
        <w:rPr>
          <w:rFonts w:cs="Times New Roman (Body CS)"/>
        </w:rPr>
      </w:pPr>
    </w:p>
    <w:p w14:paraId="1F5881E8" w14:textId="1F440BDA" w:rsidR="00FF7482" w:rsidRDefault="00FF7482" w:rsidP="006C4967">
      <w:pPr>
        <w:pStyle w:val="LawReview-StandardBodyText"/>
        <w:spacing w:after="0" w:line="259" w:lineRule="auto"/>
        <w:ind w:firstLine="0"/>
        <w:rPr>
          <w:rFonts w:cs="Times New Roman (Body CS)"/>
        </w:rPr>
      </w:pPr>
      <w:r>
        <w:rPr>
          <w:rFonts w:cs="Times New Roman (Body CS)"/>
        </w:rPr>
        <w:t>Of special note in the Determination Procedure is the allowance of a party to request a hearing if the Division fails to make a final determination within the preliminary fifteen or forty-five day periods. This allowance represents a significant departure from typical administrative exhaustion requirements.</w:t>
      </w:r>
      <w:r w:rsidRPr="00910BB7">
        <w:rPr>
          <w:rFonts w:cs="Times New Roman (Body CS)"/>
          <w:vertAlign w:val="superscript"/>
        </w:rPr>
        <w:footnoteReference w:id="795"/>
      </w:r>
      <w:r>
        <w:rPr>
          <w:rFonts w:cs="Times New Roman (Body CS)"/>
        </w:rPr>
        <w:t xml:space="preserve"> While not as significant when parties are appealing </w:t>
      </w:r>
      <w:r w:rsidRPr="00D803E1">
        <w:rPr>
          <w:rFonts w:cs="Times New Roman (Body CS)"/>
          <w:i/>
          <w:iCs/>
        </w:rPr>
        <w:t>within</w:t>
      </w:r>
      <w:r>
        <w:rPr>
          <w:rFonts w:cs="Times New Roman (Body CS)"/>
        </w:rPr>
        <w:t xml:space="preserve"> the levels of an administrative body rather than </w:t>
      </w:r>
      <w:r w:rsidRPr="00D803E1">
        <w:rPr>
          <w:rFonts w:cs="Times New Roman (Body CS)"/>
          <w:i/>
          <w:iCs/>
        </w:rPr>
        <w:t>from an administrative agency to a court</w:t>
      </w:r>
      <w:r>
        <w:rPr>
          <w:rFonts w:cs="Times New Roman (Body CS)"/>
        </w:rPr>
        <w:t>, the failure to exhaust might otherwise have developed as an issue in future court litigation.</w:t>
      </w:r>
    </w:p>
    <w:p w14:paraId="3950CDB6" w14:textId="77777777" w:rsidR="00FF7482" w:rsidRDefault="00FF7482" w:rsidP="006C4967">
      <w:pPr>
        <w:pStyle w:val="LawReview-StandardBodyText"/>
        <w:spacing w:after="0" w:line="259" w:lineRule="auto"/>
        <w:rPr>
          <w:rFonts w:cs="Times New Roman (Body CS)"/>
        </w:rPr>
      </w:pPr>
    </w:p>
    <w:p w14:paraId="4CABDA1D" w14:textId="18B4D16E" w:rsidR="00FF7482" w:rsidRDefault="00FF7482" w:rsidP="00E17E92">
      <w:pPr>
        <w:pStyle w:val="LawReview-StandardBodyText"/>
        <w:spacing w:after="0" w:line="259" w:lineRule="auto"/>
        <w:ind w:firstLine="0"/>
        <w:rPr>
          <w:rFonts w:cs="Times New Roman (Body CS)"/>
        </w:rPr>
      </w:pPr>
      <w:r>
        <w:rPr>
          <w:rFonts w:cs="Times New Roman (Body CS)"/>
        </w:rPr>
        <w:t xml:space="preserve">Once a party has sought a hearing as allowed by law and the workers’ compensation case becomes formally contested—for example, where the Division has denied benefits (notice of the determination must be provided to both the employer and the </w:t>
      </w:r>
      <w:r>
        <w:rPr>
          <w:rFonts w:cs="Times New Roman (Body CS)"/>
        </w:rPr>
        <w:lastRenderedPageBreak/>
        <w:t>claimant)</w:t>
      </w:r>
      <w:r w:rsidRPr="00910BB7">
        <w:rPr>
          <w:rFonts w:cs="Times New Roman (Body CS)"/>
          <w:vertAlign w:val="superscript"/>
        </w:rPr>
        <w:footnoteReference w:id="796"/>
      </w:r>
      <w:r>
        <w:rPr>
          <w:rFonts w:cs="Times New Roman (Body CS)"/>
        </w:rPr>
        <w:t xml:space="preserve"> and the claimant objects to the denial</w:t>
      </w:r>
      <w:r w:rsidR="00E17E92">
        <w:rPr>
          <w:rFonts w:cs="Times New Roman (Body CS)"/>
        </w:rPr>
        <w:t>—</w:t>
      </w:r>
      <w:r>
        <w:rPr>
          <w:rFonts w:cs="Times New Roman (Body CS)"/>
        </w:rPr>
        <w:t>the Division refers the case either to the Office of Administrative Hearings (OAH) or to the Medical Commission,</w:t>
      </w:r>
      <w:r w:rsidRPr="00910BB7">
        <w:rPr>
          <w:rFonts w:cs="Times New Roman (Body CS)"/>
          <w:vertAlign w:val="superscript"/>
        </w:rPr>
        <w:footnoteReference w:id="797"/>
      </w:r>
      <w:r>
        <w:rPr>
          <w:rFonts w:cs="Times New Roman (Body CS)"/>
        </w:rPr>
        <w:t xml:space="preserve"> with each referral depending on the issues in the case.</w:t>
      </w:r>
      <w:r w:rsidRPr="00910BB7">
        <w:rPr>
          <w:rFonts w:cs="Times New Roman (Body CS)"/>
          <w:vertAlign w:val="superscript"/>
        </w:rPr>
        <w:footnoteReference w:id="798"/>
      </w:r>
      <w:r>
        <w:rPr>
          <w:rFonts w:cs="Times New Roman (Body CS)"/>
        </w:rPr>
        <w:t xml:space="preserve"> The Division is, for example, required to refer “medically contested cases” to the Medical Commission</w:t>
      </w:r>
      <w:r w:rsidRPr="00E17E92">
        <w:rPr>
          <w:rFonts w:cs="Times New Roman (Body CS)"/>
        </w:rPr>
        <w:t>.</w:t>
      </w:r>
      <w:bookmarkStart w:id="1102" w:name="_Ref8399142"/>
      <w:r w:rsidRPr="00910BB7">
        <w:rPr>
          <w:rFonts w:cs="Times New Roman (Body CS)"/>
          <w:vertAlign w:val="superscript"/>
        </w:rPr>
        <w:footnoteReference w:id="799"/>
      </w:r>
      <w:bookmarkEnd w:id="1102"/>
      <w:r w:rsidRPr="00AD5078">
        <w:rPr>
          <w:rFonts w:cs="Times New Roman (Body CS)"/>
          <w:b/>
          <w:bCs/>
        </w:rPr>
        <w:t xml:space="preserve"> A “medically contested” case “is one in which the primary issue requires the application of medical judgment to complex medical facts of conflicting diagnose</w:t>
      </w:r>
      <w:r w:rsidRPr="00E17E92">
        <w:rPr>
          <w:rFonts w:cs="Times New Roman (Body CS)"/>
          <w:b/>
          <w:bCs/>
        </w:rPr>
        <w:t>s.”</w:t>
      </w:r>
      <w:bookmarkStart w:id="1104" w:name="_Ref8645795"/>
      <w:r w:rsidRPr="00910BB7">
        <w:rPr>
          <w:rFonts w:cs="Times New Roman (Body CS)"/>
          <w:vertAlign w:val="superscript"/>
        </w:rPr>
        <w:footnoteReference w:id="800"/>
      </w:r>
      <w:bookmarkEnd w:id="1104"/>
      <w:r>
        <w:rPr>
          <w:rFonts w:cs="Times New Roman (Body CS)"/>
        </w:rPr>
        <w:t xml:space="preserve"> The Division’s decision as to which sub-agency a contested case is referred is not subject to </w:t>
      </w:r>
      <w:r w:rsidRPr="00BD7A70">
        <w:rPr>
          <w:rFonts w:cs="Times New Roman (Body CS)"/>
          <w:i/>
          <w:iCs/>
        </w:rPr>
        <w:t xml:space="preserve">administrative </w:t>
      </w:r>
      <w:r>
        <w:rPr>
          <w:rFonts w:cs="Times New Roman (Body CS)"/>
        </w:rPr>
        <w:t>review.</w:t>
      </w:r>
      <w:bookmarkStart w:id="1106" w:name="_Ref7816336"/>
      <w:r w:rsidRPr="00910BB7">
        <w:rPr>
          <w:rFonts w:cs="Times New Roman (Body CS)"/>
          <w:vertAlign w:val="superscript"/>
        </w:rPr>
        <w:footnoteReference w:id="801"/>
      </w:r>
      <w:bookmarkEnd w:id="1106"/>
      <w:r>
        <w:rPr>
          <w:rFonts w:cs="Times New Roman (Body CS)"/>
        </w:rPr>
        <w:t xml:space="preserve"> While it may seem that the Division is a passive component of Wyoming’s administrative branch, it has been argued that the Division “has become one of the most powerful agencies in state government . . .”</w:t>
      </w:r>
      <w:r w:rsidRPr="00910BB7">
        <w:rPr>
          <w:rFonts w:cs="Times New Roman (Body CS)"/>
          <w:vertAlign w:val="superscript"/>
        </w:rPr>
        <w:footnoteReference w:id="802"/>
      </w:r>
      <w:r>
        <w:rPr>
          <w:rFonts w:cs="Times New Roman (Body CS)"/>
        </w:rPr>
        <w:t xml:space="preserve"> It is the gatekeeper of all workers’ compensation claims.</w:t>
      </w:r>
    </w:p>
    <w:p w14:paraId="1F0126C7" w14:textId="77777777" w:rsidR="00FF7482" w:rsidRDefault="00FF7482" w:rsidP="006C4967">
      <w:pPr>
        <w:pStyle w:val="LawReview-StandardBodyText"/>
        <w:spacing w:after="0" w:line="259" w:lineRule="auto"/>
        <w:rPr>
          <w:rFonts w:cs="Times New Roman (Body CS)"/>
        </w:rPr>
      </w:pPr>
    </w:p>
    <w:p w14:paraId="0D4EB959" w14:textId="630318AB" w:rsidR="00FF7482" w:rsidRPr="003455C0" w:rsidRDefault="00FF7482" w:rsidP="00E17E92">
      <w:pPr>
        <w:pStyle w:val="Heading2"/>
        <w:spacing w:before="0"/>
        <w:rPr>
          <w:rFonts w:ascii="Times New Roman" w:hAnsi="Times New Roman" w:cs="Times New Roman"/>
          <w:b/>
          <w:color w:val="auto"/>
          <w:sz w:val="28"/>
          <w:szCs w:val="28"/>
        </w:rPr>
      </w:pPr>
      <w:bookmarkStart w:id="1109" w:name="_Toc8583907"/>
      <w:bookmarkStart w:id="1110" w:name="_Toc75269430"/>
      <w:r w:rsidRPr="003455C0">
        <w:rPr>
          <w:rFonts w:ascii="Times New Roman" w:hAnsi="Times New Roman" w:cs="Times New Roman"/>
          <w:b/>
          <w:color w:val="auto"/>
          <w:sz w:val="28"/>
          <w:szCs w:val="28"/>
        </w:rPr>
        <w:t xml:space="preserve">The </w:t>
      </w:r>
      <w:r>
        <w:rPr>
          <w:rFonts w:ascii="Times New Roman" w:hAnsi="Times New Roman" w:cs="Times New Roman"/>
          <w:b/>
          <w:color w:val="auto"/>
          <w:sz w:val="28"/>
          <w:szCs w:val="28"/>
        </w:rPr>
        <w:t xml:space="preserve">Wyoming </w:t>
      </w:r>
      <w:r w:rsidRPr="003455C0">
        <w:rPr>
          <w:rFonts w:ascii="Times New Roman" w:hAnsi="Times New Roman" w:cs="Times New Roman"/>
          <w:b/>
          <w:color w:val="auto"/>
          <w:sz w:val="28"/>
          <w:szCs w:val="28"/>
        </w:rPr>
        <w:t>Office of Administrative Hearings</w:t>
      </w:r>
      <w:bookmarkEnd w:id="1109"/>
      <w:bookmarkEnd w:id="1110"/>
      <w:r w:rsidRPr="003455C0">
        <w:rPr>
          <w:rFonts w:ascii="Times New Roman" w:hAnsi="Times New Roman" w:cs="Times New Roman"/>
          <w:b/>
          <w:color w:val="auto"/>
          <w:sz w:val="28"/>
          <w:szCs w:val="28"/>
        </w:rPr>
        <w:t xml:space="preserve"> </w:t>
      </w:r>
    </w:p>
    <w:p w14:paraId="5B117F1A" w14:textId="77777777" w:rsidR="00FF7482" w:rsidRDefault="00FF7482" w:rsidP="006C4967">
      <w:pPr>
        <w:pStyle w:val="LawReview-StandardBodyText"/>
        <w:spacing w:after="0" w:line="259" w:lineRule="auto"/>
        <w:rPr>
          <w:rFonts w:cs="Times New Roman (Body CS)"/>
        </w:rPr>
      </w:pPr>
      <w:r>
        <w:rPr>
          <w:rFonts w:cs="Times New Roman (Body CS)"/>
        </w:rPr>
        <w:t xml:space="preserve"> </w:t>
      </w:r>
    </w:p>
    <w:p w14:paraId="748DDA08" w14:textId="5FCB6E1F" w:rsidR="00FF7482" w:rsidRDefault="00FF7482" w:rsidP="00931C72">
      <w:pPr>
        <w:pStyle w:val="LawReview-StandardBodyText"/>
        <w:spacing w:after="0" w:line="259" w:lineRule="auto"/>
        <w:ind w:firstLine="0"/>
        <w:rPr>
          <w:rFonts w:cs="Times New Roman (Body CS)"/>
        </w:rPr>
      </w:pPr>
      <w:r>
        <w:rPr>
          <w:rFonts w:cs="Times New Roman (Body CS)"/>
        </w:rPr>
        <w:t>The OAH, created in 1992,</w:t>
      </w:r>
      <w:r w:rsidRPr="00910BB7">
        <w:rPr>
          <w:rFonts w:cs="Times New Roman (Body CS)"/>
          <w:vertAlign w:val="superscript"/>
        </w:rPr>
        <w:footnoteReference w:id="803"/>
      </w:r>
      <w:r>
        <w:rPr>
          <w:rFonts w:cs="Times New Roman (Body CS)"/>
        </w:rPr>
        <w:t xml:space="preserve"> receives any workers’ compensation case that is not medically contested.</w:t>
      </w:r>
      <w:r w:rsidRPr="00910BB7">
        <w:rPr>
          <w:rFonts w:cs="Times New Roman (Body CS)"/>
          <w:vertAlign w:val="superscript"/>
        </w:rPr>
        <w:footnoteReference w:id="804"/>
      </w:r>
      <w:r>
        <w:rPr>
          <w:rFonts w:cs="Times New Roman (Body CS)"/>
        </w:rPr>
        <w:t xml:space="preserve"> Wyoming’s OAH is, in effect, a </w:t>
      </w:r>
      <w:r w:rsidRPr="00BD7A70">
        <w:rPr>
          <w:rFonts w:cs="Times New Roman (Body CS)"/>
          <w:b/>
          <w:bCs/>
          <w:i/>
          <w:iCs/>
        </w:rPr>
        <w:t>central panel of administrative judges</w:t>
      </w:r>
      <w:r>
        <w:rPr>
          <w:rFonts w:cs="Times New Roman (Body CS)"/>
        </w:rPr>
        <w:t>, and is not exclusively devoted to workers’ compensation matters.</w:t>
      </w:r>
      <w:r w:rsidRPr="00910BB7">
        <w:rPr>
          <w:rFonts w:cs="Times New Roman (Body CS)"/>
          <w:vertAlign w:val="superscript"/>
        </w:rPr>
        <w:footnoteReference w:id="805"/>
      </w:r>
      <w:r>
        <w:rPr>
          <w:rFonts w:cs="Times New Roman (Body CS)"/>
        </w:rPr>
        <w:t xml:space="preserve"> Instead, OAH is tasked with conducting contested case hearings in disputes between Wyoming residents and Wyoming agencies.</w:t>
      </w:r>
      <w:bookmarkStart w:id="1114" w:name="_Ref4613234"/>
      <w:r w:rsidRPr="00910BB7">
        <w:rPr>
          <w:rFonts w:cs="Times New Roman (Body CS)"/>
          <w:vertAlign w:val="superscript"/>
        </w:rPr>
        <w:footnoteReference w:id="806"/>
      </w:r>
      <w:bookmarkEnd w:id="1114"/>
      <w:r>
        <w:rPr>
          <w:rFonts w:cs="Times New Roman (Body CS)"/>
        </w:rPr>
        <w:t xml:space="preserve"> In particular, </w:t>
      </w:r>
      <w:r>
        <w:rPr>
          <w:rFonts w:cs="Times New Roman (Body CS)"/>
        </w:rPr>
        <w:lastRenderedPageBreak/>
        <w:t>Wyoming’s OAH receives and hears contested cases spanning five broad categories: (1) contested workers’ compensation claims;</w:t>
      </w:r>
      <w:r w:rsidRPr="00910BB7">
        <w:rPr>
          <w:rFonts w:cs="Times New Roman (Body CS)"/>
          <w:vertAlign w:val="superscript"/>
        </w:rPr>
        <w:footnoteReference w:id="807"/>
      </w:r>
      <w:r>
        <w:rPr>
          <w:rFonts w:cs="Times New Roman (Body CS)"/>
        </w:rPr>
        <w:t xml:space="preserve"> (2) driver’s license actions involving alterations to driving privileges, such as restrictions, suspensions, or cancellations;</w:t>
      </w:r>
      <w:r w:rsidRPr="00910BB7">
        <w:rPr>
          <w:rFonts w:cs="Times New Roman (Body CS)"/>
          <w:vertAlign w:val="superscript"/>
        </w:rPr>
        <w:footnoteReference w:id="808"/>
      </w:r>
      <w:r>
        <w:rPr>
          <w:rFonts w:cs="Times New Roman (Body CS)"/>
        </w:rPr>
        <w:t xml:space="preserve"> (3) personnel hearings involving state employees;</w:t>
      </w:r>
      <w:r w:rsidRPr="00910BB7">
        <w:rPr>
          <w:rFonts w:cs="Times New Roman (Body CS)"/>
          <w:vertAlign w:val="superscript"/>
        </w:rPr>
        <w:footnoteReference w:id="809"/>
      </w:r>
      <w:r>
        <w:rPr>
          <w:rFonts w:cs="Times New Roman (Body CS)"/>
        </w:rPr>
        <w:t xml:space="preserve"> (4) mediation and arbitration services requested by state agencies;</w:t>
      </w:r>
      <w:r w:rsidRPr="00910BB7">
        <w:rPr>
          <w:rFonts w:cs="Times New Roman (Body CS)"/>
          <w:vertAlign w:val="superscript"/>
        </w:rPr>
        <w:footnoteReference w:id="810"/>
      </w:r>
      <w:r>
        <w:rPr>
          <w:rFonts w:cs="Times New Roman (Body CS)"/>
        </w:rPr>
        <w:t xml:space="preserve"> and (5) “any other state agency or board dispute where a request is made[.]”</w:t>
      </w:r>
      <w:r w:rsidRPr="00910BB7">
        <w:rPr>
          <w:rFonts w:cs="Times New Roman (Body CS)"/>
          <w:vertAlign w:val="superscript"/>
        </w:rPr>
        <w:footnoteReference w:id="811"/>
      </w:r>
      <w:r>
        <w:rPr>
          <w:rFonts w:cs="Times New Roman (Body CS)"/>
        </w:rPr>
        <w:t xml:space="preserve"> The OAH administrative judges/hearing officers are lawyers in good standing with the Wyoming State Bar.</w:t>
      </w:r>
      <w:r w:rsidRPr="00910BB7">
        <w:rPr>
          <w:rFonts w:cs="Times New Roman (Body CS)"/>
          <w:vertAlign w:val="superscript"/>
        </w:rPr>
        <w:footnoteReference w:id="812"/>
      </w:r>
      <w:r>
        <w:rPr>
          <w:rFonts w:cs="Times New Roman (Body CS)"/>
        </w:rPr>
        <w:t xml:space="preserve"> According to the Mission Statement of the OAH, </w:t>
      </w:r>
    </w:p>
    <w:p w14:paraId="58FAECAB" w14:textId="77777777" w:rsidR="00931C72" w:rsidRDefault="00931C72" w:rsidP="00931C72">
      <w:pPr>
        <w:pStyle w:val="LawReview-StandardBodyText"/>
        <w:spacing w:after="0" w:line="259" w:lineRule="auto"/>
        <w:ind w:firstLine="0"/>
        <w:rPr>
          <w:rFonts w:cs="Times New Roman (Body CS)"/>
        </w:rPr>
      </w:pPr>
    </w:p>
    <w:p w14:paraId="769117FA" w14:textId="54D258B5" w:rsidR="00FF7482" w:rsidRDefault="00FF7482" w:rsidP="00931C72">
      <w:pPr>
        <w:pStyle w:val="LawReview-StandardBodyText"/>
        <w:spacing w:after="0" w:line="259" w:lineRule="auto"/>
        <w:ind w:left="720" w:right="720" w:firstLine="0"/>
        <w:rPr>
          <w:rStyle w:val="Hyperlink"/>
          <w:rFonts w:cs="Times New Roman (Body CS)"/>
          <w:vertAlign w:val="superscript"/>
        </w:rPr>
      </w:pPr>
      <w:r w:rsidRPr="001E50CD">
        <w:rPr>
          <w:rFonts w:cs="Times New Roman (Body CS)"/>
        </w:rPr>
        <w:t>The sole function of the OAH is to conduct fair and impartial contested case hearings statewide in disputes between Wyoming's residents or guests and state governmental agencies. The OAH is uniquely situated to act as an independent, impartial hearing authority because it is a separate operating agency with no agency interest in the substantive issues presented in any of the cases it hears. The parties are therefore assured a neutral process that will favor neither side.</w:t>
      </w:r>
      <w:r w:rsidRPr="00910BB7">
        <w:rPr>
          <w:rFonts w:cs="Times New Roman (Body CS)"/>
          <w:vertAlign w:val="superscript"/>
        </w:rPr>
        <w:footnoteReference w:id="813"/>
      </w:r>
    </w:p>
    <w:p w14:paraId="4BD4B7B4" w14:textId="77777777" w:rsidR="00931C72" w:rsidRDefault="00931C72" w:rsidP="00931C72">
      <w:pPr>
        <w:pStyle w:val="LawReview-StandardBodyText"/>
        <w:spacing w:after="0" w:line="259" w:lineRule="auto"/>
        <w:ind w:firstLine="0"/>
        <w:rPr>
          <w:rFonts w:cs="Times New Roman (Body CS)"/>
        </w:rPr>
      </w:pPr>
    </w:p>
    <w:p w14:paraId="20294F12" w14:textId="298C9A34" w:rsidR="00FF7482" w:rsidRDefault="00FF7482" w:rsidP="00931C72">
      <w:pPr>
        <w:pStyle w:val="LawReview-StandardBodyText"/>
        <w:spacing w:after="0" w:line="259" w:lineRule="auto"/>
        <w:ind w:firstLine="0"/>
        <w:rPr>
          <w:rFonts w:cs="Times New Roman (Body CS)"/>
        </w:rPr>
      </w:pPr>
      <w:r>
        <w:rPr>
          <w:rFonts w:cs="Times New Roman (Body CS)"/>
        </w:rPr>
        <w:t>As will be seen in the upcoming discussion on judicial review, decisions of administrative fact finders in Wyoming are afforded extraordinary deference by the courts, though their decisions are generally policed by Wyoming contested case proceedings.</w:t>
      </w:r>
      <w:r w:rsidRPr="00910BB7">
        <w:rPr>
          <w:rFonts w:cs="Times New Roman (Body CS)"/>
          <w:vertAlign w:val="superscript"/>
        </w:rPr>
        <w:footnoteReference w:id="814"/>
      </w:r>
      <w:r>
        <w:rPr>
          <w:rFonts w:cs="Times New Roman (Body CS)"/>
        </w:rPr>
        <w:t xml:space="preserve"> </w:t>
      </w:r>
    </w:p>
    <w:p w14:paraId="036AB7AA" w14:textId="77777777" w:rsidR="00931C72" w:rsidRDefault="00931C72" w:rsidP="00931C72">
      <w:pPr>
        <w:pStyle w:val="LawReview-StandardBodyText"/>
        <w:spacing w:after="0" w:line="259" w:lineRule="auto"/>
        <w:ind w:firstLine="0"/>
        <w:rPr>
          <w:rFonts w:cs="Times New Roman (Body CS)"/>
        </w:rPr>
      </w:pPr>
    </w:p>
    <w:p w14:paraId="17D8C53E" w14:textId="07960083" w:rsidR="00FF7482" w:rsidRDefault="00FF7482" w:rsidP="00931C72">
      <w:pPr>
        <w:pStyle w:val="LawReview-StandardBodyText"/>
        <w:spacing w:after="0" w:line="259" w:lineRule="auto"/>
        <w:ind w:firstLine="0"/>
        <w:rPr>
          <w:rFonts w:cs="Times New Roman (Body CS)"/>
          <w:b/>
          <w:bCs/>
        </w:rPr>
      </w:pPr>
      <w:r>
        <w:rPr>
          <w:rFonts w:cs="Times New Roman (Body CS)"/>
        </w:rPr>
        <w:t xml:space="preserve">Three important aspects of the statutory mandate of the Office of Administrative Hearings, under W.S. </w:t>
      </w:r>
      <w:r>
        <w:rPr>
          <w:rFonts w:cs="Times New Roman"/>
        </w:rPr>
        <w:t>§</w:t>
      </w:r>
      <w:r>
        <w:rPr>
          <w:rFonts w:cs="Times New Roman (Body CS)"/>
        </w:rPr>
        <w:t xml:space="preserve"> </w:t>
      </w:r>
      <w:hyperlink r:id="rId123" w:history="1">
        <w:r w:rsidRPr="00854D66">
          <w:rPr>
            <w:rStyle w:val="Hyperlink"/>
            <w:rFonts w:cs="Times New Roman (Body CS)"/>
          </w:rPr>
          <w:t>9-2-2202</w:t>
        </w:r>
      </w:hyperlink>
      <w:r>
        <w:rPr>
          <w:rFonts w:cs="Times New Roman (Body CS)"/>
        </w:rPr>
        <w:t>, warrant discussion. First, “[h]</w:t>
      </w:r>
      <w:r w:rsidRPr="00854D66">
        <w:rPr>
          <w:rFonts w:cs="Times New Roman (Body CS)"/>
        </w:rPr>
        <w:t xml:space="preserve">earings will be conducted in an impartial manner </w:t>
      </w:r>
      <w:r w:rsidRPr="00854D66">
        <w:rPr>
          <w:rFonts w:cs="Times New Roman (Body CS)"/>
          <w:b/>
          <w:bCs/>
        </w:rPr>
        <w:t>pursuant to the Wyoming Administrative Procedure Act, applicable provisions of the Wyoming Rules of Civil Procedure</w:t>
      </w:r>
      <w:r w:rsidRPr="00854D66">
        <w:rPr>
          <w:rFonts w:cs="Times New Roman (Body CS)"/>
        </w:rPr>
        <w:t xml:space="preserve"> and any rules for the conduct of contested cases adopted by the director of the office of administrative hearings </w:t>
      </w:r>
      <w:r w:rsidRPr="00854D66">
        <w:rPr>
          <w:rFonts w:cs="Times New Roman (Body CS)"/>
          <w:b/>
          <w:bCs/>
          <w:u w:val="single"/>
        </w:rPr>
        <w:t>which shall take precedence over hearing rules promulgated by the requesting agency</w:t>
      </w:r>
      <w:r w:rsidRPr="00854D66">
        <w:rPr>
          <w:rFonts w:cs="Times New Roman (Body CS)"/>
        </w:rPr>
        <w:t>.</w:t>
      </w:r>
      <w:r>
        <w:rPr>
          <w:rFonts w:cs="Times New Roman (Body CS)"/>
        </w:rPr>
        <w:t xml:space="preserve">” Thus, to the extent the Division’s or the Medical Commission’s hearing rules conflict with the OAH’s rules, </w:t>
      </w:r>
      <w:r w:rsidRPr="00854D66">
        <w:rPr>
          <w:rFonts w:cs="Times New Roman (Body CS)"/>
          <w:b/>
          <w:bCs/>
          <w:u w:val="single"/>
        </w:rPr>
        <w:t xml:space="preserve">the OAH’s </w:t>
      </w:r>
      <w:r w:rsidRPr="00854D66">
        <w:rPr>
          <w:rFonts w:cs="Times New Roman (Body CS)"/>
          <w:b/>
          <w:bCs/>
          <w:u w:val="single"/>
        </w:rPr>
        <w:lastRenderedPageBreak/>
        <w:t>rules control if the OAH has statutory jurisdiction of the underlying dispute</w:t>
      </w:r>
      <w:r>
        <w:rPr>
          <w:rFonts w:cs="Times New Roman (Body CS)"/>
        </w:rPr>
        <w:t>. Second, t</w:t>
      </w:r>
      <w:r w:rsidRPr="00A7700F">
        <w:rPr>
          <w:rFonts w:cs="Times New Roman (Body CS)"/>
        </w:rPr>
        <w:t xml:space="preserve">he </w:t>
      </w:r>
      <w:r>
        <w:rPr>
          <w:rFonts w:cs="Times New Roman (Body CS)"/>
        </w:rPr>
        <w:t>OAH</w:t>
      </w:r>
      <w:r w:rsidRPr="00A7700F">
        <w:rPr>
          <w:rFonts w:cs="Times New Roman (Body CS)"/>
        </w:rPr>
        <w:t xml:space="preserve"> assume</w:t>
      </w:r>
      <w:r>
        <w:rPr>
          <w:rFonts w:cs="Times New Roman (Body CS)"/>
        </w:rPr>
        <w:t>d</w:t>
      </w:r>
      <w:r w:rsidRPr="00A7700F">
        <w:rPr>
          <w:rFonts w:cs="Times New Roman (Body CS)"/>
        </w:rPr>
        <w:t xml:space="preserve"> all duties and responsibilities </w:t>
      </w:r>
      <w:r>
        <w:rPr>
          <w:rFonts w:cs="Times New Roman (Body CS)"/>
        </w:rPr>
        <w:t xml:space="preserve">formerly </w:t>
      </w:r>
      <w:r w:rsidRPr="00A7700F">
        <w:rPr>
          <w:rFonts w:cs="Times New Roman (Body CS)"/>
        </w:rPr>
        <w:t>exercise</w:t>
      </w:r>
      <w:r>
        <w:rPr>
          <w:rFonts w:cs="Times New Roman (Body CS)"/>
        </w:rPr>
        <w:t>d by the now-defunct</w:t>
      </w:r>
      <w:r w:rsidRPr="00A7700F">
        <w:rPr>
          <w:rFonts w:cs="Times New Roman (Body CS)"/>
        </w:rPr>
        <w:t xml:space="preserve"> </w:t>
      </w:r>
      <w:r w:rsidR="00C67CB8">
        <w:rPr>
          <w:rFonts w:cs="Times New Roman (Body CS)"/>
        </w:rPr>
        <w:t>O</w:t>
      </w:r>
      <w:r w:rsidRPr="00A7700F">
        <w:rPr>
          <w:rFonts w:cs="Times New Roman (Body CS)"/>
        </w:rPr>
        <w:t xml:space="preserve">ffice of </w:t>
      </w:r>
      <w:r w:rsidR="00C67CB8">
        <w:rPr>
          <w:rFonts w:cs="Times New Roman (Body CS)"/>
        </w:rPr>
        <w:t>I</w:t>
      </w:r>
      <w:r w:rsidRPr="00A7700F">
        <w:rPr>
          <w:rFonts w:cs="Times New Roman (Body CS)"/>
        </w:rPr>
        <w:t xml:space="preserve">ndependent </w:t>
      </w:r>
      <w:r w:rsidR="00C67CB8">
        <w:rPr>
          <w:rFonts w:cs="Times New Roman (Body CS)"/>
        </w:rPr>
        <w:t>H</w:t>
      </w:r>
      <w:r w:rsidRPr="00A7700F">
        <w:rPr>
          <w:rFonts w:cs="Times New Roman (Body CS)"/>
        </w:rPr>
        <w:t xml:space="preserve">earing </w:t>
      </w:r>
      <w:r w:rsidR="00C67CB8">
        <w:rPr>
          <w:rFonts w:cs="Times New Roman (Body CS)"/>
        </w:rPr>
        <w:t>E</w:t>
      </w:r>
      <w:r w:rsidRPr="00A7700F">
        <w:rPr>
          <w:rFonts w:cs="Times New Roman (Body CS)"/>
        </w:rPr>
        <w:t>xaminers</w:t>
      </w:r>
      <w:r>
        <w:rPr>
          <w:rFonts w:cs="Times New Roman (Body CS)"/>
        </w:rPr>
        <w:t>, in particular driver’s license hearings and workers’ compensation hearings</w:t>
      </w:r>
      <w:r w:rsidRPr="00A7700F">
        <w:rPr>
          <w:rFonts w:cs="Times New Roman (Body CS)"/>
        </w:rPr>
        <w:t>.</w:t>
      </w:r>
      <w:r>
        <w:rPr>
          <w:rFonts w:cs="Times New Roman (Body CS)"/>
        </w:rPr>
        <w:t xml:space="preserve"> As explained in the first paragraph of this section those duties appear to have expanded significantly. Third, the OAH has independent rulemaking authority. The rules the OAH has created, </w:t>
      </w:r>
      <w:r w:rsidRPr="003B1B96">
        <w:rPr>
          <w:rFonts w:cs="Times New Roman (Body CS)"/>
        </w:rPr>
        <w:t>WY Rules and Regulations 270.0001.1 § 1</w:t>
      </w:r>
      <w:r>
        <w:rPr>
          <w:rFonts w:cs="Times New Roman (Body CS)"/>
        </w:rPr>
        <w:t xml:space="preserve"> through </w:t>
      </w:r>
      <w:r w:rsidRPr="003B1B96">
        <w:rPr>
          <w:rFonts w:cs="Times New Roman (Body CS)"/>
        </w:rPr>
        <w:t>270.0001.7 § 3</w:t>
      </w:r>
      <w:r>
        <w:rPr>
          <w:rFonts w:cs="Times New Roman (Body CS)"/>
        </w:rPr>
        <w:t xml:space="preserve">, substantially incorporate by reference relevant provisions of both the Contested Case Procedures and the Rules of Civil Procedure. Of particular relevance to workers’ compensation cases is the section of the rules titled </w:t>
      </w:r>
      <w:r w:rsidRPr="002F641C">
        <w:rPr>
          <w:rFonts w:cs="Times New Roman (Body CS)"/>
          <w:b/>
          <w:bCs/>
        </w:rPr>
        <w:t>Special Rules Relating to Workers’ Compensation.</w:t>
      </w:r>
      <w:r>
        <w:rPr>
          <w:rFonts w:cs="Times New Roman (Body CS)"/>
          <w:b/>
          <w:bCs/>
        </w:rPr>
        <w:t xml:space="preserve"> </w:t>
      </w:r>
      <w:r w:rsidRPr="002F641C">
        <w:rPr>
          <w:rFonts w:cs="Times New Roman (Body CS)"/>
          <w:b/>
          <w:bCs/>
        </w:rPr>
        <w:t>WY Rules and Regulations 270.0001.5 § 1</w:t>
      </w:r>
      <w:r>
        <w:rPr>
          <w:rFonts w:cs="Times New Roman (Body CS)"/>
          <w:b/>
          <w:bCs/>
        </w:rPr>
        <w:t xml:space="preserve"> through </w:t>
      </w:r>
      <w:r w:rsidRPr="002F641C">
        <w:rPr>
          <w:rFonts w:cs="Times New Roman (Body CS)"/>
          <w:b/>
          <w:bCs/>
        </w:rPr>
        <w:t>270.0001.5 § 6</w:t>
      </w:r>
      <w:r>
        <w:rPr>
          <w:rFonts w:cs="Times New Roman (Body CS)"/>
          <w:b/>
          <w:bCs/>
        </w:rPr>
        <w:t>. Of particular interest to practicing attorneys is the following rule, which may serve as a trap to the unwary:</w:t>
      </w:r>
    </w:p>
    <w:p w14:paraId="5790557B" w14:textId="572C2E04" w:rsidR="00FF7482" w:rsidRDefault="00FF7482" w:rsidP="006C4967">
      <w:pPr>
        <w:pStyle w:val="LawReview-StandardBodyText"/>
        <w:spacing w:after="0" w:line="259" w:lineRule="auto"/>
        <w:rPr>
          <w:rFonts w:cs="Times New Roman (Body CS)"/>
          <w:b/>
          <w:bCs/>
        </w:rPr>
      </w:pPr>
    </w:p>
    <w:p w14:paraId="54EE4397" w14:textId="13B5BF08" w:rsidR="00FF7482" w:rsidRDefault="00FF7482" w:rsidP="006C4967">
      <w:pPr>
        <w:pStyle w:val="LawReview-StandardBodyText"/>
        <w:spacing w:after="0" w:line="259" w:lineRule="auto"/>
        <w:ind w:left="720" w:right="720" w:firstLine="0"/>
        <w:rPr>
          <w:rFonts w:cs="Times New Roman (Body CS)"/>
        </w:rPr>
      </w:pPr>
      <w:r w:rsidRPr="002F641C">
        <w:rPr>
          <w:rFonts w:cs="Times New Roman (Body CS)"/>
        </w:rPr>
        <w:t xml:space="preserve">In all workers' compensation contested cases, the parties shall file all original documents, pleadings, and motions </w:t>
      </w:r>
      <w:r w:rsidRPr="00EF2DCD">
        <w:rPr>
          <w:rFonts w:cs="Times New Roman (Body CS)"/>
          <w:b/>
          <w:bCs/>
          <w:u w:val="single"/>
        </w:rPr>
        <w:t>with the Workers' Compensation Division</w:t>
      </w:r>
      <w:r w:rsidRPr="002F641C">
        <w:rPr>
          <w:rFonts w:cs="Times New Roman (Body CS)"/>
        </w:rPr>
        <w:t>, with true and complete copies of the particular document, pleading, or motion properly served on all other parties or their attorneys, and this Office.</w:t>
      </w:r>
    </w:p>
    <w:p w14:paraId="5ECEC024" w14:textId="3CAE182B" w:rsidR="00FF7482" w:rsidRDefault="00FF7482" w:rsidP="006C4967">
      <w:pPr>
        <w:pStyle w:val="LawReview-StandardBodyText"/>
        <w:spacing w:after="0" w:line="259" w:lineRule="auto"/>
        <w:rPr>
          <w:rFonts w:cs="Times New Roman (Body CS)"/>
        </w:rPr>
      </w:pPr>
    </w:p>
    <w:p w14:paraId="6BCB20CE" w14:textId="191670F4" w:rsidR="00FF7482" w:rsidRDefault="00FF7482" w:rsidP="00C67CB8">
      <w:pPr>
        <w:pStyle w:val="Heading2"/>
        <w:spacing w:before="0"/>
        <w:rPr>
          <w:rFonts w:ascii="Times New Roman" w:hAnsi="Times New Roman" w:cs="Times New Roman"/>
          <w:b/>
          <w:color w:val="auto"/>
          <w:sz w:val="28"/>
          <w:szCs w:val="28"/>
        </w:rPr>
      </w:pPr>
      <w:bookmarkStart w:id="1125" w:name="_Toc8583908"/>
      <w:bookmarkStart w:id="1126" w:name="_Toc75269431"/>
      <w:r w:rsidRPr="003455C0">
        <w:rPr>
          <w:rFonts w:ascii="Times New Roman" w:hAnsi="Times New Roman" w:cs="Times New Roman"/>
          <w:b/>
          <w:color w:val="auto"/>
          <w:sz w:val="28"/>
          <w:szCs w:val="28"/>
        </w:rPr>
        <w:t xml:space="preserve">The </w:t>
      </w:r>
      <w:r>
        <w:rPr>
          <w:rFonts w:ascii="Times New Roman" w:hAnsi="Times New Roman" w:cs="Times New Roman"/>
          <w:b/>
          <w:color w:val="auto"/>
          <w:sz w:val="28"/>
          <w:szCs w:val="28"/>
        </w:rPr>
        <w:t xml:space="preserve">Wyoming </w:t>
      </w:r>
      <w:r w:rsidRPr="003455C0">
        <w:rPr>
          <w:rFonts w:ascii="Times New Roman" w:hAnsi="Times New Roman" w:cs="Times New Roman"/>
          <w:b/>
          <w:color w:val="auto"/>
          <w:sz w:val="28"/>
          <w:szCs w:val="28"/>
        </w:rPr>
        <w:t>Medical Commission</w:t>
      </w:r>
      <w:bookmarkEnd w:id="1125"/>
      <w:bookmarkEnd w:id="1126"/>
      <w:r w:rsidRPr="003455C0">
        <w:rPr>
          <w:rFonts w:ascii="Times New Roman" w:hAnsi="Times New Roman" w:cs="Times New Roman"/>
          <w:b/>
          <w:color w:val="auto"/>
          <w:sz w:val="28"/>
          <w:szCs w:val="28"/>
        </w:rPr>
        <w:t xml:space="preserve"> </w:t>
      </w:r>
    </w:p>
    <w:p w14:paraId="24286300" w14:textId="77777777" w:rsidR="00FF7482" w:rsidRPr="003455C0" w:rsidRDefault="00FF7482" w:rsidP="006C4967">
      <w:pPr>
        <w:spacing w:after="0"/>
      </w:pPr>
    </w:p>
    <w:p w14:paraId="1256B437" w14:textId="614929D3" w:rsidR="00FF7482" w:rsidRDefault="00FF7482" w:rsidP="00C94B70">
      <w:pPr>
        <w:pStyle w:val="LawReview-StandardBodyText"/>
        <w:spacing w:after="0" w:line="259" w:lineRule="auto"/>
        <w:ind w:firstLine="0"/>
        <w:rPr>
          <w:rFonts w:cs="Times New Roman (Body CS)"/>
        </w:rPr>
      </w:pPr>
      <w:r>
        <w:rPr>
          <w:rFonts w:cs="Times New Roman (Body CS)"/>
        </w:rPr>
        <w:t xml:space="preserve">In 1993, the Wyoming </w:t>
      </w:r>
      <w:r w:rsidR="00925BE4">
        <w:rPr>
          <w:rFonts w:cs="Times New Roman (Body CS)"/>
        </w:rPr>
        <w:t>l</w:t>
      </w:r>
      <w:r>
        <w:rPr>
          <w:rFonts w:cs="Times New Roman (Body CS)"/>
        </w:rPr>
        <w:t xml:space="preserve">egislature created the Medical Commission (hereinafter “the Commission”) to provide an </w:t>
      </w:r>
      <w:r w:rsidRPr="001E26B3">
        <w:rPr>
          <w:rFonts w:cs="Times New Roman (Body CS)"/>
          <w:i/>
        </w:rPr>
        <w:t>additional</w:t>
      </w:r>
      <w:r>
        <w:rPr>
          <w:rFonts w:cs="Times New Roman (Body CS)"/>
        </w:rPr>
        <w:t xml:space="preserve"> venue to adjudicate workers’ compensation claims.</w:t>
      </w:r>
      <w:r w:rsidRPr="00910BB7">
        <w:rPr>
          <w:rFonts w:cs="Times New Roman (Body CS)"/>
          <w:vertAlign w:val="superscript"/>
        </w:rPr>
        <w:footnoteReference w:id="815"/>
      </w:r>
      <w:r>
        <w:rPr>
          <w:rFonts w:cs="Times New Roman (Body CS)"/>
        </w:rPr>
        <w:t xml:space="preserve"> The Commission, which is comprised of eleven health care providers appointed by the governor,</w:t>
      </w:r>
      <w:bookmarkStart w:id="1128" w:name="_Ref8399185"/>
      <w:r w:rsidRPr="00910BB7">
        <w:rPr>
          <w:rFonts w:cs="Times New Roman (Body CS)"/>
          <w:vertAlign w:val="superscript"/>
        </w:rPr>
        <w:footnoteReference w:id="816"/>
      </w:r>
      <w:bookmarkEnd w:id="1128"/>
      <w:r>
        <w:rPr>
          <w:rFonts w:cs="Times New Roman (Body CS)"/>
        </w:rPr>
        <w:t xml:space="preserve"> was created because of the prevalence of dispositive medical issues in workers’ compensation cases.</w:t>
      </w:r>
      <w:r w:rsidRPr="00910BB7">
        <w:rPr>
          <w:rFonts w:cs="Times New Roman (Body CS)"/>
          <w:vertAlign w:val="superscript"/>
        </w:rPr>
        <w:footnoteReference w:id="817"/>
      </w:r>
      <w:r>
        <w:rPr>
          <w:rFonts w:cs="Times New Roman (Body CS)"/>
        </w:rPr>
        <w:t xml:space="preserve"> </w:t>
      </w:r>
      <w:r w:rsidRPr="00A468B8">
        <w:rPr>
          <w:rFonts w:cs="Times New Roman (Body CS)"/>
        </w:rPr>
        <w:t>Upon the</w:t>
      </w:r>
      <w:r>
        <w:rPr>
          <w:rFonts w:cs="Times New Roman (Body CS)"/>
        </w:rPr>
        <w:t xml:space="preserve"> </w:t>
      </w:r>
      <w:r w:rsidRPr="00A468B8">
        <w:rPr>
          <w:rFonts w:cs="Times New Roman (Body CS)"/>
        </w:rPr>
        <w:t>Division</w:t>
      </w:r>
      <w:r>
        <w:rPr>
          <w:rFonts w:cs="Times New Roman (Body CS)"/>
        </w:rPr>
        <w:t>’</w:t>
      </w:r>
      <w:r w:rsidRPr="00A468B8">
        <w:rPr>
          <w:rFonts w:cs="Times New Roman (Body CS)"/>
        </w:rPr>
        <w:t xml:space="preserve">s determination that a case is medically contested, </w:t>
      </w:r>
      <w:r w:rsidRPr="00A468B8">
        <w:rPr>
          <w:rFonts w:cs="Times New Roman (Body CS)"/>
          <w:b/>
          <w:bCs/>
        </w:rPr>
        <w:t>it must refer it to the Medical Commission</w:t>
      </w:r>
      <w:r w:rsidRPr="00826BA8">
        <w:rPr>
          <w:rFonts w:cs="Times New Roman (Body CS)"/>
        </w:rPr>
        <w:t>.</w:t>
      </w:r>
      <w:r w:rsidRPr="00910BB7">
        <w:rPr>
          <w:rFonts w:cs="Times New Roman (Body CS)"/>
          <w:vertAlign w:val="superscript"/>
        </w:rPr>
        <w:footnoteReference w:id="818"/>
      </w:r>
      <w:r w:rsidRPr="00671B7D">
        <w:rPr>
          <w:rFonts w:cs="Times New Roman (Body CS)"/>
        </w:rPr>
        <w:t xml:space="preserve"> </w:t>
      </w:r>
      <w:r w:rsidRPr="00671B7D">
        <w:rPr>
          <w:rFonts w:cs="Times New Roman (Body CS)"/>
          <w:b/>
          <w:bCs/>
        </w:rPr>
        <w:t>But the Medical Commission does not have subject matter jurisdiction of a workers’ compensation claim in the absence of a medically contested case</w:t>
      </w:r>
      <w:r>
        <w:rPr>
          <w:rFonts w:cs="Times New Roman (Body CS)"/>
        </w:rPr>
        <w:t>.</w:t>
      </w:r>
      <w:r w:rsidRPr="00910BB7">
        <w:rPr>
          <w:rFonts w:cs="Times New Roman (Body CS)"/>
          <w:vertAlign w:val="superscript"/>
        </w:rPr>
        <w:footnoteReference w:id="819"/>
      </w:r>
      <w:r>
        <w:rPr>
          <w:rFonts w:cs="Times New Roman (Body CS)"/>
        </w:rPr>
        <w:t xml:space="preserve"> Following referral of a case from the Division, a referral which as has already been noted is not subject to further administrative review but </w:t>
      </w:r>
      <w:r w:rsidRPr="00671B7D">
        <w:rPr>
          <w:rFonts w:cs="Times New Roman (Body CS)"/>
          <w:b/>
          <w:bCs/>
          <w:u w:val="single"/>
        </w:rPr>
        <w:t>is</w:t>
      </w:r>
      <w:r>
        <w:rPr>
          <w:rFonts w:cs="Times New Roman (Body CS)"/>
        </w:rPr>
        <w:t xml:space="preserve"> subject to judicial review,</w:t>
      </w:r>
      <w:r w:rsidRPr="00910BB7">
        <w:rPr>
          <w:rFonts w:cs="Times New Roman (Body CS)"/>
          <w:vertAlign w:val="superscript"/>
        </w:rPr>
        <w:footnoteReference w:id="820"/>
      </w:r>
      <w:r>
        <w:rPr>
          <w:rFonts w:cs="Times New Roman (Body CS)"/>
        </w:rPr>
        <w:t xml:space="preserve"> the Commission is mandated by statute “[t]</w:t>
      </w:r>
      <w:r w:rsidRPr="00A47D9A">
        <w:rPr>
          <w:rFonts w:cs="Times New Roman (Body CS)"/>
        </w:rPr>
        <w:t xml:space="preserve">o furnish </w:t>
      </w:r>
      <w:r w:rsidRPr="002B3640">
        <w:rPr>
          <w:rFonts w:cs="Times New Roman (Body CS)"/>
          <w:b/>
          <w:bCs/>
        </w:rPr>
        <w:lastRenderedPageBreak/>
        <w:t>three members of the commission to serve as a medical hearing panel to hear cases referred for hearing</w:t>
      </w:r>
      <w:r w:rsidRPr="00A47D9A">
        <w:rPr>
          <w:rFonts w:cs="Times New Roman (Body CS)"/>
        </w:rPr>
        <w:t>.</w:t>
      </w:r>
      <w:r>
        <w:rPr>
          <w:rFonts w:cs="Times New Roman (Body CS)"/>
        </w:rPr>
        <w:t>”</w:t>
      </w:r>
      <w:r w:rsidRPr="00910BB7">
        <w:rPr>
          <w:rFonts w:cs="Times New Roman (Body CS)"/>
          <w:vertAlign w:val="superscript"/>
        </w:rPr>
        <w:footnoteReference w:id="821"/>
      </w:r>
      <w:r>
        <w:rPr>
          <w:rFonts w:cs="Times New Roman (Body CS)"/>
        </w:rPr>
        <w:t xml:space="preserve"> At least one member of a panel must be a physician; and one member is designated by the Commission to serve as chair of the panel.</w:t>
      </w:r>
      <w:r w:rsidRPr="00910BB7">
        <w:rPr>
          <w:rFonts w:cs="Times New Roman (Body CS)"/>
          <w:vertAlign w:val="superscript"/>
        </w:rPr>
        <w:footnoteReference w:id="822"/>
      </w:r>
      <w:r>
        <w:rPr>
          <w:rFonts w:cs="Times New Roman (Body CS)"/>
        </w:rPr>
        <w:t xml:space="preserve"> </w:t>
      </w:r>
      <w:r w:rsidRPr="00A468B8">
        <w:rPr>
          <w:rFonts w:cs="Times New Roman (Body CS)"/>
        </w:rPr>
        <w:t xml:space="preserve">When hearing a medically contested case, </w:t>
      </w:r>
      <w:r w:rsidRPr="00A468B8">
        <w:rPr>
          <w:rFonts w:cs="Times New Roman (Body CS)"/>
          <w:b/>
          <w:bCs/>
        </w:rPr>
        <w:t xml:space="preserve">the panel shall serve as the hearing examiner and shall have exclusive jurisdiction to make the final administrative determination of the validity and amount of </w:t>
      </w:r>
      <w:r>
        <w:rPr>
          <w:rFonts w:cs="Times New Roman (Body CS)"/>
          <w:b/>
          <w:bCs/>
        </w:rPr>
        <w:t xml:space="preserve">workers’ </w:t>
      </w:r>
      <w:r w:rsidRPr="00A468B8">
        <w:rPr>
          <w:rFonts w:cs="Times New Roman (Body CS)"/>
          <w:b/>
          <w:bCs/>
        </w:rPr>
        <w:t>compensation</w:t>
      </w:r>
      <w:r>
        <w:rPr>
          <w:rFonts w:cs="Times New Roman (Body CS)"/>
          <w:b/>
          <w:bCs/>
        </w:rPr>
        <w:t xml:space="preserve"> that is</w:t>
      </w:r>
      <w:r w:rsidRPr="00A468B8">
        <w:rPr>
          <w:rFonts w:cs="Times New Roman (Body CS)"/>
          <w:b/>
          <w:bCs/>
        </w:rPr>
        <w:t xml:space="preserve"> payable</w:t>
      </w:r>
      <w:r w:rsidRPr="00A468B8">
        <w:rPr>
          <w:rFonts w:cs="Times New Roman (Body CS)"/>
        </w:rPr>
        <w:t>.</w:t>
      </w:r>
      <w:r w:rsidRPr="00910BB7">
        <w:rPr>
          <w:rFonts w:cs="Times New Roman (Body CS)"/>
          <w:vertAlign w:val="superscript"/>
        </w:rPr>
        <w:footnoteReference w:id="823"/>
      </w:r>
      <w:r>
        <w:rPr>
          <w:rFonts w:cs="Times New Roman (Body CS)"/>
        </w:rPr>
        <w:t xml:space="preserve"> </w:t>
      </w:r>
      <w:r w:rsidRPr="00626CD7">
        <w:rPr>
          <w:rFonts w:cs="Times New Roman (Body CS)"/>
          <w:b/>
          <w:bCs/>
        </w:rPr>
        <w:t>Thus, the Commission sits as hearing officer and is subject to the same standard of review as the Office of Administrative Hearings</w:t>
      </w:r>
      <w:r>
        <w:rPr>
          <w:rFonts w:cs="Times New Roman (Body CS)"/>
        </w:rPr>
        <w:t>.</w:t>
      </w:r>
      <w:r w:rsidRPr="00910BB7">
        <w:rPr>
          <w:rFonts w:cs="Times New Roman (Body CS)"/>
          <w:vertAlign w:val="superscript"/>
        </w:rPr>
        <w:footnoteReference w:id="824"/>
      </w:r>
    </w:p>
    <w:p w14:paraId="4ED66C8D" w14:textId="77777777" w:rsidR="00C94B70" w:rsidRDefault="00C94B70" w:rsidP="00C94B70">
      <w:pPr>
        <w:pStyle w:val="LawReview-StandardBodyText"/>
        <w:spacing w:after="0" w:line="259" w:lineRule="auto"/>
        <w:ind w:firstLine="0"/>
        <w:rPr>
          <w:rFonts w:cs="Times New Roman (Body CS)"/>
        </w:rPr>
      </w:pPr>
    </w:p>
    <w:p w14:paraId="7C9C39BA" w14:textId="1ACE30CF" w:rsidR="00FF7482" w:rsidRDefault="00FF7482" w:rsidP="00C94B70">
      <w:pPr>
        <w:pStyle w:val="LawReview-StandardBodyText"/>
        <w:spacing w:after="0" w:line="259" w:lineRule="auto"/>
        <w:ind w:firstLine="0"/>
        <w:rPr>
          <w:rFonts w:cs="Times New Roman (Body CS)"/>
        </w:rPr>
      </w:pPr>
      <w:r>
        <w:rPr>
          <w:rFonts w:cs="Times New Roman (Body CS)"/>
        </w:rPr>
        <w:t>Though the Commission was “presumably intended to hear medical disputes,”</w:t>
      </w:r>
      <w:r w:rsidRPr="00910BB7">
        <w:rPr>
          <w:rFonts w:cs="Times New Roman (Body CS)"/>
          <w:vertAlign w:val="superscript"/>
        </w:rPr>
        <w:footnoteReference w:id="825"/>
      </w:r>
      <w:r>
        <w:rPr>
          <w:rFonts w:cs="Times New Roman (Body CS)"/>
        </w:rPr>
        <w:t xml:space="preserve"> the statute creating the Commission grants the sub-agency exclusive authority to make final determinations as to </w:t>
      </w:r>
      <w:r w:rsidRPr="002B3640">
        <w:rPr>
          <w:rFonts w:cs="Times New Roman (Body CS)"/>
          <w:b/>
          <w:bCs/>
          <w:i/>
        </w:rPr>
        <w:t>all</w:t>
      </w:r>
      <w:r w:rsidRPr="002B3640">
        <w:rPr>
          <w:rFonts w:cs="Times New Roman (Body CS)"/>
          <w:b/>
          <w:bCs/>
        </w:rPr>
        <w:t xml:space="preserve"> </w:t>
      </w:r>
      <w:r>
        <w:rPr>
          <w:rFonts w:cs="Times New Roman (Body CS)"/>
        </w:rPr>
        <w:t>issues presented when hearing a particular case, and does not limit the Commission’s determination to the medical issues presented.</w:t>
      </w:r>
      <w:r w:rsidRPr="00910BB7">
        <w:rPr>
          <w:rFonts w:cs="Times New Roman (Body CS)"/>
          <w:vertAlign w:val="superscript"/>
        </w:rPr>
        <w:footnoteReference w:id="826"/>
      </w:r>
      <w:r>
        <w:rPr>
          <w:rFonts w:cs="Times New Roman (Body CS)"/>
        </w:rPr>
        <w:t xml:space="preserve"> Put another way, the Commission is granted authority to determine medical issues because of its medical expertise, but it also has authority to determine legal issues despite its lack of legal expertise.</w:t>
      </w:r>
      <w:r w:rsidRPr="00910BB7">
        <w:rPr>
          <w:rFonts w:cs="Times New Roman (Body CS)"/>
          <w:vertAlign w:val="superscript"/>
        </w:rPr>
        <w:footnoteReference w:id="827"/>
      </w:r>
      <w:r>
        <w:rPr>
          <w:rFonts w:cs="Times New Roman (Body CS)"/>
        </w:rPr>
        <w:t xml:space="preserve"> What is most unusual about the Commission’s structure, in comparison with other neutral workers’ compensation fact finding structures such as IMEs,</w:t>
      </w:r>
      <w:r w:rsidRPr="00910BB7">
        <w:rPr>
          <w:rFonts w:cs="Times New Roman (Body CS)"/>
          <w:vertAlign w:val="superscript"/>
        </w:rPr>
        <w:footnoteReference w:id="828"/>
      </w:r>
      <w:r>
        <w:rPr>
          <w:rFonts w:cs="Times New Roman (Body CS)"/>
        </w:rPr>
        <w:t xml:space="preserve"> is that it possesses plenary authority to determine non-medical legal issues in addition to deciding those issues that constitute a medical dispute. “There is </w:t>
      </w:r>
      <w:r w:rsidRPr="00A47D9A">
        <w:rPr>
          <w:rFonts w:cs="Times New Roman (Body CS)"/>
          <w:iCs/>
        </w:rPr>
        <w:t>no doubt</w:t>
      </w:r>
      <w:r>
        <w:rPr>
          <w:rFonts w:cs="Times New Roman (Body CS)"/>
        </w:rPr>
        <w:t xml:space="preserve"> that many contested workers’ compensation claims involve </w:t>
      </w:r>
      <w:r w:rsidRPr="00C55503">
        <w:rPr>
          <w:rFonts w:cs="Times New Roman (Body CS)"/>
          <w:i/>
        </w:rPr>
        <w:t>both</w:t>
      </w:r>
      <w:r>
        <w:rPr>
          <w:rFonts w:cs="Times New Roman (Body CS)"/>
        </w:rPr>
        <w:t xml:space="preserve"> legal and medical issues.”</w:t>
      </w:r>
      <w:r w:rsidRPr="00910BB7">
        <w:rPr>
          <w:rFonts w:cs="Times New Roman (Body CS)"/>
          <w:vertAlign w:val="superscript"/>
        </w:rPr>
        <w:footnoteReference w:id="829"/>
      </w:r>
      <w:r>
        <w:rPr>
          <w:rFonts w:cs="Times New Roman (Body CS)"/>
        </w:rPr>
        <w:t xml:space="preserve"> And it is equally clear the Commission as a body does not have legal expertise: </w:t>
      </w:r>
    </w:p>
    <w:p w14:paraId="68C93317" w14:textId="77777777" w:rsidR="00D73A62" w:rsidRDefault="00D73A62" w:rsidP="00D73A62">
      <w:pPr>
        <w:pStyle w:val="LawReview-StandardBodyText"/>
        <w:spacing w:after="0" w:line="259" w:lineRule="auto"/>
        <w:ind w:firstLine="0"/>
        <w:rPr>
          <w:rFonts w:cs="Times New Roman (Body CS)"/>
        </w:rPr>
      </w:pPr>
    </w:p>
    <w:p w14:paraId="3DE6C1B5" w14:textId="43C61521" w:rsidR="00FF7482" w:rsidRDefault="00FF7482" w:rsidP="00D73A62">
      <w:pPr>
        <w:pStyle w:val="LawReview-StandardBodyText"/>
        <w:spacing w:after="0" w:line="259" w:lineRule="auto"/>
        <w:ind w:left="720" w:right="720" w:firstLine="0"/>
        <w:rPr>
          <w:rStyle w:val="Hyperlink"/>
          <w:rFonts w:cs="Times New Roman (Body CS)"/>
          <w:vertAlign w:val="superscript"/>
        </w:rPr>
      </w:pPr>
      <w:r w:rsidRPr="00A47D9A">
        <w:rPr>
          <w:rFonts w:cs="Times New Roman (Body CS)"/>
        </w:rPr>
        <w:t xml:space="preserve">There is no doubt that many contested worker's compensation claims involve both legal and medical issues. The hearing examiners in the Office of Administrative Hearings, previously vested with sole jurisdiction to hear these claims, have professional legal training and must be members in good standing of the Wyoming State Bar. Wyo. Stat. § 9–2–2201(c) (1997). The law has long recognized the limitations of a legally trained fact finder in circumstances which require a special expertise accumulated through extensive professional training and experience. In many </w:t>
      </w:r>
      <w:r w:rsidRPr="00A47D9A">
        <w:rPr>
          <w:rFonts w:cs="Times New Roman (Body CS)"/>
        </w:rPr>
        <w:lastRenderedPageBreak/>
        <w:t xml:space="preserve">such instances, the courts have sought counsel from special masters to assist in a factual understanding of the complex issues presented. The creation of the Medical Commission reflects the legislature's recognition that many contested claims involve complex medical issues, and in some cases, those issues are dispositive. Thus, each medical hearing panel will have at least one physician, and all will be health care providers, with the expertise to determine the medical issues before them. </w:t>
      </w:r>
      <w:r w:rsidRPr="00A47D9A">
        <w:rPr>
          <w:rFonts w:cs="Times New Roman (Body CS)"/>
          <w:b/>
          <w:bCs/>
        </w:rPr>
        <w:t>A medical hearing panel does not, however, have the legal training or expertise to determine the issues of law which may arise</w:t>
      </w:r>
      <w:r w:rsidRPr="00D73A62">
        <w:rPr>
          <w:rFonts w:cs="Times New Roman (Body CS)"/>
        </w:rPr>
        <w:t>.</w:t>
      </w:r>
      <w:r w:rsidRPr="00910BB7">
        <w:rPr>
          <w:rFonts w:cs="Times New Roman (Body CS)"/>
          <w:vertAlign w:val="superscript"/>
        </w:rPr>
        <w:footnoteReference w:id="830"/>
      </w:r>
    </w:p>
    <w:p w14:paraId="3FC2578E" w14:textId="77777777" w:rsidR="00D73A62" w:rsidRPr="00A47D9A" w:rsidRDefault="00D73A62" w:rsidP="00D73A62">
      <w:pPr>
        <w:pStyle w:val="LawReview-StandardBodyText"/>
        <w:spacing w:after="0" w:line="259" w:lineRule="auto"/>
        <w:ind w:left="720" w:right="720" w:firstLine="0"/>
        <w:rPr>
          <w:rFonts w:cs="Times New Roman (Body CS)"/>
          <w:b/>
          <w:bCs/>
        </w:rPr>
      </w:pPr>
    </w:p>
    <w:p w14:paraId="7F053B28" w14:textId="485F009A" w:rsidR="00070B92" w:rsidRDefault="00FF7482" w:rsidP="00070B92">
      <w:pPr>
        <w:pStyle w:val="LawReview-StandardBodyText"/>
        <w:spacing w:after="0" w:line="259" w:lineRule="auto"/>
        <w:ind w:firstLine="0"/>
        <w:rPr>
          <w:rFonts w:cs="Times New Roman (Body CS)"/>
        </w:rPr>
      </w:pPr>
      <w:r>
        <w:rPr>
          <w:rFonts w:cs="Times New Roman (Body CS)"/>
        </w:rPr>
        <w:t>This has created, as Wyoming courts have at times frankly acknowledged, the potential for the Commission making factual and legal errors.</w:t>
      </w:r>
      <w:r w:rsidRPr="00910BB7">
        <w:rPr>
          <w:rFonts w:cs="Times New Roman (Body CS)"/>
          <w:vertAlign w:val="superscript"/>
        </w:rPr>
        <w:footnoteReference w:id="831"/>
      </w:r>
      <w:r>
        <w:rPr>
          <w:rFonts w:cs="Times New Roman (Body CS)"/>
        </w:rPr>
        <w:t xml:space="preserve"> It is one thing for the courts to seek counsel from special masters </w:t>
      </w:r>
      <w:r w:rsidRPr="00F757C8">
        <w:rPr>
          <w:rFonts w:cs="Times New Roman (Body CS)"/>
        </w:rPr>
        <w:t>to assist in a factual understanding of complex issues</w:t>
      </w:r>
      <w:r>
        <w:rPr>
          <w:rFonts w:cs="Times New Roman (Body CS)"/>
        </w:rPr>
        <w:t xml:space="preserve">. It would be quite another to allow those same masters to decide issues outside their areas of expertise, which is no doubt why the Commission is clearly without jurisdiction in the absence of a </w:t>
      </w:r>
      <w:bookmarkStart w:id="1149" w:name="_Hlk24618977"/>
      <w:r>
        <w:rPr>
          <w:rFonts w:cs="Times New Roman (Body CS)"/>
        </w:rPr>
        <w:t xml:space="preserve">medically contested </w:t>
      </w:r>
      <w:bookmarkEnd w:id="1149"/>
      <w:r>
        <w:rPr>
          <w:rFonts w:cs="Times New Roman (Body CS)"/>
        </w:rPr>
        <w:t>case. It is the “mixed” cases that will likely continue to be problematic.</w:t>
      </w:r>
    </w:p>
    <w:p w14:paraId="5E53E3B7" w14:textId="77777777" w:rsidR="00070B92" w:rsidRDefault="00070B92" w:rsidP="00070B92">
      <w:pPr>
        <w:pStyle w:val="LawReview-StandardBodyText"/>
        <w:spacing w:after="0" w:line="259" w:lineRule="auto"/>
        <w:ind w:firstLine="0"/>
        <w:rPr>
          <w:rFonts w:cs="Times New Roman (Body CS)"/>
        </w:rPr>
      </w:pPr>
    </w:p>
    <w:p w14:paraId="551D0B28" w14:textId="071FADF1" w:rsidR="00FF7482" w:rsidRDefault="00FF7482" w:rsidP="00070B92">
      <w:pPr>
        <w:pStyle w:val="LawReview-StandardBodyText"/>
        <w:spacing w:after="0" w:line="259" w:lineRule="auto"/>
        <w:ind w:firstLine="0"/>
        <w:rPr>
          <w:rFonts w:cs="Times New Roman (Body CS)"/>
        </w:rPr>
      </w:pPr>
      <w:r>
        <w:rPr>
          <w:rFonts w:cs="Times New Roman (Body CS)"/>
        </w:rPr>
        <w:t>A glaring example of this problem was showcased in</w:t>
      </w:r>
      <w:r w:rsidRPr="009A57DC">
        <w:rPr>
          <w:rFonts w:cs="Times New Roman (Body CS)"/>
        </w:rPr>
        <w:t xml:space="preserve"> </w:t>
      </w:r>
      <w:r w:rsidRPr="009A57DC">
        <w:rPr>
          <w:rFonts w:cs="Times New Roman (Body CS)"/>
          <w:i/>
          <w:iCs/>
        </w:rPr>
        <w:t xml:space="preserve">Moss v. Wyoming Workers’ Safety </w:t>
      </w:r>
      <w:r>
        <w:rPr>
          <w:rFonts w:cs="Times New Roman (Body CS)"/>
          <w:i/>
          <w:iCs/>
        </w:rPr>
        <w:t>&amp;</w:t>
      </w:r>
      <w:r w:rsidRPr="009A57DC">
        <w:rPr>
          <w:rFonts w:cs="Times New Roman (Body CS)"/>
          <w:i/>
          <w:iCs/>
        </w:rPr>
        <w:t xml:space="preserve"> Compensation Div</w:t>
      </w:r>
      <w:r>
        <w:rPr>
          <w:rFonts w:cs="Times New Roman (Body CS)"/>
        </w:rPr>
        <w:t>.</w:t>
      </w:r>
      <w:r w:rsidRPr="00910BB7">
        <w:rPr>
          <w:rFonts w:cs="Times New Roman (Body CS)"/>
          <w:vertAlign w:val="superscript"/>
        </w:rPr>
        <w:footnoteReference w:id="832"/>
      </w:r>
      <w:r w:rsidRPr="009A57DC">
        <w:rPr>
          <w:rFonts w:cs="Times New Roman (Body CS)"/>
        </w:rPr>
        <w:t xml:space="preserve"> In </w:t>
      </w:r>
      <w:r w:rsidRPr="009A57DC">
        <w:rPr>
          <w:rFonts w:cs="Times New Roman (Body CS)"/>
          <w:i/>
          <w:iCs/>
        </w:rPr>
        <w:t>Moss</w:t>
      </w:r>
      <w:r w:rsidRPr="009A57DC">
        <w:rPr>
          <w:rFonts w:cs="Times New Roman (Body CS)"/>
        </w:rPr>
        <w:t>, the Commission reject</w:t>
      </w:r>
      <w:r>
        <w:rPr>
          <w:rFonts w:cs="Times New Roman (Body CS)"/>
        </w:rPr>
        <w:t>ed</w:t>
      </w:r>
      <w:r w:rsidRPr="009A57DC">
        <w:rPr>
          <w:rFonts w:cs="Times New Roman (Body CS)"/>
        </w:rPr>
        <w:t xml:space="preserve"> Moss’s testimony of pain and disability as not</w:t>
      </w:r>
      <w:r>
        <w:rPr>
          <w:rFonts w:cs="Times New Roman (Body CS)"/>
        </w:rPr>
        <w:t xml:space="preserve"> </w:t>
      </w:r>
      <w:r w:rsidRPr="009A57DC">
        <w:rPr>
          <w:rFonts w:cs="Times New Roman (Body CS)"/>
        </w:rPr>
        <w:t>credible.</w:t>
      </w:r>
      <w:r w:rsidRPr="00910BB7">
        <w:rPr>
          <w:rFonts w:cs="Times New Roman (Body CS)"/>
          <w:vertAlign w:val="superscript"/>
        </w:rPr>
        <w:footnoteReference w:id="833"/>
      </w:r>
      <w:r w:rsidRPr="009A57DC">
        <w:rPr>
          <w:rFonts w:cs="Times New Roman (Body CS)"/>
        </w:rPr>
        <w:t xml:space="preserve"> Moss was partially, but seriously, disabled; and after he exhausted his</w:t>
      </w:r>
      <w:r>
        <w:rPr>
          <w:rFonts w:cs="Times New Roman (Body CS)"/>
        </w:rPr>
        <w:t xml:space="preserve"> </w:t>
      </w:r>
      <w:r w:rsidRPr="009A57DC">
        <w:rPr>
          <w:rFonts w:cs="Times New Roman (Body CS)"/>
        </w:rPr>
        <w:t>temporary total disability benefits, he applied for permanent and total disability</w:t>
      </w:r>
      <w:r>
        <w:rPr>
          <w:rFonts w:cs="Times New Roman (Body CS)"/>
        </w:rPr>
        <w:t xml:space="preserve"> </w:t>
      </w:r>
      <w:r w:rsidRPr="009A57DC">
        <w:rPr>
          <w:rFonts w:cs="Times New Roman (Body CS)"/>
        </w:rPr>
        <w:t>benefits under Wyoming’s “odd lot doctrine</w:t>
      </w:r>
      <w:r>
        <w:rPr>
          <w:rFonts w:cs="Times New Roman (Body CS)"/>
        </w:rPr>
        <w:t>,</w:t>
      </w:r>
      <w:r w:rsidRPr="009A57DC">
        <w:rPr>
          <w:rFonts w:cs="Times New Roman (Body CS)"/>
        </w:rPr>
        <w:t>”</w:t>
      </w:r>
      <w:r>
        <w:rPr>
          <w:rFonts w:cs="Times New Roman (Body CS)"/>
        </w:rPr>
        <w:t xml:space="preserve"> the details of which were addressed in this </w:t>
      </w:r>
      <w:r w:rsidR="00070B92">
        <w:rPr>
          <w:rFonts w:cs="Times New Roman (Body CS)"/>
        </w:rPr>
        <w:t>T</w:t>
      </w:r>
      <w:r>
        <w:rPr>
          <w:rFonts w:cs="Times New Roman (Body CS)"/>
        </w:rPr>
        <w:t xml:space="preserve">reatise at Section 5.8 above. </w:t>
      </w:r>
      <w:r w:rsidRPr="009A57DC">
        <w:rPr>
          <w:rFonts w:cs="Times New Roman (Body CS)"/>
        </w:rPr>
        <w:t>Writing for the majority, Justice Kite found that “[g]iven the evidence Mr.</w:t>
      </w:r>
      <w:r>
        <w:rPr>
          <w:rFonts w:cs="Times New Roman (Body CS)"/>
        </w:rPr>
        <w:t xml:space="preserve"> </w:t>
      </w:r>
      <w:r w:rsidRPr="009A57DC">
        <w:rPr>
          <w:rFonts w:cs="Times New Roman (Body CS)"/>
        </w:rPr>
        <w:t>Moss presented, there is no question but that he met his burden of showing that</w:t>
      </w:r>
      <w:r>
        <w:rPr>
          <w:rFonts w:cs="Times New Roman (Body CS)"/>
        </w:rPr>
        <w:t xml:space="preserve"> </w:t>
      </w:r>
      <w:r w:rsidRPr="009A57DC">
        <w:rPr>
          <w:rFonts w:cs="Times New Roman (Body CS)"/>
        </w:rPr>
        <w:t xml:space="preserve">the degree of his </w:t>
      </w:r>
      <w:r w:rsidRPr="009A57DC">
        <w:rPr>
          <w:rFonts w:cs="Times New Roman (Body CS)"/>
        </w:rPr>
        <w:lastRenderedPageBreak/>
        <w:t>physical impairment coupled with other factors such as his mental</w:t>
      </w:r>
      <w:r>
        <w:rPr>
          <w:rFonts w:cs="Times New Roman (Body CS)"/>
        </w:rPr>
        <w:t xml:space="preserve"> </w:t>
      </w:r>
      <w:r w:rsidRPr="009A57DC">
        <w:rPr>
          <w:rFonts w:cs="Times New Roman (Body CS)"/>
        </w:rPr>
        <w:t>capacity, education, training and age make him eligible for PTD benefits.”</w:t>
      </w:r>
      <w:r w:rsidRPr="00910BB7">
        <w:rPr>
          <w:rFonts w:cs="Times New Roman (Body CS)"/>
          <w:vertAlign w:val="superscript"/>
        </w:rPr>
        <w:footnoteReference w:id="834"/>
      </w:r>
      <w:r>
        <w:rPr>
          <w:rFonts w:cs="Times New Roman (Body CS)"/>
        </w:rPr>
        <w:t xml:space="preserve"> </w:t>
      </w:r>
      <w:r w:rsidRPr="009A57DC">
        <w:rPr>
          <w:rFonts w:cs="Times New Roman (Body CS)"/>
        </w:rPr>
        <w:t>The</w:t>
      </w:r>
      <w:r>
        <w:rPr>
          <w:rFonts w:cs="Times New Roman (Body CS)"/>
        </w:rPr>
        <w:t xml:space="preserve"> </w:t>
      </w:r>
      <w:r w:rsidRPr="009A57DC">
        <w:rPr>
          <w:rFonts w:cs="Times New Roman (Body CS)"/>
        </w:rPr>
        <w:t>Commission</w:t>
      </w:r>
      <w:r>
        <w:rPr>
          <w:rFonts w:cs="Times New Roman (Body CS)"/>
        </w:rPr>
        <w:t xml:space="preserve">’s fact finding </w:t>
      </w:r>
      <w:r w:rsidRPr="009A57DC">
        <w:rPr>
          <w:rFonts w:cs="Times New Roman (Body CS)"/>
        </w:rPr>
        <w:t>drew</w:t>
      </w:r>
      <w:r>
        <w:rPr>
          <w:rFonts w:cs="Times New Roman (Body CS)"/>
        </w:rPr>
        <w:t xml:space="preserve"> </w:t>
      </w:r>
      <w:r w:rsidRPr="009A57DC">
        <w:rPr>
          <w:rFonts w:cs="Times New Roman (Body CS)"/>
        </w:rPr>
        <w:t>a sharp re</w:t>
      </w:r>
      <w:r>
        <w:rPr>
          <w:rFonts w:cs="Times New Roman (Body CS)"/>
        </w:rPr>
        <w:t>buke</w:t>
      </w:r>
      <w:r w:rsidRPr="009A57DC">
        <w:rPr>
          <w:rFonts w:cs="Times New Roman (Body CS)"/>
        </w:rPr>
        <w:t xml:space="preserve"> from the Justice:</w:t>
      </w:r>
    </w:p>
    <w:p w14:paraId="3F4BD8B1" w14:textId="77777777" w:rsidR="00070B92" w:rsidRPr="009A57DC" w:rsidRDefault="00070B92" w:rsidP="00070B92">
      <w:pPr>
        <w:pStyle w:val="LawReview-StandardBodyText"/>
        <w:spacing w:after="0" w:line="259" w:lineRule="auto"/>
        <w:ind w:firstLine="0"/>
        <w:rPr>
          <w:rFonts w:cs="Times New Roman (Body CS)"/>
        </w:rPr>
      </w:pPr>
    </w:p>
    <w:p w14:paraId="10A66A70" w14:textId="35B2AFF6" w:rsidR="00FF7482" w:rsidRDefault="00FF7482" w:rsidP="00070B92">
      <w:pPr>
        <w:pStyle w:val="LawReview-StandardBodyText"/>
        <w:spacing w:after="0" w:line="259" w:lineRule="auto"/>
        <w:ind w:left="720" w:right="720" w:firstLine="0"/>
        <w:rPr>
          <w:rStyle w:val="Hyperlink"/>
          <w:rFonts w:cs="Times New Roman (Body CS)"/>
          <w:vertAlign w:val="superscript"/>
        </w:rPr>
      </w:pPr>
      <w:r w:rsidRPr="009A57DC">
        <w:rPr>
          <w:rFonts w:cs="Times New Roman (Body CS)"/>
        </w:rPr>
        <w:t>The record indicates that the Medical Commission disregarded</w:t>
      </w:r>
      <w:r>
        <w:rPr>
          <w:rFonts w:cs="Times New Roman (Body CS)"/>
        </w:rPr>
        <w:t xml:space="preserve"> </w:t>
      </w:r>
      <w:r w:rsidRPr="009A57DC">
        <w:rPr>
          <w:rFonts w:cs="Times New Roman (Body CS)"/>
        </w:rPr>
        <w:t>relevant evidence, made incorrect assumptions about other</w:t>
      </w:r>
      <w:r>
        <w:rPr>
          <w:rFonts w:cs="Times New Roman (Body CS)"/>
        </w:rPr>
        <w:t xml:space="preserve"> </w:t>
      </w:r>
      <w:r w:rsidRPr="009A57DC">
        <w:rPr>
          <w:rFonts w:cs="Times New Roman (Body CS)"/>
        </w:rPr>
        <w:t>evidence and, rather than considering the evidence fairly and</w:t>
      </w:r>
      <w:r>
        <w:rPr>
          <w:rFonts w:cs="Times New Roman (Body CS)"/>
        </w:rPr>
        <w:t xml:space="preserve"> </w:t>
      </w:r>
      <w:r w:rsidRPr="009A57DC">
        <w:rPr>
          <w:rFonts w:cs="Times New Roman (Body CS)"/>
        </w:rPr>
        <w:t>objectively, generally viewed it in the light most likely to result in</w:t>
      </w:r>
      <w:r>
        <w:rPr>
          <w:rFonts w:cs="Times New Roman (Body CS)"/>
        </w:rPr>
        <w:t xml:space="preserve"> </w:t>
      </w:r>
      <w:r w:rsidRPr="009A57DC">
        <w:rPr>
          <w:rFonts w:cs="Times New Roman (Body CS)"/>
        </w:rPr>
        <w:t>a denial of benefits. An employee has a right to be heard before</w:t>
      </w:r>
      <w:r>
        <w:rPr>
          <w:rFonts w:cs="Times New Roman (Body CS)"/>
        </w:rPr>
        <w:t xml:space="preserve"> </w:t>
      </w:r>
      <w:r w:rsidRPr="009A57DC">
        <w:rPr>
          <w:rFonts w:cs="Times New Roman (Body CS)"/>
        </w:rPr>
        <w:t>an unbiased, fair and impartial tribunal . . . Some of the Medical</w:t>
      </w:r>
      <w:r>
        <w:rPr>
          <w:rFonts w:cs="Times New Roman (Body CS)"/>
        </w:rPr>
        <w:t xml:space="preserve"> </w:t>
      </w:r>
      <w:r w:rsidRPr="009A57DC">
        <w:rPr>
          <w:rFonts w:cs="Times New Roman (Body CS)"/>
        </w:rPr>
        <w:t>Commission’s findings and conclusions cast doubt on whether</w:t>
      </w:r>
      <w:r>
        <w:rPr>
          <w:rFonts w:cs="Times New Roman (Body CS)"/>
        </w:rPr>
        <w:t xml:space="preserve"> </w:t>
      </w:r>
      <w:r w:rsidRPr="009A57DC">
        <w:rPr>
          <w:rFonts w:cs="Times New Roman (Body CS)"/>
        </w:rPr>
        <w:t>the proceedings in this case satisfied that right.</w:t>
      </w:r>
      <w:r w:rsidRPr="00910BB7">
        <w:rPr>
          <w:rFonts w:cs="Times New Roman (Body CS)"/>
          <w:vertAlign w:val="superscript"/>
        </w:rPr>
        <w:footnoteReference w:id="835"/>
      </w:r>
    </w:p>
    <w:p w14:paraId="19EF7D04" w14:textId="77777777" w:rsidR="00070B92" w:rsidRDefault="00070B92" w:rsidP="00070B92">
      <w:pPr>
        <w:pStyle w:val="LawReview-StandardBodyText"/>
        <w:spacing w:after="0" w:line="259" w:lineRule="auto"/>
        <w:ind w:firstLine="0"/>
        <w:rPr>
          <w:rFonts w:cs="Times New Roman (Body CS)"/>
        </w:rPr>
      </w:pPr>
    </w:p>
    <w:p w14:paraId="7DC7E692" w14:textId="7DAB92B6" w:rsidR="00FF7482" w:rsidRDefault="00FF7482" w:rsidP="00070B92">
      <w:pPr>
        <w:pStyle w:val="LawReview-StandardBodyText"/>
        <w:spacing w:after="0" w:line="259" w:lineRule="auto"/>
        <w:ind w:firstLine="0"/>
        <w:rPr>
          <w:rFonts w:cs="Times New Roman (Body CS)"/>
        </w:rPr>
      </w:pPr>
      <w:r w:rsidRPr="009A57DC">
        <w:rPr>
          <w:rFonts w:cs="Times New Roman (Body CS)"/>
        </w:rPr>
        <w:t>Despite the significant underlying irregularities in the Commission</w:t>
      </w:r>
      <w:r>
        <w:rPr>
          <w:rFonts w:cs="Times New Roman (Body CS)"/>
        </w:rPr>
        <w:t xml:space="preserve">’s </w:t>
      </w:r>
      <w:r w:rsidRPr="009A57DC">
        <w:rPr>
          <w:rFonts w:cs="Times New Roman (Body CS)"/>
        </w:rPr>
        <w:t>fact</w:t>
      </w:r>
      <w:r>
        <w:rPr>
          <w:rFonts w:cs="Times New Roman (Body CS)"/>
        </w:rPr>
        <w:t xml:space="preserve"> </w:t>
      </w:r>
      <w:r w:rsidRPr="009A57DC">
        <w:rPr>
          <w:rFonts w:cs="Times New Roman (Body CS)"/>
        </w:rPr>
        <w:t xml:space="preserve">finding, Justice Kite upheld the Division’s decision </w:t>
      </w:r>
      <w:r>
        <w:rPr>
          <w:rFonts w:cs="Times New Roman (Body CS)"/>
        </w:rPr>
        <w:t>concluding</w:t>
      </w:r>
      <w:r w:rsidRPr="009A57DC">
        <w:rPr>
          <w:rFonts w:cs="Times New Roman (Body CS)"/>
        </w:rPr>
        <w:t xml:space="preserve"> that</w:t>
      </w:r>
      <w:r>
        <w:rPr>
          <w:rFonts w:cs="Times New Roman (Body CS)"/>
        </w:rPr>
        <w:t xml:space="preserve"> </w:t>
      </w:r>
      <w:r w:rsidRPr="009A57DC">
        <w:rPr>
          <w:rFonts w:cs="Times New Roman (Body CS)"/>
        </w:rPr>
        <w:t>“it came forward with sufficient evidence to refute Mr. Moss’s evidence and to</w:t>
      </w:r>
      <w:r>
        <w:rPr>
          <w:rFonts w:cs="Times New Roman (Body CS)"/>
        </w:rPr>
        <w:t xml:space="preserve"> </w:t>
      </w:r>
      <w:r w:rsidRPr="009A57DC">
        <w:rPr>
          <w:rFonts w:cs="Times New Roman (Body CS)"/>
        </w:rPr>
        <w:t>prove work within his limitations was available.”</w:t>
      </w:r>
      <w:r w:rsidRPr="00910BB7">
        <w:rPr>
          <w:rFonts w:cs="Times New Roman (Body CS)"/>
          <w:vertAlign w:val="superscript"/>
        </w:rPr>
        <w:footnoteReference w:id="836"/>
      </w:r>
      <w:r>
        <w:rPr>
          <w:rFonts w:cs="Times New Roman (Body CS)"/>
        </w:rPr>
        <w:t xml:space="preserve"> </w:t>
      </w:r>
      <w:r w:rsidRPr="009A57DC">
        <w:rPr>
          <w:rFonts w:cs="Times New Roman (Body CS)"/>
        </w:rPr>
        <w:t>Justice Kite</w:t>
      </w:r>
      <w:r>
        <w:rPr>
          <w:rFonts w:cs="Times New Roman (Body CS)"/>
        </w:rPr>
        <w:t xml:space="preserve"> </w:t>
      </w:r>
      <w:r w:rsidRPr="009A57DC">
        <w:rPr>
          <w:rFonts w:cs="Times New Roman (Body CS)"/>
        </w:rPr>
        <w:t>held, “We cannot conclude that the Medical Commission’s ruling was against the</w:t>
      </w:r>
      <w:r>
        <w:rPr>
          <w:rFonts w:cs="Times New Roman (Body CS)"/>
        </w:rPr>
        <w:t xml:space="preserve"> </w:t>
      </w:r>
      <w:r w:rsidRPr="009A57DC">
        <w:rPr>
          <w:rFonts w:cs="Times New Roman (Body CS)"/>
        </w:rPr>
        <w:t>overwhelming weight of the evidence.”</w:t>
      </w:r>
      <w:r w:rsidRPr="00910BB7">
        <w:rPr>
          <w:rFonts w:cs="Times New Roman (Body CS)"/>
          <w:vertAlign w:val="superscript"/>
        </w:rPr>
        <w:footnoteReference w:id="837"/>
      </w:r>
      <w:r>
        <w:rPr>
          <w:rFonts w:cs="Times New Roman (Body CS)"/>
        </w:rPr>
        <w:t xml:space="preserve"> Even putting the most charitable gloss on the case for the Commission, one is inclined to say that its fact finding was very badly received by the Court. </w:t>
      </w:r>
    </w:p>
    <w:p w14:paraId="0A3F85FC" w14:textId="77777777" w:rsidR="00FF7482" w:rsidRDefault="00FF7482" w:rsidP="007C6142">
      <w:pPr>
        <w:pStyle w:val="LawReview-StandardBodyText"/>
        <w:spacing w:after="0"/>
        <w:rPr>
          <w:rFonts w:cs="Times New Roman (Body CS)"/>
        </w:rPr>
      </w:pPr>
    </w:p>
    <w:p w14:paraId="36F99884" w14:textId="2AD04078" w:rsidR="00FF7482" w:rsidRDefault="00FF7482" w:rsidP="00070B92">
      <w:pPr>
        <w:pStyle w:val="Heading2"/>
        <w:spacing w:before="0"/>
        <w:rPr>
          <w:rFonts w:ascii="Times New Roman" w:hAnsi="Times New Roman" w:cs="Times New Roman"/>
          <w:b/>
          <w:color w:val="auto"/>
          <w:sz w:val="28"/>
          <w:szCs w:val="28"/>
        </w:rPr>
      </w:pPr>
      <w:bookmarkStart w:id="1156" w:name="_Toc75269432"/>
      <w:r>
        <w:rPr>
          <w:rFonts w:ascii="Times New Roman" w:hAnsi="Times New Roman" w:cs="Times New Roman"/>
          <w:b/>
          <w:color w:val="auto"/>
          <w:sz w:val="28"/>
          <w:szCs w:val="28"/>
        </w:rPr>
        <w:t xml:space="preserve">Wyoming Workers’ Compensation </w:t>
      </w:r>
      <w:r w:rsidRPr="002C5528">
        <w:rPr>
          <w:rFonts w:ascii="Times New Roman" w:hAnsi="Times New Roman" w:cs="Times New Roman"/>
          <w:b/>
          <w:color w:val="auto"/>
          <w:sz w:val="28"/>
          <w:szCs w:val="28"/>
        </w:rPr>
        <w:t>Contested Case Proc</w:t>
      </w:r>
      <w:r>
        <w:rPr>
          <w:rFonts w:ascii="Times New Roman" w:hAnsi="Times New Roman" w:cs="Times New Roman"/>
          <w:b/>
          <w:color w:val="auto"/>
          <w:sz w:val="28"/>
          <w:szCs w:val="28"/>
        </w:rPr>
        <w:t>eedings</w:t>
      </w:r>
      <w:bookmarkEnd w:id="1156"/>
    </w:p>
    <w:p w14:paraId="1F072AD3" w14:textId="7102AD60" w:rsidR="00FF7482" w:rsidRDefault="00FF7482" w:rsidP="00537787">
      <w:pPr>
        <w:spacing w:after="0"/>
      </w:pPr>
    </w:p>
    <w:p w14:paraId="6853D86D" w14:textId="394C5FFC" w:rsidR="00FF7482" w:rsidRDefault="00FF7482" w:rsidP="00070B92">
      <w:pPr>
        <w:pStyle w:val="LawReview-StandardBodyText"/>
        <w:spacing w:line="259" w:lineRule="auto"/>
        <w:ind w:firstLine="0"/>
      </w:pPr>
      <w:r>
        <w:t>As noted, if a workers’ compensation claim is denied, objections to the denial are adjudicated under the contested case procedures of the Wyoming Workers’ Compensation Act and the Wyoming Administrative Procedure Act.</w:t>
      </w:r>
      <w:r w:rsidRPr="00910BB7">
        <w:rPr>
          <w:vertAlign w:val="superscript"/>
        </w:rPr>
        <w:footnoteReference w:id="838"/>
      </w:r>
      <w:r>
        <w:t xml:space="preserve"> </w:t>
      </w:r>
      <w:r w:rsidRPr="005D7C43">
        <w:rPr>
          <w:b/>
          <w:bCs/>
        </w:rPr>
        <w:t>A contested case is “a proceeding including but not restricted to ratemaking, price fixing and licensing, in which legal rights, duties or privileges of a party are required by law to be determined by an agency after an opportunity for hearing . . .”</w:t>
      </w:r>
      <w:r w:rsidRPr="00910BB7">
        <w:rPr>
          <w:vertAlign w:val="superscript"/>
        </w:rPr>
        <w:footnoteReference w:id="839"/>
      </w:r>
      <w:r>
        <w:t xml:space="preserve"> The Wyoming Supreme Court has interpreted “hearing” to mean a “trial type hearing.”</w:t>
      </w:r>
      <w:r w:rsidRPr="00910BB7">
        <w:rPr>
          <w:vertAlign w:val="superscript"/>
        </w:rPr>
        <w:footnoteReference w:id="840"/>
      </w:r>
    </w:p>
    <w:p w14:paraId="0EC23C15" w14:textId="78B8DCBA" w:rsidR="00FF7482" w:rsidRDefault="00FF7482" w:rsidP="00070B92">
      <w:pPr>
        <w:pStyle w:val="LawReview-StandardBodyText"/>
        <w:spacing w:line="259" w:lineRule="auto"/>
        <w:ind w:firstLine="0"/>
      </w:pPr>
      <w:r w:rsidRPr="00B43478">
        <w:rPr>
          <w:b/>
          <w:bCs/>
        </w:rPr>
        <w:t xml:space="preserve">Parties to administrative proceedings are entitled to due process of law and the procedures outlined in the Wyoming Administrative Procedure Act are </w:t>
      </w:r>
      <w:r w:rsidRPr="00B43478">
        <w:rPr>
          <w:b/>
          <w:bCs/>
        </w:rPr>
        <w:lastRenderedPageBreak/>
        <w:t>designed to provide them with that due process</w:t>
      </w:r>
      <w:r w:rsidRPr="005D7C43">
        <w:t>.</w:t>
      </w:r>
      <w:r w:rsidRPr="00910BB7">
        <w:rPr>
          <w:vertAlign w:val="superscript"/>
        </w:rPr>
        <w:footnoteReference w:id="841"/>
      </w:r>
      <w:r>
        <w:t xml:space="preserve"> Contested case procedures, however, are not required unless the legislature has imposed a legal duty on an agency to utilize them.</w:t>
      </w:r>
      <w:r w:rsidRPr="00910BB7">
        <w:rPr>
          <w:vertAlign w:val="superscript"/>
        </w:rPr>
        <w:footnoteReference w:id="842"/>
      </w:r>
      <w:r>
        <w:t xml:space="preserve"> This is seldom an issue in Wyoming workers’ compensation cases because the </w:t>
      </w:r>
      <w:r w:rsidR="00EB65F7">
        <w:t>W</w:t>
      </w:r>
      <w:r>
        <w:t xml:space="preserve">orkers’ </w:t>
      </w:r>
      <w:r w:rsidR="00EB65F7">
        <w:t>C</w:t>
      </w:r>
      <w:r>
        <w:t xml:space="preserve">ompensation </w:t>
      </w:r>
      <w:r w:rsidR="00EB65F7">
        <w:t>A</w:t>
      </w:r>
      <w:r>
        <w:t>ct states that “[a]</w:t>
      </w:r>
      <w:r w:rsidRPr="00792B36">
        <w:t xml:space="preserve">ll other requests for hearing not </w:t>
      </w:r>
      <w:r>
        <w:t>[a small claims hearing]</w:t>
      </w:r>
      <w:r w:rsidRPr="00792B36">
        <w:t xml:space="preserve"> </w:t>
      </w:r>
      <w:r w:rsidRPr="00792B36">
        <w:rPr>
          <w:b/>
          <w:bCs/>
        </w:rPr>
        <w:t>shall be conducted as a contested case in accordance with procedures of the Wyoming Administrative Procedure Act and the Wyoming Rules of Civil Procedure</w:t>
      </w:r>
      <w:r w:rsidRPr="00792B36">
        <w:t xml:space="preserve"> as applicable under rules of the office of administrative hearings.</w:t>
      </w:r>
      <w:r>
        <w:t>”</w:t>
      </w:r>
      <w:r w:rsidRPr="00910BB7">
        <w:rPr>
          <w:vertAlign w:val="superscript"/>
        </w:rPr>
        <w:footnoteReference w:id="843"/>
      </w:r>
    </w:p>
    <w:p w14:paraId="19EB6F5F" w14:textId="702E5C81" w:rsidR="00FF7482" w:rsidRDefault="00FF7482" w:rsidP="00673804">
      <w:pPr>
        <w:pStyle w:val="LawReview-StandardBodyText"/>
        <w:spacing w:after="0" w:line="259" w:lineRule="auto"/>
        <w:ind w:firstLine="0"/>
      </w:pPr>
      <w:r>
        <w:t xml:space="preserve">But this does not mean that any controversy that could conceivably arise under the </w:t>
      </w:r>
      <w:r w:rsidR="00673804">
        <w:t>W</w:t>
      </w:r>
      <w:r>
        <w:t xml:space="preserve">orkers’ </w:t>
      </w:r>
      <w:r w:rsidR="00673804">
        <w:t>C</w:t>
      </w:r>
      <w:r>
        <w:t xml:space="preserve">ompensation </w:t>
      </w:r>
      <w:r w:rsidR="00673804">
        <w:t>A</w:t>
      </w:r>
      <w:r>
        <w:t xml:space="preserve">ct must be decided pursuant to a trial type hearing. In </w:t>
      </w:r>
      <w:r w:rsidRPr="008A328F">
        <w:rPr>
          <w:i/>
          <w:iCs/>
        </w:rPr>
        <w:t>Whiteman v. Wyoming Safety &amp; Compensation Div</w:t>
      </w:r>
      <w:r>
        <w:t>.,</w:t>
      </w:r>
      <w:r w:rsidRPr="00910BB7">
        <w:rPr>
          <w:vertAlign w:val="superscript"/>
        </w:rPr>
        <w:footnoteReference w:id="844"/>
      </w:r>
      <w:r>
        <w:t xml:space="preserve"> for example, a claimant’s lawyer was denied attorneys’ fees after the claimant’s motion to appoint counsel was, for reasons that were unclear, never acted upon.</w:t>
      </w:r>
      <w:r w:rsidRPr="00910BB7">
        <w:rPr>
          <w:vertAlign w:val="superscript"/>
        </w:rPr>
        <w:footnoteReference w:id="845"/>
      </w:r>
      <w:r>
        <w:t xml:space="preserve"> Throughout the odd posture of the case,</w:t>
      </w:r>
      <w:r w:rsidRPr="00910BB7">
        <w:rPr>
          <w:vertAlign w:val="superscript"/>
        </w:rPr>
        <w:footnoteReference w:id="846"/>
      </w:r>
      <w:r>
        <w:t xml:space="preserve"> which need not be set out for purposes of this discussion, counsel “may have” been representing claimant, but it was very clear he had never been formally appointed.</w:t>
      </w:r>
      <w:r w:rsidRPr="00910BB7">
        <w:rPr>
          <w:vertAlign w:val="superscript"/>
        </w:rPr>
        <w:footnoteReference w:id="847"/>
      </w:r>
      <w:r>
        <w:t xml:space="preserve"> One of the complaints raised by the claimant was that her subsequent motion for attorneys’ fees had been denied without a hearing. Here, the Wyoming Supreme Court agreed with the Division’s argument that “</w:t>
      </w:r>
      <w:r w:rsidRPr="007D70E2">
        <w:t>neither the Act nor the Division rules require the OAH to grant a hearing before denying fees and costs.</w:t>
      </w:r>
      <w:r>
        <w:t>”</w:t>
      </w:r>
      <w:r w:rsidRPr="00910BB7">
        <w:rPr>
          <w:vertAlign w:val="superscript"/>
        </w:rPr>
        <w:footnoteReference w:id="848"/>
      </w:r>
      <w:r>
        <w:t xml:space="preserve"> Leaving to one side the question of whether the OAH could ever award counsel fees to an unappointed attorney, the Court agreed that “[i]</w:t>
      </w:r>
      <w:r w:rsidRPr="009D5AB3">
        <w:t>f the matter is a contested case,</w:t>
      </w:r>
      <w:r>
        <w:t xml:space="preserve"> [the contested case procedures] </w:t>
      </w:r>
      <w:r w:rsidRPr="009D5AB3">
        <w:t>requires that the claimant receive a hearing.</w:t>
      </w:r>
      <w:r>
        <w:t>”</w:t>
      </w:r>
      <w:r w:rsidRPr="00910BB7">
        <w:rPr>
          <w:vertAlign w:val="superscript"/>
        </w:rPr>
        <w:footnoteReference w:id="849"/>
      </w:r>
      <w:r>
        <w:t xml:space="preserve"> But the court went on to say that the dispute over attorneys’ fees was neither a contested case,</w:t>
      </w:r>
      <w:r w:rsidRPr="00910BB7">
        <w:rPr>
          <w:vertAlign w:val="superscript"/>
        </w:rPr>
        <w:footnoteReference w:id="850"/>
      </w:r>
      <w:r>
        <w:t xml:space="preserve"> nor did it implicate procedural due process,</w:t>
      </w:r>
      <w:r w:rsidRPr="00910BB7">
        <w:rPr>
          <w:vertAlign w:val="superscript"/>
        </w:rPr>
        <w:footnoteReference w:id="851"/>
      </w:r>
      <w:r>
        <w:t xml:space="preserve"> so no hearing was required prior to the OAH denying the Motion for Attorneys’ Fees.</w:t>
      </w:r>
      <w:r w:rsidRPr="00910BB7">
        <w:rPr>
          <w:vertAlign w:val="superscript"/>
        </w:rPr>
        <w:footnoteReference w:id="852"/>
      </w:r>
      <w:r>
        <w:t xml:space="preserve"> This outcome begs the question of when a legal dispute </w:t>
      </w:r>
      <w:r w:rsidRPr="00023645">
        <w:rPr>
          <w:i/>
          <w:iCs/>
        </w:rPr>
        <w:t>is</w:t>
      </w:r>
      <w:r>
        <w:t xml:space="preserve"> a contested case. </w:t>
      </w:r>
    </w:p>
    <w:p w14:paraId="6ED9D943" w14:textId="77777777" w:rsidR="00673804" w:rsidRDefault="00673804" w:rsidP="00673804">
      <w:pPr>
        <w:pStyle w:val="LawReview-StandardBodyText"/>
        <w:spacing w:after="0" w:line="259" w:lineRule="auto"/>
        <w:ind w:firstLine="0"/>
      </w:pPr>
    </w:p>
    <w:p w14:paraId="1B2701E1" w14:textId="759B8683" w:rsidR="00FF7482" w:rsidRDefault="00FF7482" w:rsidP="00673804">
      <w:pPr>
        <w:pStyle w:val="LawReview-StandardBodyText"/>
        <w:spacing w:after="0" w:line="259" w:lineRule="auto"/>
        <w:ind w:firstLine="0"/>
      </w:pPr>
      <w:r>
        <w:lastRenderedPageBreak/>
        <w:t xml:space="preserve">The answer to that question is generally found in language, set out in the first paragraph of this section, from W.S. </w:t>
      </w:r>
      <w:r>
        <w:rPr>
          <w:rFonts w:cs="Times New Roman"/>
        </w:rPr>
        <w:t>§</w:t>
      </w:r>
      <w:r>
        <w:t xml:space="preserve"> </w:t>
      </w:r>
      <w:hyperlink r:id="rId124" w:history="1">
        <w:r w:rsidRPr="00BD6F81">
          <w:rPr>
            <w:rStyle w:val="Hyperlink"/>
          </w:rPr>
          <w:t>16-3-101</w:t>
        </w:r>
      </w:hyperlink>
      <w:r>
        <w:t xml:space="preserve">(b)(ii), and </w:t>
      </w:r>
      <w:r w:rsidRPr="00D6465D">
        <w:rPr>
          <w:i/>
          <w:iCs/>
        </w:rPr>
        <w:t>Whiteman</w:t>
      </w:r>
      <w:r>
        <w:t xml:space="preserve"> suggests that the Court will read the statutory phrase “</w:t>
      </w:r>
      <w:r w:rsidRPr="00D6465D">
        <w:t>required by law to be determined by an agency after an opportunity for hearing</w:t>
      </w:r>
      <w:r>
        <w:t xml:space="preserve">” narrowly to mean an explicit </w:t>
      </w:r>
      <w:r w:rsidRPr="00E36113">
        <w:rPr>
          <w:i/>
          <w:iCs/>
        </w:rPr>
        <w:t>statutory</w:t>
      </w:r>
      <w:r>
        <w:t xml:space="preserve"> requirement. The Wyoming Workers’ Compensation Act by its terms </w:t>
      </w:r>
      <w:r w:rsidRPr="00104253">
        <w:rPr>
          <w:b/>
          <w:bCs/>
        </w:rPr>
        <w:t>requires</w:t>
      </w:r>
      <w:r>
        <w:t xml:space="preserve"> that a hearing be conducted as a </w:t>
      </w:r>
      <w:r w:rsidRPr="00E36113">
        <w:rPr>
          <w:b/>
          <w:bCs/>
          <w:u w:val="single"/>
        </w:rPr>
        <w:t>small claims hearing</w:t>
      </w:r>
      <w:r>
        <w:t xml:space="preserve"> whenever </w:t>
      </w:r>
      <w:r w:rsidRPr="00104253">
        <w:rPr>
          <w:b/>
          <w:bCs/>
        </w:rPr>
        <w:t xml:space="preserve">the amount at issue </w:t>
      </w:r>
      <w:r>
        <w:rPr>
          <w:b/>
          <w:bCs/>
        </w:rPr>
        <w:t>i</w:t>
      </w:r>
      <w:r w:rsidRPr="00104253">
        <w:rPr>
          <w:b/>
          <w:bCs/>
        </w:rPr>
        <w:t>s less than two thousand dollars</w:t>
      </w:r>
      <w:r>
        <w:t xml:space="preserve"> or </w:t>
      </w:r>
      <w:r w:rsidRPr="00104253">
        <w:rPr>
          <w:b/>
          <w:bCs/>
        </w:rPr>
        <w:t>whenever a request for hearing does not concern “an issue of the compensability of the injury pursuant to W.S. 27-14-601(a) and the division requests the hearing be held as a small claims hearing.”</w:t>
      </w:r>
      <w:r w:rsidRPr="00910BB7">
        <w:rPr>
          <w:vertAlign w:val="superscript"/>
        </w:rPr>
        <w:footnoteReference w:id="853"/>
      </w:r>
      <w:r>
        <w:t xml:space="preserve"> This language suggests that where the Division does not make such a request, the OAH has discretion to conduct a controversy as a contested case. Furthermore, parties may object to the </w:t>
      </w:r>
      <w:r w:rsidR="00301EA9">
        <w:t>D</w:t>
      </w:r>
      <w:r>
        <w:t>ivision’s request that a matter be conducted as a small claims hearing.</w:t>
      </w:r>
      <w:r w:rsidRPr="00910BB7">
        <w:rPr>
          <w:vertAlign w:val="superscript"/>
        </w:rPr>
        <w:footnoteReference w:id="854"/>
      </w:r>
      <w:r>
        <w:t xml:space="preserve"> A small claims hearing is essentially one that proceeds, under significantly streamlined procedures, on the strength of documents, filings, </w:t>
      </w:r>
      <w:r w:rsidRPr="001D282C">
        <w:t>written evidence</w:t>
      </w:r>
      <w:r>
        <w:t xml:space="preserve">, </w:t>
      </w:r>
      <w:r w:rsidRPr="001D282C">
        <w:t>and evidence</w:t>
      </w:r>
      <w:r>
        <w:t xml:space="preserve"> . . . </w:t>
      </w:r>
      <w:r w:rsidRPr="001D282C">
        <w:t>the hearing officer deems relevant to the issue.</w:t>
      </w:r>
      <w:r w:rsidRPr="00910BB7">
        <w:rPr>
          <w:vertAlign w:val="superscript"/>
        </w:rPr>
        <w:footnoteReference w:id="855"/>
      </w:r>
      <w:r>
        <w:t xml:space="preserve"> Parties are also allowed limited rebuttal evidence.</w:t>
      </w:r>
      <w:r w:rsidRPr="00910BB7">
        <w:rPr>
          <w:vertAlign w:val="superscript"/>
        </w:rPr>
        <w:footnoteReference w:id="856"/>
      </w:r>
      <w:r>
        <w:t xml:space="preserve"> Significantly, although a hearing officer may allow an in-person or telephonic hearing in connection with the case, it is not required under the statute.</w:t>
      </w:r>
      <w:r w:rsidRPr="00910BB7">
        <w:rPr>
          <w:vertAlign w:val="superscript"/>
        </w:rPr>
        <w:footnoteReference w:id="857"/>
      </w:r>
      <w:r>
        <w:t xml:space="preserve">  As already noted, all </w:t>
      </w:r>
      <w:r w:rsidRPr="00B43478">
        <w:rPr>
          <w:b/>
          <w:bCs/>
          <w:u w:val="single"/>
        </w:rPr>
        <w:t xml:space="preserve">other </w:t>
      </w:r>
      <w:r>
        <w:t>“requests” for hearing “</w:t>
      </w:r>
      <w:r w:rsidRPr="00B43478">
        <w:rPr>
          <w:b/>
          <w:bCs/>
        </w:rPr>
        <w:t>shall</w:t>
      </w:r>
      <w:r w:rsidRPr="00B43478">
        <w:t xml:space="preserve"> be conducted as a contested case in accordance with procedures of the Wyoming Administrative Procedure Act</w:t>
      </w:r>
      <w:r>
        <w:t>.”</w:t>
      </w:r>
      <w:r w:rsidRPr="00910BB7">
        <w:rPr>
          <w:vertAlign w:val="superscript"/>
        </w:rPr>
        <w:footnoteReference w:id="858"/>
      </w:r>
      <w:r>
        <w:t xml:space="preserve">  </w:t>
      </w:r>
    </w:p>
    <w:p w14:paraId="6EF9F79B" w14:textId="77777777" w:rsidR="00673804" w:rsidRDefault="00673804" w:rsidP="00673804">
      <w:pPr>
        <w:pStyle w:val="LawReview-StandardBodyText"/>
        <w:spacing w:after="0" w:line="259" w:lineRule="auto"/>
        <w:ind w:firstLine="0"/>
      </w:pPr>
    </w:p>
    <w:p w14:paraId="646CD566" w14:textId="75E861B9" w:rsidR="00FF7482" w:rsidRDefault="00FF7482" w:rsidP="00673804">
      <w:pPr>
        <w:pStyle w:val="LawReview-StandardBodyText"/>
        <w:spacing w:after="0" w:line="259" w:lineRule="auto"/>
        <w:ind w:firstLine="0"/>
      </w:pPr>
      <w:r>
        <w:t xml:space="preserve">Accordingly, within the Wyoming Workers’ Compensation Act there is </w:t>
      </w:r>
      <w:r w:rsidRPr="00B43478">
        <w:rPr>
          <w:b/>
          <w:bCs/>
        </w:rPr>
        <w:t>both</w:t>
      </w:r>
      <w:r>
        <w:t xml:space="preserve"> a standalone “Contested Cases” </w:t>
      </w:r>
      <w:r w:rsidRPr="007D19A4">
        <w:rPr>
          <w:i/>
          <w:iCs/>
        </w:rPr>
        <w:t>article</w:t>
      </w:r>
      <w:r>
        <w:t xml:space="preserve"> and incorporation by reference of the “</w:t>
      </w:r>
      <w:r w:rsidRPr="00B43478">
        <w:t>procedures of the Wyoming Administrative Procedure Act and the Wyoming Rules of Civil Procedure as applicable under rules of the office of administrative hearings.</w:t>
      </w:r>
      <w:r>
        <w:t>” In practice, the reference is to the Contested Case provisions of the Wyoming APA (</w:t>
      </w:r>
      <w:r w:rsidRPr="00BD6F81">
        <w:rPr>
          <w:b/>
          <w:bCs/>
        </w:rPr>
        <w:t xml:space="preserve">W.S. § </w:t>
      </w:r>
      <w:hyperlink r:id="rId125" w:history="1">
        <w:r w:rsidRPr="00BD6F81">
          <w:rPr>
            <w:rStyle w:val="Hyperlink"/>
            <w:b/>
            <w:bCs/>
          </w:rPr>
          <w:t>16-3-107</w:t>
        </w:r>
      </w:hyperlink>
      <w:r>
        <w:rPr>
          <w:b/>
          <w:bCs/>
        </w:rPr>
        <w:t xml:space="preserve"> through </w:t>
      </w:r>
      <w:r w:rsidRPr="007D19A4">
        <w:rPr>
          <w:b/>
          <w:bCs/>
        </w:rPr>
        <w:t>112</w:t>
      </w:r>
      <w:r>
        <w:t xml:space="preserve">). The </w:t>
      </w:r>
      <w:r w:rsidRPr="007D19A4">
        <w:rPr>
          <w:i/>
          <w:iCs/>
        </w:rPr>
        <w:t>Workers’ Compensation Act’s</w:t>
      </w:r>
      <w:r>
        <w:t xml:space="preserve"> “Contested Cases Generally” section (</w:t>
      </w:r>
      <w:r w:rsidRPr="00BD6F81">
        <w:rPr>
          <w:b/>
          <w:bCs/>
        </w:rPr>
        <w:t xml:space="preserve">W.S. </w:t>
      </w:r>
      <w:r w:rsidRPr="00BD6F81">
        <w:rPr>
          <w:rFonts w:cs="Times New Roman"/>
          <w:b/>
          <w:bCs/>
        </w:rPr>
        <w:t xml:space="preserve">§ </w:t>
      </w:r>
      <w:hyperlink r:id="rId126" w:history="1">
        <w:r w:rsidRPr="00BD6F81">
          <w:rPr>
            <w:rStyle w:val="Hyperlink"/>
            <w:b/>
            <w:bCs/>
          </w:rPr>
          <w:t>27-14-602</w:t>
        </w:r>
      </w:hyperlink>
      <w:r>
        <w:t>)—</w:t>
      </w:r>
      <w:r w:rsidRPr="001A08D2">
        <w:rPr>
          <w:b/>
          <w:bCs/>
          <w:u w:val="single"/>
        </w:rPr>
        <w:t xml:space="preserve">the focus of this </w:t>
      </w:r>
      <w:r>
        <w:rPr>
          <w:b/>
          <w:bCs/>
          <w:u w:val="single"/>
        </w:rPr>
        <w:t>sub</w:t>
      </w:r>
      <w:r w:rsidRPr="001A08D2">
        <w:rPr>
          <w:b/>
          <w:bCs/>
          <w:u w:val="single"/>
        </w:rPr>
        <w:t>section</w:t>
      </w:r>
      <w:r>
        <w:t>—is efficiently reducible to a series of administrative rules:</w:t>
      </w:r>
    </w:p>
    <w:p w14:paraId="4149E14B" w14:textId="77777777" w:rsidR="00FF7482" w:rsidRDefault="00FF7482" w:rsidP="006C4967">
      <w:pPr>
        <w:pStyle w:val="LawReview-StandardBodyText"/>
        <w:spacing w:after="0" w:line="259" w:lineRule="auto"/>
      </w:pPr>
    </w:p>
    <w:p w14:paraId="70AF1979" w14:textId="4AE75EA4" w:rsidR="00FF7482" w:rsidRDefault="00FF7482" w:rsidP="00C94B70">
      <w:pPr>
        <w:pStyle w:val="LawReview-StandardBodyText"/>
        <w:numPr>
          <w:ilvl w:val="0"/>
          <w:numId w:val="12"/>
        </w:numPr>
        <w:spacing w:after="160" w:line="259" w:lineRule="auto"/>
        <w:ind w:left="1080" w:right="720"/>
      </w:pPr>
      <w:r>
        <w:t>A hearing officer is designated by the OAH or a panel is formed by the Medical Commission</w:t>
      </w:r>
      <w:r w:rsidR="00673804">
        <w:t>.</w:t>
      </w:r>
      <w:r w:rsidRPr="00910BB7">
        <w:rPr>
          <w:vertAlign w:val="superscript"/>
        </w:rPr>
        <w:footnoteReference w:id="859"/>
      </w:r>
    </w:p>
    <w:p w14:paraId="021FE344" w14:textId="6FD95D38" w:rsidR="00FF7482" w:rsidRDefault="00FF7482" w:rsidP="00C94B70">
      <w:pPr>
        <w:pStyle w:val="LawReview-StandardBodyText"/>
        <w:numPr>
          <w:ilvl w:val="0"/>
          <w:numId w:val="12"/>
        </w:numPr>
        <w:spacing w:after="160" w:line="259" w:lineRule="auto"/>
        <w:ind w:left="1080" w:right="720"/>
      </w:pPr>
      <w:r>
        <w:t>T</w:t>
      </w:r>
      <w:r w:rsidRPr="00D312EC">
        <w:t xml:space="preserve">he case </w:t>
      </w:r>
      <w:r>
        <w:t>is</w:t>
      </w:r>
      <w:r w:rsidRPr="00D312EC">
        <w:t xml:space="preserve"> determined by a </w:t>
      </w:r>
      <w:r>
        <w:t>“</w:t>
      </w:r>
      <w:r w:rsidRPr="00D312EC">
        <w:t>hearing examiner</w:t>
      </w:r>
      <w:r>
        <w:t>”</w:t>
      </w:r>
      <w:r w:rsidRPr="00D312EC">
        <w:t xml:space="preserve"> in accordance with </w:t>
      </w:r>
      <w:r w:rsidRPr="007D19A4">
        <w:rPr>
          <w:b/>
          <w:bCs/>
        </w:rPr>
        <w:t>the law in effect at the time of the injury</w:t>
      </w:r>
      <w:r w:rsidR="00673804">
        <w:rPr>
          <w:b/>
          <w:bCs/>
        </w:rPr>
        <w:t>.</w:t>
      </w:r>
      <w:r w:rsidRPr="00910BB7">
        <w:rPr>
          <w:vertAlign w:val="superscript"/>
        </w:rPr>
        <w:footnoteReference w:id="860"/>
      </w:r>
    </w:p>
    <w:p w14:paraId="172C7BC4" w14:textId="486DE772" w:rsidR="00FF7482" w:rsidRDefault="00FF7482" w:rsidP="00C94B70">
      <w:pPr>
        <w:pStyle w:val="LawReview-StandardBodyText"/>
        <w:numPr>
          <w:ilvl w:val="0"/>
          <w:numId w:val="12"/>
        </w:numPr>
        <w:spacing w:after="160" w:line="259" w:lineRule="auto"/>
        <w:ind w:left="1080" w:right="720"/>
      </w:pPr>
      <w:r w:rsidRPr="00D312EC">
        <w:lastRenderedPageBreak/>
        <w:t xml:space="preserve">Appeals may be taken from </w:t>
      </w:r>
      <w:r>
        <w:t>an administrative</w:t>
      </w:r>
      <w:r w:rsidRPr="00D312EC">
        <w:t xml:space="preserve"> decision </w:t>
      </w:r>
      <w:r w:rsidRPr="00D312EC">
        <w:rPr>
          <w:b/>
          <w:bCs/>
        </w:rPr>
        <w:t>by any affected party</w:t>
      </w:r>
      <w:r w:rsidRPr="00D312EC">
        <w:t xml:space="preserve"> </w:t>
      </w:r>
      <w:r w:rsidRPr="007D19A4">
        <w:rPr>
          <w:b/>
          <w:bCs/>
          <w:u w:val="single"/>
        </w:rPr>
        <w:t>to the district court</w:t>
      </w:r>
      <w:r w:rsidRPr="00D312EC">
        <w:t xml:space="preserve"> as provided by the Wyoming Administrative Procedure Act</w:t>
      </w:r>
      <w:r>
        <w:t xml:space="preserve"> (</w:t>
      </w:r>
      <w:r w:rsidRPr="005939F9">
        <w:t xml:space="preserve">W.S. </w:t>
      </w:r>
      <w:r w:rsidRPr="005939F9">
        <w:rPr>
          <w:rFonts w:cs="Times New Roman"/>
        </w:rPr>
        <w:t>§</w:t>
      </w:r>
      <w:r w:rsidRPr="005939F9">
        <w:t xml:space="preserve"> </w:t>
      </w:r>
      <w:hyperlink r:id="rId127" w:history="1">
        <w:r w:rsidRPr="005939F9">
          <w:rPr>
            <w:rStyle w:val="Hyperlink"/>
          </w:rPr>
          <w:t>16-3-114</w:t>
        </w:r>
      </w:hyperlink>
      <w:r>
        <w:t>(a))</w:t>
      </w:r>
      <w:r w:rsidRPr="00910BB7">
        <w:rPr>
          <w:vertAlign w:val="superscript"/>
        </w:rPr>
        <w:footnoteReference w:id="861"/>
      </w:r>
    </w:p>
    <w:p w14:paraId="751E41EE" w14:textId="1203B33E" w:rsidR="00FF7482" w:rsidRDefault="00FF7482" w:rsidP="00C94B70">
      <w:pPr>
        <w:pStyle w:val="LawReview-StandardBodyText"/>
        <w:numPr>
          <w:ilvl w:val="0"/>
          <w:numId w:val="12"/>
        </w:numPr>
        <w:spacing w:after="160" w:line="259" w:lineRule="auto"/>
        <w:ind w:left="1080" w:right="720"/>
      </w:pPr>
      <w:r w:rsidRPr="00D312EC">
        <w:t xml:space="preserve">Hearings shall be held at a </w:t>
      </w:r>
      <w:r w:rsidRPr="00D312EC">
        <w:rPr>
          <w:b/>
          <w:bCs/>
        </w:rPr>
        <w:t>location mutually convenient</w:t>
      </w:r>
      <w:r w:rsidRPr="00D312EC">
        <w:t xml:space="preserve"> </w:t>
      </w:r>
      <w:r w:rsidRPr="00D312EC">
        <w:rPr>
          <w:b/>
          <w:bCs/>
        </w:rPr>
        <w:t>to the parties</w:t>
      </w:r>
      <w:r w:rsidRPr="00D312EC">
        <w:t xml:space="preserve">, </w:t>
      </w:r>
      <w:r w:rsidRPr="00D312EC">
        <w:rPr>
          <w:b/>
          <w:bCs/>
        </w:rPr>
        <w:t>as determined by the hearing officer</w:t>
      </w:r>
      <w:r w:rsidRPr="00D312EC">
        <w:t xml:space="preserve">. </w:t>
      </w:r>
      <w:r w:rsidRPr="00D312EC">
        <w:rPr>
          <w:b/>
          <w:bCs/>
        </w:rPr>
        <w:t>If the injury occurs at a location outside Wyoming, the hearing shall be held in the county in which the employer's principal place of business is located</w:t>
      </w:r>
      <w:r w:rsidRPr="00D312EC">
        <w:t>, unless the hearing officer determines a different location is more convenient to the parties</w:t>
      </w:r>
      <w:r w:rsidR="00673804">
        <w:t>.</w:t>
      </w:r>
      <w:r w:rsidRPr="00910BB7">
        <w:rPr>
          <w:vertAlign w:val="superscript"/>
        </w:rPr>
        <w:footnoteReference w:id="862"/>
      </w:r>
    </w:p>
    <w:p w14:paraId="70FB21F7" w14:textId="0AED0879" w:rsidR="00FF7482" w:rsidRDefault="00FF7482" w:rsidP="00C94B70">
      <w:pPr>
        <w:pStyle w:val="LawReview-StandardBodyText"/>
        <w:numPr>
          <w:ilvl w:val="0"/>
          <w:numId w:val="12"/>
        </w:numPr>
        <w:spacing w:after="160" w:line="259" w:lineRule="auto"/>
        <w:ind w:left="1080" w:right="720"/>
      </w:pPr>
      <w:r w:rsidRPr="00D312EC">
        <w:t xml:space="preserve">Any hearing involving multiple sites </w:t>
      </w:r>
      <w:r w:rsidRPr="00D312EC">
        <w:rPr>
          <w:b/>
          <w:bCs/>
        </w:rPr>
        <w:t>may be conducted through audio or video conferencing</w:t>
      </w:r>
      <w:r w:rsidRPr="00D312EC">
        <w:t xml:space="preserve"> at the discretion of the hearing officer or hearing pane</w:t>
      </w:r>
      <w:r w:rsidRPr="0055279F">
        <w:t>l</w:t>
      </w:r>
      <w:r w:rsidR="00673804">
        <w:t>.</w:t>
      </w:r>
      <w:r w:rsidRPr="00910BB7">
        <w:rPr>
          <w:vertAlign w:val="superscript"/>
        </w:rPr>
        <w:footnoteReference w:id="863"/>
      </w:r>
    </w:p>
    <w:p w14:paraId="15CF3931" w14:textId="415625FE" w:rsidR="00FF7482" w:rsidRDefault="00FF7482" w:rsidP="00C94B70">
      <w:pPr>
        <w:pStyle w:val="LawReview-StandardBodyText"/>
        <w:numPr>
          <w:ilvl w:val="0"/>
          <w:numId w:val="12"/>
        </w:numPr>
        <w:spacing w:after="160" w:line="259" w:lineRule="auto"/>
        <w:ind w:left="1080" w:right="720"/>
      </w:pPr>
      <w:r>
        <w:t xml:space="preserve">Essentially </w:t>
      </w:r>
      <w:r w:rsidRPr="00D312EC">
        <w:rPr>
          <w:b/>
          <w:bCs/>
        </w:rPr>
        <w:t>all</w:t>
      </w:r>
      <w:r>
        <w:rPr>
          <w:b/>
          <w:bCs/>
        </w:rPr>
        <w:t xml:space="preserve"> case</w:t>
      </w:r>
      <w:r w:rsidRPr="00D312EC">
        <w:rPr>
          <w:b/>
          <w:bCs/>
        </w:rPr>
        <w:t xml:space="preserve"> documents filed with the </w:t>
      </w:r>
      <w:r>
        <w:rPr>
          <w:b/>
          <w:bCs/>
        </w:rPr>
        <w:t>D</w:t>
      </w:r>
      <w:r w:rsidRPr="00D312EC">
        <w:rPr>
          <w:b/>
          <w:bCs/>
        </w:rPr>
        <w:t xml:space="preserve">ivision are </w:t>
      </w:r>
      <w:r>
        <w:rPr>
          <w:b/>
          <w:bCs/>
        </w:rPr>
        <w:t>“</w:t>
      </w:r>
      <w:r w:rsidRPr="00D312EC">
        <w:rPr>
          <w:b/>
          <w:bCs/>
        </w:rPr>
        <w:t>pleadings</w:t>
      </w:r>
      <w:r w:rsidR="00673804">
        <w:rPr>
          <w:b/>
          <w:bCs/>
        </w:rPr>
        <w:t>.</w:t>
      </w:r>
      <w:r>
        <w:rPr>
          <w:b/>
          <w:bCs/>
        </w:rPr>
        <w:t>”</w:t>
      </w:r>
      <w:r w:rsidRPr="00910BB7">
        <w:rPr>
          <w:vertAlign w:val="superscript"/>
        </w:rPr>
        <w:footnoteReference w:id="864"/>
      </w:r>
      <w:r w:rsidRPr="003D7E8D">
        <w:t xml:space="preserve"> </w:t>
      </w:r>
    </w:p>
    <w:p w14:paraId="0D6E651E" w14:textId="2ED87945" w:rsidR="00FF7482" w:rsidRDefault="00FF7482" w:rsidP="00C94B70">
      <w:pPr>
        <w:pStyle w:val="LawReview-StandardBodyText"/>
        <w:numPr>
          <w:ilvl w:val="0"/>
          <w:numId w:val="12"/>
        </w:numPr>
        <w:spacing w:after="160" w:line="259" w:lineRule="auto"/>
        <w:ind w:left="1080" w:right="720"/>
      </w:pPr>
      <w:r w:rsidRPr="00D312EC">
        <w:t>The attorney general's office represent</w:t>
      </w:r>
      <w:r>
        <w:t>s</w:t>
      </w:r>
      <w:r w:rsidRPr="00D312EC">
        <w:t xml:space="preserve"> the division in all contested cases</w:t>
      </w:r>
      <w:r w:rsidR="00673804">
        <w:t>.</w:t>
      </w:r>
      <w:r w:rsidRPr="00910BB7">
        <w:rPr>
          <w:vertAlign w:val="superscript"/>
        </w:rPr>
        <w:footnoteReference w:id="865"/>
      </w:r>
      <w:r w:rsidRPr="00D312EC">
        <w:t xml:space="preserve"> </w:t>
      </w:r>
    </w:p>
    <w:p w14:paraId="7D8E4B8B" w14:textId="1CFBDF7B" w:rsidR="00FF7482" w:rsidRDefault="00FF7482" w:rsidP="00C94B70">
      <w:pPr>
        <w:pStyle w:val="LawReview-StandardBodyText"/>
        <w:numPr>
          <w:ilvl w:val="0"/>
          <w:numId w:val="12"/>
        </w:numPr>
        <w:spacing w:after="160" w:line="259" w:lineRule="auto"/>
        <w:ind w:left="1080" w:right="720"/>
      </w:pPr>
      <w:r w:rsidRPr="00D312EC">
        <w:t>The hearing examiner has exclusive jurisdiction to make the final administrative determination of the validity and amount of compensation payable</w:t>
      </w:r>
      <w:r w:rsidR="00673804">
        <w:t>.</w:t>
      </w:r>
      <w:r w:rsidRPr="00910BB7">
        <w:rPr>
          <w:vertAlign w:val="superscript"/>
        </w:rPr>
        <w:footnoteReference w:id="866"/>
      </w:r>
    </w:p>
    <w:p w14:paraId="62E0BE29" w14:textId="5ADE7CB9" w:rsidR="00FF7482" w:rsidRDefault="00FF7482" w:rsidP="00C94B70">
      <w:pPr>
        <w:pStyle w:val="LawReview-StandardBodyText"/>
        <w:numPr>
          <w:ilvl w:val="0"/>
          <w:numId w:val="12"/>
        </w:numPr>
        <w:spacing w:after="160" w:line="259" w:lineRule="auto"/>
        <w:ind w:left="1080" w:right="720"/>
      </w:pPr>
      <w:r>
        <w:t>With limited exceptions</w:t>
      </w:r>
      <w:r w:rsidRPr="00D312EC">
        <w:t xml:space="preserve">, </w:t>
      </w:r>
      <w:r w:rsidRPr="00F11A45">
        <w:rPr>
          <w:b/>
          <w:bCs/>
        </w:rPr>
        <w:t>court costs are paid from the worker's compensation account if the judgment is in favor of the employer or the division</w:t>
      </w:r>
      <w:r w:rsidR="00673804">
        <w:rPr>
          <w:b/>
          <w:bCs/>
        </w:rPr>
        <w:t>.</w:t>
      </w:r>
      <w:r w:rsidRPr="00910BB7">
        <w:rPr>
          <w:vertAlign w:val="superscript"/>
        </w:rPr>
        <w:footnoteReference w:id="867"/>
      </w:r>
    </w:p>
    <w:p w14:paraId="44708DFF" w14:textId="6666243C" w:rsidR="00FF7482" w:rsidRPr="00F11A45" w:rsidRDefault="00FF7482" w:rsidP="00C94B70">
      <w:pPr>
        <w:pStyle w:val="LawReview-StandardBodyText"/>
        <w:numPr>
          <w:ilvl w:val="0"/>
          <w:numId w:val="12"/>
        </w:numPr>
        <w:spacing w:after="160" w:line="259" w:lineRule="auto"/>
        <w:ind w:left="1080" w:right="720"/>
        <w:rPr>
          <w:b/>
          <w:bCs/>
        </w:rPr>
      </w:pPr>
      <w:r w:rsidRPr="00F11A45">
        <w:rPr>
          <w:b/>
          <w:bCs/>
        </w:rPr>
        <w:t>If judgment is against the employer</w:t>
      </w:r>
      <w:r>
        <w:t>,</w:t>
      </w:r>
      <w:r w:rsidRPr="00D312EC">
        <w:t xml:space="preserve"> and the employer contested the claim without being joined in the contest by the </w:t>
      </w:r>
      <w:r>
        <w:t>D</w:t>
      </w:r>
      <w:r w:rsidRPr="00D312EC">
        <w:t xml:space="preserve">ivision, the </w:t>
      </w:r>
      <w:r w:rsidRPr="00F11A45">
        <w:rPr>
          <w:b/>
          <w:bCs/>
        </w:rPr>
        <w:t xml:space="preserve">court costs </w:t>
      </w:r>
      <w:r>
        <w:rPr>
          <w:b/>
          <w:bCs/>
        </w:rPr>
        <w:t>are</w:t>
      </w:r>
      <w:r w:rsidRPr="00F11A45">
        <w:rPr>
          <w:b/>
          <w:bCs/>
        </w:rPr>
        <w:t xml:space="preserve"> paid by the employer</w:t>
      </w:r>
      <w:r w:rsidR="00673804">
        <w:rPr>
          <w:b/>
          <w:bCs/>
        </w:rPr>
        <w:t>.</w:t>
      </w:r>
      <w:r w:rsidRPr="00910BB7">
        <w:rPr>
          <w:vertAlign w:val="superscript"/>
        </w:rPr>
        <w:footnoteReference w:id="868"/>
      </w:r>
    </w:p>
    <w:p w14:paraId="64A50245" w14:textId="642C0BA4" w:rsidR="00FF7482" w:rsidRDefault="00FF7482" w:rsidP="00C94B70">
      <w:pPr>
        <w:pStyle w:val="LawReview-StandardBodyText"/>
        <w:numPr>
          <w:ilvl w:val="0"/>
          <w:numId w:val="12"/>
        </w:numPr>
        <w:spacing w:after="160" w:line="259" w:lineRule="auto"/>
        <w:ind w:left="1080" w:right="720"/>
      </w:pPr>
      <w:r w:rsidRPr="00F11A45">
        <w:rPr>
          <w:b/>
          <w:bCs/>
        </w:rPr>
        <w:t xml:space="preserve">When the employer or </w:t>
      </w:r>
      <w:r>
        <w:rPr>
          <w:b/>
          <w:bCs/>
        </w:rPr>
        <w:t>D</w:t>
      </w:r>
      <w:r w:rsidRPr="00F11A45">
        <w:rPr>
          <w:b/>
          <w:bCs/>
        </w:rPr>
        <w:t>ivision prevails</w:t>
      </w:r>
      <w:r w:rsidRPr="00D312EC">
        <w:t xml:space="preserve">, </w:t>
      </w:r>
      <w:r w:rsidRPr="00F11A45">
        <w:rPr>
          <w:b/>
          <w:bCs/>
        </w:rPr>
        <w:t xml:space="preserve">court costs </w:t>
      </w:r>
      <w:r>
        <w:rPr>
          <w:b/>
          <w:bCs/>
        </w:rPr>
        <w:t>do</w:t>
      </w:r>
      <w:r w:rsidRPr="00F11A45">
        <w:rPr>
          <w:b/>
          <w:bCs/>
        </w:rPr>
        <w:t xml:space="preserve"> not affect the employer's experience rating</w:t>
      </w:r>
      <w:r w:rsidR="00673804">
        <w:rPr>
          <w:b/>
          <w:bCs/>
        </w:rPr>
        <w:t>.</w:t>
      </w:r>
      <w:r w:rsidRPr="00910BB7">
        <w:rPr>
          <w:vertAlign w:val="superscript"/>
        </w:rPr>
        <w:footnoteReference w:id="869"/>
      </w:r>
    </w:p>
    <w:p w14:paraId="1757E45C" w14:textId="3014C430" w:rsidR="00FF7482" w:rsidRDefault="00FF7482" w:rsidP="00C94B70">
      <w:pPr>
        <w:pStyle w:val="LawReview-StandardBodyText"/>
        <w:numPr>
          <w:ilvl w:val="0"/>
          <w:numId w:val="12"/>
        </w:numPr>
        <w:spacing w:after="0" w:line="259" w:lineRule="auto"/>
        <w:ind w:left="1080" w:right="720"/>
      </w:pPr>
      <w:r w:rsidRPr="00D312EC">
        <w:lastRenderedPageBreak/>
        <w:t>If judgment is against a health care provider, the court costs</w:t>
      </w:r>
      <w:r>
        <w:t xml:space="preserve"> are</w:t>
      </w:r>
      <w:r w:rsidRPr="00D312EC">
        <w:t xml:space="preserve"> paid by the health care provider</w:t>
      </w:r>
      <w:r w:rsidR="00673804">
        <w:t>.</w:t>
      </w:r>
      <w:r w:rsidRPr="00910BB7">
        <w:rPr>
          <w:vertAlign w:val="superscript"/>
        </w:rPr>
        <w:footnoteReference w:id="870"/>
      </w:r>
    </w:p>
    <w:p w14:paraId="27B72474" w14:textId="77777777" w:rsidR="00C94B70" w:rsidRDefault="00C94B70" w:rsidP="00C94B70">
      <w:pPr>
        <w:pStyle w:val="LawReview-StandardBodyText"/>
        <w:spacing w:after="0" w:line="259" w:lineRule="auto"/>
        <w:ind w:left="1080" w:right="720" w:firstLine="0"/>
      </w:pPr>
    </w:p>
    <w:p w14:paraId="13B02B39" w14:textId="63B3C29D" w:rsidR="00FF7482" w:rsidRDefault="00FF7482" w:rsidP="00C94B70">
      <w:pPr>
        <w:pStyle w:val="LawReview-StandardBodyText"/>
        <w:spacing w:after="0" w:line="259" w:lineRule="auto"/>
        <w:ind w:firstLine="0"/>
      </w:pPr>
      <w:r>
        <w:t>Various other features of the Workers’ Compensation Contested Cases provision (Article 6) are discussed throughout this section, and indeed throughout th</w:t>
      </w:r>
      <w:r w:rsidR="003440DB">
        <w:t>is</w:t>
      </w:r>
      <w:r>
        <w:t xml:space="preserve"> Treatise, as they touch on a wide variety of substantive and procedural issues. Finally, anecdotal reports from practitioners suggest </w:t>
      </w:r>
      <w:r w:rsidRPr="00D560ED">
        <w:t>that</w:t>
      </w:r>
      <w:r>
        <w:t>,</w:t>
      </w:r>
      <w:r w:rsidRPr="00D560ED">
        <w:t xml:space="preserve"> </w:t>
      </w:r>
      <w:r w:rsidRPr="00D560ED">
        <w:rPr>
          <w:b/>
          <w:bCs/>
        </w:rPr>
        <w:t xml:space="preserve">although the original objection and denial of a claim serve as the initial request for hearing, </w:t>
      </w:r>
      <w:r>
        <w:rPr>
          <w:b/>
          <w:bCs/>
        </w:rPr>
        <w:t xml:space="preserve">original </w:t>
      </w:r>
      <w:r w:rsidRPr="00D560ED">
        <w:rPr>
          <w:b/>
          <w:bCs/>
        </w:rPr>
        <w:t>issues may</w:t>
      </w:r>
      <w:r>
        <w:rPr>
          <w:b/>
          <w:bCs/>
        </w:rPr>
        <w:t>, upon good cause shown,</w:t>
      </w:r>
      <w:r w:rsidRPr="00D560ED">
        <w:rPr>
          <w:b/>
          <w:bCs/>
        </w:rPr>
        <w:t xml:space="preserve"> be refined or changed by pleadings filed by the parties during the course of the </w:t>
      </w:r>
      <w:r>
        <w:rPr>
          <w:b/>
          <w:bCs/>
        </w:rPr>
        <w:t xml:space="preserve">preliminary </w:t>
      </w:r>
      <w:r w:rsidRPr="00D560ED">
        <w:rPr>
          <w:b/>
          <w:bCs/>
        </w:rPr>
        <w:t>administrative process</w:t>
      </w:r>
      <w:r w:rsidRPr="00D560ED">
        <w:t>.</w:t>
      </w:r>
    </w:p>
    <w:p w14:paraId="199FAA48" w14:textId="77777777" w:rsidR="00FF7482" w:rsidRDefault="00FF7482" w:rsidP="006C4967">
      <w:pPr>
        <w:pStyle w:val="LawReview-StandardBodyText"/>
        <w:spacing w:after="0" w:line="259" w:lineRule="auto"/>
        <w:ind w:left="1555" w:firstLine="0"/>
      </w:pPr>
    </w:p>
    <w:p w14:paraId="352A9DA0" w14:textId="535D43B2" w:rsidR="00FF7482" w:rsidRDefault="00FF7482" w:rsidP="00673804">
      <w:pPr>
        <w:pStyle w:val="Heading2"/>
        <w:spacing w:before="0"/>
        <w:rPr>
          <w:rFonts w:ascii="Times New Roman" w:hAnsi="Times New Roman" w:cs="Times New Roman"/>
          <w:b/>
          <w:color w:val="auto"/>
          <w:sz w:val="28"/>
          <w:szCs w:val="28"/>
        </w:rPr>
      </w:pPr>
      <w:bookmarkStart w:id="1197" w:name="_Toc75269433"/>
      <w:r w:rsidRPr="00F11A45">
        <w:rPr>
          <w:rFonts w:ascii="Times New Roman" w:hAnsi="Times New Roman" w:cs="Times New Roman"/>
          <w:b/>
          <w:color w:val="auto"/>
          <w:sz w:val="28"/>
          <w:szCs w:val="28"/>
        </w:rPr>
        <w:t>Wyoming Contested Case Procedures Generally</w:t>
      </w:r>
      <w:bookmarkEnd w:id="1197"/>
    </w:p>
    <w:p w14:paraId="49E8E207" w14:textId="063408A1" w:rsidR="00FF7482" w:rsidRDefault="00FF7482" w:rsidP="006C4967">
      <w:pPr>
        <w:spacing w:after="0"/>
      </w:pPr>
    </w:p>
    <w:p w14:paraId="153BB30D" w14:textId="3955178B" w:rsidR="00FF7482" w:rsidRDefault="00FF7482" w:rsidP="00673804">
      <w:pPr>
        <w:pStyle w:val="LawReview-StandardBodyText"/>
        <w:spacing w:after="0" w:line="259" w:lineRule="auto"/>
        <w:ind w:firstLine="0"/>
      </w:pPr>
      <w:r>
        <w:t xml:space="preserve">Though an extended exposition of the Wyoming Contested Case Procedures is beyond the scope of this </w:t>
      </w:r>
      <w:r w:rsidR="00673804">
        <w:t>T</w:t>
      </w:r>
      <w:r>
        <w:t xml:space="preserve">reatise, the essential characteristics of the </w:t>
      </w:r>
      <w:r w:rsidRPr="001A08D2">
        <w:rPr>
          <w:b/>
          <w:bCs/>
        </w:rPr>
        <w:t>general procedure</w:t>
      </w:r>
      <w:r>
        <w:t xml:space="preserve"> of administrative adjudication can be summarized as follows. It should be kept in mind that several features of the contested case procedures have been incorporated by rule in the rules of the Office of Administrative Hearings at </w:t>
      </w:r>
      <w:r w:rsidRPr="00134CDC">
        <w:t>WY Rules and Regulations 270.0001.2 § 1</w:t>
      </w:r>
      <w:r>
        <w:t xml:space="preserve"> through </w:t>
      </w:r>
      <w:r w:rsidRPr="00134CDC">
        <w:t>270.0001.2 § 29</w:t>
      </w:r>
      <w:r>
        <w:t>.</w:t>
      </w:r>
    </w:p>
    <w:p w14:paraId="644500B1" w14:textId="463878A4" w:rsidR="00FF7482" w:rsidRDefault="00FF7482" w:rsidP="006C4967">
      <w:pPr>
        <w:pStyle w:val="LawReview-StandardBodyText"/>
        <w:spacing w:after="0" w:line="259" w:lineRule="auto"/>
      </w:pPr>
    </w:p>
    <w:p w14:paraId="259DF676" w14:textId="3B8507EC" w:rsidR="00673804" w:rsidRDefault="00FF7482" w:rsidP="00673804">
      <w:pPr>
        <w:pStyle w:val="LawReview-StandardBodyText"/>
        <w:numPr>
          <w:ilvl w:val="0"/>
          <w:numId w:val="12"/>
        </w:numPr>
        <w:spacing w:after="160" w:line="259" w:lineRule="auto"/>
        <w:ind w:left="1080" w:right="720"/>
      </w:pPr>
      <w:r>
        <w:t>A</w:t>
      </w:r>
      <w:r w:rsidRPr="003D7EA9">
        <w:t xml:space="preserve">ll parties </w:t>
      </w:r>
      <w:r>
        <w:t>are</w:t>
      </w:r>
      <w:r w:rsidRPr="003D7EA9">
        <w:t xml:space="preserve"> afforded an </w:t>
      </w:r>
      <w:r w:rsidRPr="003D7EA9">
        <w:rPr>
          <w:b/>
          <w:bCs/>
          <w:u w:val="single"/>
        </w:rPr>
        <w:t>opportunity for hearing</w:t>
      </w:r>
      <w:r>
        <w:t xml:space="preserve"> </w:t>
      </w:r>
      <w:r w:rsidRPr="003D7EA9">
        <w:t>after reasonable notice served personally or by mail</w:t>
      </w:r>
      <w:r w:rsidR="00673804">
        <w:t>.</w:t>
      </w:r>
      <w:r w:rsidRPr="00910BB7">
        <w:rPr>
          <w:vertAlign w:val="superscript"/>
        </w:rPr>
        <w:footnoteReference w:id="871"/>
      </w:r>
    </w:p>
    <w:p w14:paraId="42901EF6" w14:textId="086CA497" w:rsidR="00FF7482" w:rsidRDefault="00FF7482" w:rsidP="00673804">
      <w:pPr>
        <w:pStyle w:val="LawReview-StandardBodyText"/>
        <w:numPr>
          <w:ilvl w:val="0"/>
          <w:numId w:val="12"/>
        </w:numPr>
        <w:spacing w:after="160" w:line="259" w:lineRule="auto"/>
        <w:ind w:left="1080" w:right="720"/>
      </w:pPr>
      <w:r>
        <w:t xml:space="preserve">The Notice of Hearing must include a statement of </w:t>
      </w:r>
    </w:p>
    <w:p w14:paraId="1819D12D" w14:textId="43FD432D" w:rsidR="00FF7482" w:rsidRDefault="00FF7482" w:rsidP="00673804">
      <w:pPr>
        <w:pStyle w:val="LawReview-StandardBodyText"/>
        <w:numPr>
          <w:ilvl w:val="1"/>
          <w:numId w:val="12"/>
        </w:numPr>
        <w:spacing w:after="160" w:line="259" w:lineRule="auto"/>
        <w:ind w:left="1800" w:right="720"/>
      </w:pPr>
      <w:r>
        <w:t xml:space="preserve">The </w:t>
      </w:r>
      <w:r w:rsidRPr="00322FDA">
        <w:rPr>
          <w:b/>
          <w:bCs/>
        </w:rPr>
        <w:t>time, place and nature</w:t>
      </w:r>
      <w:r>
        <w:t xml:space="preserve"> of the hearing;</w:t>
      </w:r>
    </w:p>
    <w:p w14:paraId="317A5CCD" w14:textId="7615D4F0" w:rsidR="00FF7482" w:rsidRDefault="00FF7482" w:rsidP="00673804">
      <w:pPr>
        <w:pStyle w:val="LawReview-StandardBodyText"/>
        <w:numPr>
          <w:ilvl w:val="1"/>
          <w:numId w:val="12"/>
        </w:numPr>
        <w:spacing w:after="160" w:line="259" w:lineRule="auto"/>
        <w:ind w:left="1800" w:right="720"/>
      </w:pPr>
      <w:r>
        <w:t xml:space="preserve">The </w:t>
      </w:r>
      <w:r w:rsidRPr="00322FDA">
        <w:rPr>
          <w:b/>
          <w:bCs/>
        </w:rPr>
        <w:t>legal authority</w:t>
      </w:r>
      <w:r>
        <w:t xml:space="preserve"> and </w:t>
      </w:r>
      <w:r w:rsidRPr="00322FDA">
        <w:rPr>
          <w:b/>
          <w:bCs/>
        </w:rPr>
        <w:t>jurisdiction</w:t>
      </w:r>
      <w:r>
        <w:t xml:space="preserve"> under which the hearing is to be held;</w:t>
      </w:r>
    </w:p>
    <w:p w14:paraId="3E46F9D1" w14:textId="46A42FA4" w:rsidR="00FF7482" w:rsidRDefault="00FF7482" w:rsidP="00673804">
      <w:pPr>
        <w:pStyle w:val="LawReview-StandardBodyText"/>
        <w:numPr>
          <w:ilvl w:val="1"/>
          <w:numId w:val="12"/>
        </w:numPr>
        <w:spacing w:after="160" w:line="259" w:lineRule="auto"/>
        <w:ind w:left="1800" w:right="720"/>
      </w:pPr>
      <w:r>
        <w:t xml:space="preserve">The particular </w:t>
      </w:r>
      <w:r w:rsidRPr="00322FDA">
        <w:rPr>
          <w:b/>
          <w:bCs/>
        </w:rPr>
        <w:t>sections of the statutes and rules involved</w:t>
      </w:r>
      <w:r>
        <w:t>;</w:t>
      </w:r>
    </w:p>
    <w:p w14:paraId="702EC365" w14:textId="77CAE9BA" w:rsidR="00FF7482" w:rsidRDefault="00FF7482" w:rsidP="00673804">
      <w:pPr>
        <w:pStyle w:val="LawReview-StandardBodyText"/>
        <w:numPr>
          <w:ilvl w:val="1"/>
          <w:numId w:val="12"/>
        </w:numPr>
        <w:spacing w:after="160" w:line="259" w:lineRule="auto"/>
        <w:ind w:left="1800" w:right="720"/>
      </w:pPr>
      <w:r>
        <w:t xml:space="preserve">A </w:t>
      </w:r>
      <w:r w:rsidRPr="00322FDA">
        <w:rPr>
          <w:b/>
          <w:bCs/>
        </w:rPr>
        <w:t>short and plain statement of the matters</w:t>
      </w:r>
      <w:r>
        <w:t xml:space="preserve"> asserted</w:t>
      </w:r>
      <w:r w:rsidRPr="00910BB7">
        <w:rPr>
          <w:vertAlign w:val="superscript"/>
        </w:rPr>
        <w:footnoteReference w:id="872"/>
      </w:r>
    </w:p>
    <w:p w14:paraId="7DC6F427" w14:textId="7C1FE443" w:rsidR="00FF7482" w:rsidRDefault="00FF7482" w:rsidP="00673804">
      <w:pPr>
        <w:pStyle w:val="LawReview-StandardBodyText"/>
        <w:numPr>
          <w:ilvl w:val="0"/>
          <w:numId w:val="12"/>
        </w:numPr>
        <w:spacing w:after="160" w:line="259" w:lineRule="auto"/>
        <w:ind w:left="1080" w:right="720"/>
      </w:pPr>
      <w:r>
        <w:t>A</w:t>
      </w:r>
      <w:r w:rsidRPr="003D7EA9">
        <w:t>gencies have authority to administer oaths and affirmations, subpoena witnesses</w:t>
      </w:r>
      <w:r>
        <w:t>,</w:t>
      </w:r>
      <w:r w:rsidRPr="003D7EA9">
        <w:t xml:space="preserve"> and require the production of any books, papers or other documents relevant or material to </w:t>
      </w:r>
      <w:r>
        <w:t xml:space="preserve">an </w:t>
      </w:r>
      <w:r w:rsidRPr="003D7EA9">
        <w:t>inquiry</w:t>
      </w:r>
      <w:r w:rsidR="00673804">
        <w:t>.</w:t>
      </w:r>
      <w:r w:rsidRPr="00910BB7">
        <w:rPr>
          <w:vertAlign w:val="superscript"/>
        </w:rPr>
        <w:footnoteReference w:id="873"/>
      </w:r>
    </w:p>
    <w:p w14:paraId="4B6195AD" w14:textId="35F1278D" w:rsidR="00FF7482" w:rsidRDefault="00FF7482" w:rsidP="00673804">
      <w:pPr>
        <w:pStyle w:val="LawReview-StandardBodyText"/>
        <w:numPr>
          <w:ilvl w:val="0"/>
          <w:numId w:val="12"/>
        </w:numPr>
        <w:spacing w:after="160" w:line="259" w:lineRule="auto"/>
        <w:ind w:left="1080" w:right="720"/>
      </w:pPr>
      <w:r>
        <w:lastRenderedPageBreak/>
        <w:t>District courts (but not agencies) have authority to enforce, on pain of contempt of court, agency administrative process (subpoena, deposition, or other discovery)</w:t>
      </w:r>
      <w:r w:rsidR="00673804">
        <w:t>.</w:t>
      </w:r>
      <w:r w:rsidRPr="00910BB7">
        <w:rPr>
          <w:vertAlign w:val="superscript"/>
        </w:rPr>
        <w:footnoteReference w:id="874"/>
      </w:r>
      <w:r>
        <w:t xml:space="preserve">  </w:t>
      </w:r>
    </w:p>
    <w:p w14:paraId="05DF7369" w14:textId="1467BA70" w:rsidR="00FF7482" w:rsidRDefault="00FF7482" w:rsidP="00673804">
      <w:pPr>
        <w:pStyle w:val="LawReview-StandardBodyText"/>
        <w:numPr>
          <w:ilvl w:val="0"/>
          <w:numId w:val="12"/>
        </w:numPr>
        <w:spacing w:after="160" w:line="259" w:lineRule="auto"/>
        <w:ind w:left="1080" w:right="720"/>
      </w:pPr>
      <w:r>
        <w:t>Agencies</w:t>
      </w:r>
      <w:r w:rsidRPr="00BD651B">
        <w:t xml:space="preserve"> </w:t>
      </w:r>
      <w:r>
        <w:t xml:space="preserve">must by rule </w:t>
      </w:r>
      <w:r w:rsidRPr="00BD651B">
        <w:t>provide that</w:t>
      </w:r>
      <w:r>
        <w:t xml:space="preserve"> upon request by a case party it will </w:t>
      </w:r>
      <w:r w:rsidRPr="00BD651B">
        <w:t>issue a subpoena requiring the appearance of witnesses for the purpose of taking evidence or requiring the production of any books, papers or other documents relevant or material to the inquiry</w:t>
      </w:r>
      <w:r w:rsidR="00E3159B">
        <w:t>.</w:t>
      </w:r>
      <w:r w:rsidRPr="00910BB7">
        <w:rPr>
          <w:vertAlign w:val="superscript"/>
        </w:rPr>
        <w:footnoteReference w:id="875"/>
      </w:r>
    </w:p>
    <w:p w14:paraId="33FD932E" w14:textId="3195A3D3" w:rsidR="00FF7482" w:rsidRDefault="00FF7482" w:rsidP="00673804">
      <w:pPr>
        <w:pStyle w:val="LawReview-StandardBodyText"/>
        <w:numPr>
          <w:ilvl w:val="0"/>
          <w:numId w:val="12"/>
        </w:numPr>
        <w:spacing w:after="160" w:line="259" w:lineRule="auto"/>
        <w:ind w:left="1080" w:right="720"/>
      </w:pPr>
      <w:r>
        <w:t>Agencies m</w:t>
      </w:r>
      <w:r w:rsidRPr="00BD651B">
        <w:t>ay</w:t>
      </w:r>
      <w:r>
        <w:t>, upon motion,</w:t>
      </w:r>
      <w:r w:rsidRPr="00BD651B">
        <w:t xml:space="preserve"> quash or modify subpoena</w:t>
      </w:r>
      <w:r>
        <w:t xml:space="preserve">s that are </w:t>
      </w:r>
      <w:r w:rsidRPr="00BD651B">
        <w:t>unreasonable and oppressive, or</w:t>
      </w:r>
      <w:r>
        <w:t xml:space="preserve"> </w:t>
      </w:r>
      <w:r w:rsidRPr="00BD651B">
        <w:t xml:space="preserve">may condition denial of </w:t>
      </w:r>
      <w:r>
        <w:t xml:space="preserve">such </w:t>
      </w:r>
      <w:r w:rsidRPr="00BD651B">
        <w:t>motion</w:t>
      </w:r>
      <w:r>
        <w:t>s</w:t>
      </w:r>
      <w:r w:rsidRPr="00BD651B">
        <w:t xml:space="preserve"> upon the</w:t>
      </w:r>
      <w:r>
        <w:t xml:space="preserve"> payment of costs by the issuer of the subpoena</w:t>
      </w:r>
      <w:r w:rsidR="00E3159B">
        <w:t>.</w:t>
      </w:r>
      <w:r w:rsidRPr="00910BB7">
        <w:rPr>
          <w:vertAlign w:val="superscript"/>
        </w:rPr>
        <w:footnoteReference w:id="876"/>
      </w:r>
    </w:p>
    <w:p w14:paraId="4B7F9604" w14:textId="110C5FC7" w:rsidR="00FF7482" w:rsidRDefault="00FF7482" w:rsidP="00673804">
      <w:pPr>
        <w:pStyle w:val="LawReview-StandardBodyText"/>
        <w:numPr>
          <w:ilvl w:val="0"/>
          <w:numId w:val="12"/>
        </w:numPr>
        <w:spacing w:after="160" w:line="259" w:lineRule="auto"/>
        <w:ind w:left="1080" w:right="720"/>
      </w:pPr>
      <w:r>
        <w:t xml:space="preserve">With only very minor exceptions, </w:t>
      </w:r>
      <w:r w:rsidRPr="00017447">
        <w:t xml:space="preserve">the taking of depositions and discovery </w:t>
      </w:r>
      <w:r>
        <w:t>are</w:t>
      </w:r>
      <w:r w:rsidRPr="00017447">
        <w:t xml:space="preserve"> available to the parties in accordance with the provisions of </w:t>
      </w:r>
      <w:r>
        <w:t xml:space="preserve">Wyoming </w:t>
      </w:r>
      <w:r w:rsidRPr="00017447">
        <w:t>Rules</w:t>
      </w:r>
      <w:r>
        <w:t xml:space="preserve"> of Civil Procedure</w:t>
      </w:r>
      <w:r w:rsidRPr="00017447">
        <w:t xml:space="preserve"> 26,</w:t>
      </w:r>
      <w:r>
        <w:t xml:space="preserve"> and</w:t>
      </w:r>
      <w:r w:rsidRPr="00017447">
        <w:t xml:space="preserve"> 28 through 37</w:t>
      </w:r>
      <w:r>
        <w:t>, as amended</w:t>
      </w:r>
      <w:r w:rsidR="00E3159B">
        <w:t>.</w:t>
      </w:r>
      <w:r w:rsidRPr="00910BB7">
        <w:rPr>
          <w:vertAlign w:val="superscript"/>
        </w:rPr>
        <w:footnoteReference w:id="877"/>
      </w:r>
      <w:r w:rsidRPr="00017447">
        <w:t xml:space="preserve"> </w:t>
      </w:r>
    </w:p>
    <w:p w14:paraId="78C92141" w14:textId="1FE28337" w:rsidR="00FF7482" w:rsidRDefault="00FF7482" w:rsidP="00673804">
      <w:pPr>
        <w:pStyle w:val="LawReview-StandardBodyText"/>
        <w:numPr>
          <w:ilvl w:val="0"/>
          <w:numId w:val="12"/>
        </w:numPr>
        <w:spacing w:after="160" w:line="259" w:lineRule="auto"/>
        <w:ind w:left="1080" w:right="720"/>
      </w:pPr>
      <w:r>
        <w:t>Agencies are fully bound by rules of discovery (subject to rules protecting confidentiality and rules of privilege) and parties may seek orders compelling agency discovery compliance from either the presiding officer of a contested case or, if necessary, from a district court</w:t>
      </w:r>
      <w:r w:rsidR="00E3159B">
        <w:t>.</w:t>
      </w:r>
      <w:r w:rsidRPr="00910BB7">
        <w:rPr>
          <w:vertAlign w:val="superscript"/>
        </w:rPr>
        <w:footnoteReference w:id="878"/>
      </w:r>
      <w:r>
        <w:t xml:space="preserve">  </w:t>
      </w:r>
    </w:p>
    <w:p w14:paraId="673C59D3" w14:textId="025E27D8" w:rsidR="00E3159B" w:rsidRDefault="00FF7482" w:rsidP="00E3159B">
      <w:pPr>
        <w:pStyle w:val="LawReview-StandardBodyText"/>
        <w:numPr>
          <w:ilvl w:val="0"/>
          <w:numId w:val="12"/>
        </w:numPr>
        <w:spacing w:after="160" w:line="259" w:lineRule="auto"/>
        <w:ind w:left="1080" w:right="720"/>
      </w:pPr>
      <w:r w:rsidRPr="00322FDA">
        <w:rPr>
          <w:b/>
          <w:bCs/>
        </w:rPr>
        <w:t>Parties have the right to present evidence and argument on all issues</w:t>
      </w:r>
      <w:r>
        <w:t>. A person compelled to appear before an agency has the right to be represented by counsel or, if permitted by the agency, other qualified representative</w:t>
      </w:r>
      <w:r w:rsidR="00E3159B">
        <w:t>.</w:t>
      </w:r>
      <w:r w:rsidRPr="00910BB7">
        <w:rPr>
          <w:vertAlign w:val="superscript"/>
        </w:rPr>
        <w:footnoteReference w:id="879"/>
      </w:r>
    </w:p>
    <w:p w14:paraId="3AB30AF2" w14:textId="2526ED40" w:rsidR="00E3159B" w:rsidRDefault="00FF7482" w:rsidP="00E3159B">
      <w:pPr>
        <w:pStyle w:val="LawReview-StandardBodyText"/>
        <w:numPr>
          <w:ilvl w:val="0"/>
          <w:numId w:val="12"/>
        </w:numPr>
        <w:spacing w:after="160" w:line="259" w:lineRule="auto"/>
        <w:ind w:left="1080" w:right="720"/>
      </w:pPr>
      <w:r w:rsidRPr="00E3159B">
        <w:rPr>
          <w:b/>
          <w:bCs/>
        </w:rPr>
        <w:t xml:space="preserve">Parties have the right to appear </w:t>
      </w:r>
      <w:r>
        <w:t xml:space="preserve">in person or through counsel in any agency proceeding in accordance with the agency’s rules and, where applicable, rules of the supreme court of Wyoming. So far as the orderly conduct of public business permits, any </w:t>
      </w:r>
      <w:r w:rsidRPr="00E3159B">
        <w:rPr>
          <w:b/>
          <w:bCs/>
        </w:rPr>
        <w:t>interested</w:t>
      </w:r>
      <w:r>
        <w:t xml:space="preserve"> person may appear before an agency to ensure consideration of an issue in any stage of a proceeding (interlocutory, summary or otherwise) or in connection with any agency function</w:t>
      </w:r>
      <w:r w:rsidR="00E3159B">
        <w:t>.</w:t>
      </w:r>
      <w:r w:rsidRPr="00910BB7">
        <w:rPr>
          <w:vertAlign w:val="superscript"/>
        </w:rPr>
        <w:footnoteReference w:id="880"/>
      </w:r>
    </w:p>
    <w:p w14:paraId="23F23108" w14:textId="475CF77F" w:rsidR="00E3159B" w:rsidRDefault="00FF7482" w:rsidP="00E3159B">
      <w:pPr>
        <w:pStyle w:val="LawReview-StandardBodyText"/>
        <w:numPr>
          <w:ilvl w:val="0"/>
          <w:numId w:val="12"/>
        </w:numPr>
        <w:spacing w:after="160" w:line="259" w:lineRule="auto"/>
        <w:ind w:left="1080" w:right="720"/>
      </w:pPr>
      <w:r w:rsidRPr="00E3159B">
        <w:rPr>
          <w:b/>
          <w:bCs/>
        </w:rPr>
        <w:lastRenderedPageBreak/>
        <w:t>Agencies are required to proceed efficiently</w:t>
      </w:r>
      <w:r>
        <w:t xml:space="preserve"> to conclude contested matters except that the convenience and needs of the parties should be considered</w:t>
      </w:r>
      <w:r w:rsidR="00E3159B">
        <w:t>.</w:t>
      </w:r>
      <w:r w:rsidRPr="00910BB7">
        <w:rPr>
          <w:vertAlign w:val="superscript"/>
        </w:rPr>
        <w:footnoteReference w:id="881"/>
      </w:r>
    </w:p>
    <w:p w14:paraId="2D4A29E7" w14:textId="423176AE" w:rsidR="00FF7482" w:rsidRPr="00E3159B" w:rsidRDefault="00FF7482" w:rsidP="00E3159B">
      <w:pPr>
        <w:pStyle w:val="LawReview-StandardBodyText"/>
        <w:numPr>
          <w:ilvl w:val="0"/>
          <w:numId w:val="12"/>
        </w:numPr>
        <w:spacing w:after="0" w:line="259" w:lineRule="auto"/>
        <w:ind w:left="1080" w:right="720"/>
        <w:rPr>
          <w:rStyle w:val="Hyperlink"/>
          <w:color w:val="auto"/>
          <w:u w:val="none"/>
        </w:rPr>
      </w:pPr>
      <w:r>
        <w:t xml:space="preserve">A person representing an agency at a hearing in a contested case in which the agency is a party </w:t>
      </w:r>
      <w:r w:rsidRPr="00E3159B">
        <w:rPr>
          <w:b/>
          <w:bCs/>
        </w:rPr>
        <w:t xml:space="preserve">shall not </w:t>
      </w:r>
      <w:r w:rsidRPr="00E3159B">
        <w:rPr>
          <w:b/>
          <w:bCs/>
          <w:u w:val="single"/>
        </w:rPr>
        <w:t>in the same case</w:t>
      </w:r>
      <w:r w:rsidRPr="00E3159B">
        <w:rPr>
          <w:b/>
          <w:bCs/>
        </w:rPr>
        <w:t xml:space="preserve"> serve as presiding officer </w:t>
      </w:r>
      <w:r w:rsidRPr="00E3159B">
        <w:rPr>
          <w:b/>
          <w:bCs/>
          <w:u w:val="single"/>
        </w:rPr>
        <w:t>or provide ex parte advice regarding the case to the presiding officer or to the body or any member of the body comprising the decision makers</w:t>
      </w:r>
      <w:r w:rsidR="00E3159B" w:rsidRPr="00E3159B">
        <w:rPr>
          <w:u w:val="single"/>
        </w:rPr>
        <w:t>.</w:t>
      </w:r>
      <w:r w:rsidRPr="00910BB7">
        <w:rPr>
          <w:vertAlign w:val="superscript"/>
        </w:rPr>
        <w:footnoteReference w:id="882"/>
      </w:r>
    </w:p>
    <w:p w14:paraId="5F9CB874" w14:textId="77777777" w:rsidR="00E3159B" w:rsidRPr="00E3159B" w:rsidRDefault="00E3159B" w:rsidP="00E3159B">
      <w:pPr>
        <w:pStyle w:val="LawReview-StandardBodyText"/>
        <w:spacing w:after="0" w:line="259" w:lineRule="auto"/>
        <w:ind w:left="1080" w:right="720" w:firstLine="0"/>
      </w:pPr>
    </w:p>
    <w:p w14:paraId="68AC0888" w14:textId="5E648CCE" w:rsidR="00FF7482" w:rsidRDefault="00FF7482" w:rsidP="00E3159B">
      <w:pPr>
        <w:pStyle w:val="LawReview-StandardBodyText"/>
        <w:spacing w:after="0" w:line="259" w:lineRule="auto"/>
        <w:ind w:firstLine="0"/>
      </w:pPr>
      <w:r>
        <w:t xml:space="preserve">With respect to the final of the bullet point items, ex parte prohibitions are expanded in </w:t>
      </w:r>
      <w:bookmarkStart w:id="1214" w:name="_Hlk12725918"/>
      <w:r>
        <w:t xml:space="preserve">W.S. </w:t>
      </w:r>
      <w:r>
        <w:rPr>
          <w:rFonts w:cs="Times New Roman"/>
        </w:rPr>
        <w:t>§</w:t>
      </w:r>
      <w:r>
        <w:t xml:space="preserve"> </w:t>
      </w:r>
      <w:hyperlink r:id="rId128" w:history="1">
        <w:r w:rsidRPr="005939F9">
          <w:rPr>
            <w:rStyle w:val="Hyperlink"/>
          </w:rPr>
          <w:t>16-3-111</w:t>
        </w:r>
        <w:bookmarkEnd w:id="1214"/>
      </w:hyperlink>
      <w:r>
        <w:t xml:space="preserve">, which generally forbids presiding officials (e.g., workers’ compensation hearing officers) or their assistants, while working on a case, from directly or indirectly consulting with any other person on any issue in the case. An exception to the rule is that the presiding official </w:t>
      </w:r>
      <w:r w:rsidRPr="008C12F4">
        <w:rPr>
          <w:i/>
          <w:iCs/>
        </w:rPr>
        <w:t>may</w:t>
      </w:r>
      <w:r>
        <w:t xml:space="preserve"> consult with “</w:t>
      </w:r>
      <w:r w:rsidRPr="008C12F4">
        <w:t>an agency member, officer, contract consultant or employee or other state or federal employee, any party other than the agency or with any agency employee, contract consultant or other state or federal employee who was engaged in the investigation, preparation, presentation or prosecution of the case</w:t>
      </w:r>
      <w:r>
        <w:t>”</w:t>
      </w:r>
      <w:r w:rsidRPr="008C12F4">
        <w:t xml:space="preserve"> </w:t>
      </w:r>
      <w:r w:rsidRPr="008C12F4">
        <w:rPr>
          <w:b/>
          <w:bCs/>
          <w:u w:val="single"/>
        </w:rPr>
        <w:t>upon notice and opportunity for all parties to participate</w:t>
      </w:r>
      <w:r w:rsidRPr="008C12F4">
        <w:t>.</w:t>
      </w:r>
      <w:r w:rsidRPr="00910BB7">
        <w:rPr>
          <w:vertAlign w:val="superscript"/>
        </w:rPr>
        <w:footnoteReference w:id="883"/>
      </w:r>
      <w:r>
        <w:t xml:space="preserve"> Of course, there is no general prohibition against agency employees generally discussing cases amongst themselves.</w:t>
      </w:r>
      <w:r w:rsidRPr="00910BB7">
        <w:rPr>
          <w:vertAlign w:val="superscript"/>
        </w:rPr>
        <w:footnoteReference w:id="884"/>
      </w:r>
      <w:r>
        <w:t xml:space="preserve"> But “[n]</w:t>
      </w:r>
      <w:r w:rsidRPr="00FF30F9">
        <w:t>o officer, employee, contract consultant, federal employee or agent who has participated in the investigation, preparation, presentation or prosecution of a contested case shall be in that or a factually related case participate or advise in the decision, recommended decision or agency review of the decision, or be consulted in connection therewith except as witness or counsel in public proceedings.</w:t>
      </w:r>
      <w:r>
        <w:t>”</w:t>
      </w:r>
      <w:r w:rsidRPr="00910BB7">
        <w:rPr>
          <w:vertAlign w:val="superscript"/>
        </w:rPr>
        <w:footnoteReference w:id="885"/>
      </w:r>
      <w:r>
        <w:t xml:space="preserve"> For many years, an executive order apparently controlled ex parte contacts in Wyoming administrative proceedings, though its continued viability may be open to question given its age.</w:t>
      </w:r>
      <w:r w:rsidRPr="00910BB7">
        <w:rPr>
          <w:vertAlign w:val="superscript"/>
        </w:rPr>
        <w:footnoteReference w:id="886"/>
      </w:r>
      <w:r>
        <w:t xml:space="preserve"> Better current statements of Executive Branch ex parte policy (applicable to workers’ compensation cases) may be found in the rules of both the Office of Administrative Hearings and the Medical Commission. With respect to OAH</w:t>
      </w:r>
      <w:r w:rsidRPr="004A015B">
        <w:rPr>
          <w:b/>
          <w:bCs/>
        </w:rPr>
        <w:t>, WY Rules and Regulations 270.0001.2 § 10</w:t>
      </w:r>
      <w:r>
        <w:t xml:space="preserve"> states,</w:t>
      </w:r>
    </w:p>
    <w:p w14:paraId="3BFD09C0" w14:textId="2B48D77D" w:rsidR="00FF7482" w:rsidRDefault="00FF7482" w:rsidP="006C4967">
      <w:pPr>
        <w:pStyle w:val="LawReview-StandardBodyText"/>
        <w:spacing w:after="0" w:line="259" w:lineRule="auto"/>
      </w:pPr>
    </w:p>
    <w:p w14:paraId="247F9EA5" w14:textId="319D9D14" w:rsidR="00FF7482" w:rsidRDefault="00FF7482" w:rsidP="004879AB">
      <w:pPr>
        <w:pStyle w:val="LawReview-StandardBodyText"/>
        <w:spacing w:after="0" w:line="259" w:lineRule="auto"/>
        <w:ind w:left="720" w:right="720" w:firstLine="0"/>
      </w:pPr>
      <w:r w:rsidRPr="004A015B">
        <w:t xml:space="preserve">Except as authorized by law, a party or a party's attorney or representative shall not communicate with the hearing officer or hearing panel member in connection with any issue of fact or law </w:t>
      </w:r>
      <w:r w:rsidRPr="004A015B">
        <w:lastRenderedPageBreak/>
        <w:t>concerning any pending contested case, except upon notice and opportunity for all parties to participate. Should ex parte communication occur, the hearing officer or hearing panel member shall advise all parties of the communication as soon as possible thereafter and, if requested, shall allow any party an opportunity to respond prior to ruling on the issue.</w:t>
      </w:r>
    </w:p>
    <w:p w14:paraId="45A3783F" w14:textId="77777777" w:rsidR="00FF7482" w:rsidRDefault="00FF7482" w:rsidP="006C4967">
      <w:pPr>
        <w:pStyle w:val="LawReview-StandardBodyText"/>
        <w:spacing w:after="0" w:line="259" w:lineRule="auto"/>
      </w:pPr>
    </w:p>
    <w:p w14:paraId="4377DFB2" w14:textId="40DD068C" w:rsidR="00FF7482" w:rsidRDefault="00FF7482" w:rsidP="004879AB">
      <w:pPr>
        <w:pStyle w:val="LawReview-StandardBodyText"/>
        <w:spacing w:after="0" w:line="259" w:lineRule="auto"/>
        <w:ind w:firstLine="0"/>
      </w:pPr>
      <w:r>
        <w:t xml:space="preserve">A very similar rule has been promulgated by the Medical Commission at </w:t>
      </w:r>
      <w:r w:rsidRPr="004A015B">
        <w:rPr>
          <w:b/>
          <w:bCs/>
        </w:rPr>
        <w:t>053.0019.4 § 6</w:t>
      </w:r>
      <w:r>
        <w:t>:</w:t>
      </w:r>
    </w:p>
    <w:p w14:paraId="06B8FC60" w14:textId="7A510D43" w:rsidR="00FF7482" w:rsidRDefault="00FF7482" w:rsidP="006C4967">
      <w:pPr>
        <w:pStyle w:val="LawReview-StandardBodyText"/>
        <w:spacing w:after="0" w:line="259" w:lineRule="auto"/>
      </w:pPr>
    </w:p>
    <w:p w14:paraId="1276AC78" w14:textId="4A6B9EB2" w:rsidR="00FF7482" w:rsidRDefault="00FF7482" w:rsidP="006C4967">
      <w:pPr>
        <w:pStyle w:val="LawReview-StandardBodyText"/>
        <w:spacing w:after="0" w:line="259" w:lineRule="auto"/>
        <w:ind w:left="720" w:right="720" w:firstLine="0"/>
      </w:pPr>
      <w:r w:rsidRPr="004A015B">
        <w:t>Except to the extent authorized by law, a party or party's attorney shall not communicate, directly or indirectly, in connection with any issue of fact or law with the presiding officer concerning any pending case, except upon notice and opportunity for all parties to participate. Should ex parte communication occur, the presiding officer shall advise all parties of the communication as soon as possible thereafter, and if requested, allow any party an opportunity to respond.</w:t>
      </w:r>
    </w:p>
    <w:p w14:paraId="5443221A" w14:textId="77777777" w:rsidR="00FF7482" w:rsidRDefault="00FF7482" w:rsidP="006C4967">
      <w:pPr>
        <w:pStyle w:val="LawReview-StandardBodyText"/>
        <w:spacing w:after="0" w:line="259" w:lineRule="auto"/>
      </w:pPr>
    </w:p>
    <w:p w14:paraId="3137BEFE" w14:textId="780D90DD" w:rsidR="00FF7482" w:rsidRDefault="00FF7482" w:rsidP="00114754">
      <w:pPr>
        <w:pStyle w:val="LawReview-StandardBodyText"/>
        <w:spacing w:after="0" w:line="259" w:lineRule="auto"/>
        <w:ind w:firstLine="0"/>
      </w:pPr>
      <w:r>
        <w:t>Finally, there are a smattering of controversies which, because of the statutory or regulatory provisions from which they arise, may not require adjudication by the OAH or the Medical Commission but are still contested cases.</w:t>
      </w:r>
      <w:r w:rsidRPr="00910BB7">
        <w:rPr>
          <w:vertAlign w:val="superscript"/>
        </w:rPr>
        <w:footnoteReference w:id="887"/>
      </w:r>
      <w:r>
        <w:t xml:space="preserve"> (Some examples the Division has provided are </w:t>
      </w:r>
      <w:r w:rsidRPr="007B78C9">
        <w:t xml:space="preserve">cases </w:t>
      </w:r>
      <w:r>
        <w:t xml:space="preserve">concerning </w:t>
      </w:r>
      <w:r w:rsidRPr="007B78C9">
        <w:t>rate classification</w:t>
      </w:r>
      <w:r>
        <w:t>, whether a party’s late filing of claims is excused,</w:t>
      </w:r>
      <w:r w:rsidRPr="007B78C9">
        <w:t xml:space="preserve"> and </w:t>
      </w:r>
      <w:r>
        <w:t xml:space="preserve">disputes over </w:t>
      </w:r>
      <w:r w:rsidRPr="007B78C9">
        <w:t>the Division's annual premium rate filing</w:t>
      </w:r>
      <w:r w:rsidR="00114754">
        <w:t>.</w:t>
      </w:r>
      <w:r>
        <w:t>)</w:t>
      </w:r>
      <w:r w:rsidRPr="00910BB7">
        <w:rPr>
          <w:vertAlign w:val="superscript"/>
        </w:rPr>
        <w:footnoteReference w:id="888"/>
      </w:r>
      <w:r>
        <w:t xml:space="preserve"> In such situations, the Division has by rule developed its own internal hearing procedures. Ex parte limitations in </w:t>
      </w:r>
      <w:r w:rsidRPr="002F641C">
        <w:rPr>
          <w:i/>
          <w:iCs/>
        </w:rPr>
        <w:t>those</w:t>
      </w:r>
      <w:r>
        <w:t xml:space="preserve"> rules do not seem to be explicit.</w:t>
      </w:r>
      <w:r w:rsidRPr="00910BB7">
        <w:rPr>
          <w:vertAlign w:val="superscript"/>
        </w:rPr>
        <w:footnoteReference w:id="889"/>
      </w:r>
      <w:r>
        <w:t xml:space="preserve"> </w:t>
      </w:r>
    </w:p>
    <w:p w14:paraId="038C706F" w14:textId="3DC1F4B7" w:rsidR="00FF7482" w:rsidRDefault="00FF7482" w:rsidP="006C4967">
      <w:pPr>
        <w:pStyle w:val="LawReview-StandardBodyText"/>
        <w:spacing w:after="0" w:line="259" w:lineRule="auto"/>
      </w:pPr>
    </w:p>
    <w:p w14:paraId="54D5F8A1" w14:textId="049E4CDA" w:rsidR="00FF7482" w:rsidRDefault="00FF7482" w:rsidP="00114754">
      <w:pPr>
        <w:pStyle w:val="Heading2"/>
        <w:spacing w:before="0"/>
        <w:rPr>
          <w:rFonts w:ascii="Times New Roman" w:hAnsi="Times New Roman" w:cs="Times New Roman"/>
          <w:bCs/>
          <w:color w:val="auto"/>
          <w:sz w:val="28"/>
          <w:szCs w:val="28"/>
        </w:rPr>
      </w:pPr>
      <w:bookmarkStart w:id="1223" w:name="_Toc75269434"/>
      <w:r w:rsidRPr="00CA21BA">
        <w:rPr>
          <w:rFonts w:ascii="Times New Roman" w:hAnsi="Times New Roman" w:cs="Times New Roman"/>
          <w:b/>
          <w:color w:val="auto"/>
          <w:sz w:val="28"/>
          <w:szCs w:val="28"/>
        </w:rPr>
        <w:t>Workers’ Compensation Attorneys’ Fees</w:t>
      </w:r>
      <w:bookmarkEnd w:id="1223"/>
    </w:p>
    <w:p w14:paraId="198D87C6" w14:textId="419BA517" w:rsidR="00FF7482" w:rsidRDefault="00FF7482" w:rsidP="006C4967">
      <w:pPr>
        <w:spacing w:after="0"/>
      </w:pPr>
    </w:p>
    <w:p w14:paraId="0B194C7C" w14:textId="0E2B2E8C" w:rsidR="00FF7482" w:rsidRDefault="00FF7482" w:rsidP="00114754">
      <w:pPr>
        <w:pStyle w:val="LawReview-StandardBodyText"/>
        <w:spacing w:after="0" w:line="259" w:lineRule="auto"/>
        <w:ind w:firstLine="0"/>
      </w:pPr>
      <w:r>
        <w:t xml:space="preserve">Workers’ compensation attorneys’ fees are available by statute. During the contested case phase of a workers’ compensation case, the Act provides that, </w:t>
      </w:r>
    </w:p>
    <w:p w14:paraId="03989C8E" w14:textId="10BA9ED3" w:rsidR="00FF7482" w:rsidRDefault="00FF7482" w:rsidP="006C4967">
      <w:pPr>
        <w:pStyle w:val="LawReview-StandardBodyText"/>
        <w:spacing w:after="0" w:line="259" w:lineRule="auto"/>
      </w:pPr>
    </w:p>
    <w:p w14:paraId="626BB0B5" w14:textId="6446C46C" w:rsidR="00FF7482" w:rsidRDefault="00FF7482" w:rsidP="006C4967">
      <w:pPr>
        <w:pStyle w:val="LawReview-StandardBodyText"/>
        <w:spacing w:after="0" w:line="259" w:lineRule="auto"/>
        <w:ind w:left="720" w:right="720" w:firstLine="0"/>
      </w:pPr>
      <w:r w:rsidRPr="00C267A3">
        <w:t xml:space="preserve">Upon request, the hearing examiner </w:t>
      </w:r>
      <w:r w:rsidRPr="00C267A3">
        <w:rPr>
          <w:b/>
          <w:bCs/>
        </w:rPr>
        <w:t>may</w:t>
      </w:r>
      <w:r w:rsidRPr="00C267A3">
        <w:t xml:space="preserve"> </w:t>
      </w:r>
      <w:r w:rsidRPr="00C267A3">
        <w:rPr>
          <w:b/>
          <w:bCs/>
        </w:rPr>
        <w:t>appoint an attorney</w:t>
      </w:r>
      <w:r w:rsidRPr="00C267A3">
        <w:t xml:space="preserve"> to represent the employee or claimants and </w:t>
      </w:r>
      <w:r w:rsidRPr="00C267A3">
        <w:rPr>
          <w:b/>
          <w:bCs/>
        </w:rPr>
        <w:t>may allow the appointed attorney a reasonable fee for his services at the conclusion of the proceeding</w:t>
      </w:r>
      <w:r w:rsidRPr="00C267A3">
        <w:t xml:space="preserve">. An appointed attorney shall be paid according to the order of the hearing examiner either from </w:t>
      </w:r>
      <w:bookmarkStart w:id="1224" w:name="_Hlk12795046"/>
      <w:r w:rsidRPr="00C267A3">
        <w:t>the worker's compensation account, from amounts awarded to the employee or claimants or from the employer</w:t>
      </w:r>
      <w:bookmarkEnd w:id="1224"/>
      <w:r w:rsidRPr="00C267A3">
        <w:t xml:space="preserve">. </w:t>
      </w:r>
      <w:r w:rsidRPr="00C267A3">
        <w:rPr>
          <w:b/>
          <w:bCs/>
        </w:rPr>
        <w:t xml:space="preserve">In any contested case where the issue is the compensability of an injury, a prevailing employer's attorney </w:t>
      </w:r>
      <w:r w:rsidRPr="00C267A3">
        <w:rPr>
          <w:b/>
          <w:bCs/>
        </w:rPr>
        <w:lastRenderedPageBreak/>
        <w:t>fees shall also be paid according to the order of the hearing examiner from the worker's compensation account, not to affect the employer's experience rating</w:t>
      </w:r>
      <w:r w:rsidRPr="00C267A3">
        <w:t xml:space="preserve">. </w:t>
      </w:r>
      <w:r w:rsidRPr="00C267A3">
        <w:rPr>
          <w:b/>
          <w:bCs/>
        </w:rPr>
        <w:t>An award of attorney's fees shall be for a reasonable number of hours and shall not exceed the benefits at issue in the contested case hearing</w:t>
      </w:r>
      <w:r w:rsidRPr="00C267A3">
        <w:t xml:space="preserve">. In all other cases </w:t>
      </w:r>
      <w:r w:rsidRPr="00C267A3">
        <w:rPr>
          <w:b/>
          <w:bCs/>
        </w:rPr>
        <w:t>if the employer or division prevails, the attorney's fees allowed an employee's attorney shall not affect the employer's experience rating</w:t>
      </w:r>
      <w:r w:rsidRPr="00C267A3">
        <w:t xml:space="preserve">. </w:t>
      </w:r>
      <w:r w:rsidRPr="00C267A3">
        <w:rPr>
          <w:b/>
          <w:bCs/>
          <w:u w:val="single"/>
        </w:rPr>
        <w:t>Attorney fees allowed shall be at an hourly rate established by the director of the office of administrative hearings and any application for attorney's fees shall be supported by a verified itemization of all services provided</w:t>
      </w:r>
      <w:r w:rsidRPr="00C267A3">
        <w:t xml:space="preserve">. </w:t>
      </w:r>
      <w:r w:rsidRPr="00C267A3">
        <w:rPr>
          <w:b/>
          <w:bCs/>
        </w:rPr>
        <w:t>No fee shall be awarded in any case in which the hearing examiner determines the claim or objection to be frivolous and without legal or factual justification</w:t>
      </w:r>
      <w:r w:rsidRPr="00C267A3">
        <w:t>. If the division or a hearing examiner determines that an injured worker's failure to meet any procedural deadline in this act is through the fault of the worker's attorney, the division shall reconsider its determination or a hearing examiner shall order the contested case returned to the division for redetermination of the contested issues</w:t>
      </w:r>
      <w:r>
        <w:t>.</w:t>
      </w:r>
      <w:r w:rsidRPr="00910BB7">
        <w:rPr>
          <w:vertAlign w:val="superscript"/>
        </w:rPr>
        <w:footnoteReference w:id="890"/>
      </w:r>
    </w:p>
    <w:p w14:paraId="7474D8FC" w14:textId="41B538D4" w:rsidR="00FF7482" w:rsidRDefault="00FF7482" w:rsidP="006C4967">
      <w:pPr>
        <w:pStyle w:val="LawReview-StandardBodyText"/>
        <w:spacing w:after="0" w:line="259" w:lineRule="auto"/>
        <w:ind w:left="720" w:right="720" w:firstLine="0"/>
      </w:pPr>
    </w:p>
    <w:p w14:paraId="55E48310" w14:textId="1B926CA7" w:rsidR="00FF7482" w:rsidRDefault="00FF7482" w:rsidP="00E30123">
      <w:pPr>
        <w:pStyle w:val="LawReview-StandardBodyText"/>
        <w:spacing w:after="0" w:line="259" w:lineRule="auto"/>
        <w:ind w:firstLine="0"/>
      </w:pPr>
      <w:r>
        <w:t>Some highlights emerge from this statutory language. The first is that the Wyoming attorneys’ fees structure departs from the standard “American Rule” civil litigation scheme in which each party bears its own costs of litigation.</w:t>
      </w:r>
      <w:r w:rsidRPr="00910BB7">
        <w:rPr>
          <w:vertAlign w:val="superscript"/>
        </w:rPr>
        <w:footnoteReference w:id="891"/>
      </w:r>
      <w:r>
        <w:t xml:space="preserve">  Workers’ compensation statutes display wide variability with respect to attorney compensation. As the </w:t>
      </w:r>
      <w:r w:rsidRPr="00B33A4A">
        <w:rPr>
          <w:i/>
          <w:iCs/>
        </w:rPr>
        <w:t xml:space="preserve">Larson’s </w:t>
      </w:r>
      <w:r w:rsidR="000A1816">
        <w:t>t</w:t>
      </w:r>
      <w:r w:rsidRPr="000A1816">
        <w:t xml:space="preserve">reatise </w:t>
      </w:r>
      <w:r>
        <w:t>explains,</w:t>
      </w:r>
    </w:p>
    <w:p w14:paraId="1761DCDE" w14:textId="77777777" w:rsidR="00FF7482" w:rsidRDefault="00FF7482" w:rsidP="006C4967">
      <w:pPr>
        <w:pStyle w:val="LawReview-StandardBodyText"/>
        <w:spacing w:after="0" w:line="259" w:lineRule="auto"/>
      </w:pPr>
    </w:p>
    <w:p w14:paraId="6051EB77" w14:textId="2B946BE5" w:rsidR="00FF7482" w:rsidRDefault="00FF7482" w:rsidP="000A1816">
      <w:pPr>
        <w:pStyle w:val="LawReview-StandardBodyText"/>
        <w:spacing w:after="0" w:line="259" w:lineRule="auto"/>
        <w:ind w:left="720" w:right="720" w:firstLine="0"/>
      </w:pPr>
      <w:r w:rsidRPr="00B33A4A">
        <w:t>Most states have statutes which fix maximum fees, sometimes accompanied by general commission supervision of fees and sometimes not.</w:t>
      </w:r>
      <w:r>
        <w:t xml:space="preserve"> </w:t>
      </w:r>
      <w:r w:rsidRPr="00B33A4A">
        <w:t>These, too, vary markedly. No two are quite alike. They range from 15 percent to 30 percent with no dollar maximum.</w:t>
      </w:r>
      <w:r>
        <w:t xml:space="preserve"> </w:t>
      </w:r>
      <w:r w:rsidRPr="00B33A4A">
        <w:t>Several allow 15 to 30 percent on the first $300, $500 or $1,000, then a smaller percent, such as 10 percent, on the excess.</w:t>
      </w:r>
      <w:r>
        <w:t xml:space="preserve"> </w:t>
      </w:r>
      <w:r w:rsidRPr="00B33A4A">
        <w:t>Alaska is unique in that its statute</w:t>
      </w:r>
      <w:r>
        <w:t xml:space="preserve"> </w:t>
      </w:r>
      <w:r w:rsidRPr="00B33A4A">
        <w:t>sets a minimum fee, but no maximum.</w:t>
      </w:r>
      <w:r w:rsidRPr="00910BB7">
        <w:rPr>
          <w:vertAlign w:val="superscript"/>
        </w:rPr>
        <w:footnoteReference w:id="892"/>
      </w:r>
    </w:p>
    <w:p w14:paraId="54EFEEE8" w14:textId="77777777" w:rsidR="00FF7482" w:rsidRDefault="00FF7482" w:rsidP="006C4967">
      <w:pPr>
        <w:pStyle w:val="LawReview-StandardBodyText"/>
        <w:spacing w:after="0" w:line="259" w:lineRule="auto"/>
      </w:pPr>
    </w:p>
    <w:p w14:paraId="37C6222F" w14:textId="0DF396E1" w:rsidR="00FF7482" w:rsidRDefault="00FF7482" w:rsidP="000A1816">
      <w:pPr>
        <w:pStyle w:val="LawReview-StandardBodyText"/>
        <w:spacing w:after="0" w:line="259" w:lineRule="auto"/>
        <w:ind w:firstLine="0"/>
      </w:pPr>
      <w:r>
        <w:t>Some additional aspects of the Wyoming statute pertaining to attorneys’ fees warrant highlighting.</w:t>
      </w:r>
    </w:p>
    <w:p w14:paraId="65217AE5" w14:textId="50748772" w:rsidR="00FF7482" w:rsidRDefault="00FF7482" w:rsidP="006C4967">
      <w:pPr>
        <w:pStyle w:val="LawReview-StandardBodyText"/>
        <w:spacing w:after="0" w:line="259" w:lineRule="auto"/>
      </w:pPr>
    </w:p>
    <w:p w14:paraId="217CFB9B" w14:textId="645AE55A" w:rsidR="00FF7482" w:rsidRDefault="00FF7482" w:rsidP="003E501D">
      <w:pPr>
        <w:pStyle w:val="LawReview-StandardBodyText"/>
        <w:numPr>
          <w:ilvl w:val="0"/>
          <w:numId w:val="13"/>
        </w:numPr>
        <w:spacing w:after="160" w:line="259" w:lineRule="auto"/>
        <w:ind w:left="1080" w:right="720"/>
      </w:pPr>
      <w:r>
        <w:t xml:space="preserve">A party must </w:t>
      </w:r>
      <w:r w:rsidRPr="001C0210">
        <w:rPr>
          <w:b/>
          <w:bCs/>
        </w:rPr>
        <w:t>request</w:t>
      </w:r>
      <w:r>
        <w:t xml:space="preserve"> an attorney before one will be appointed</w:t>
      </w:r>
      <w:r w:rsidR="003E501D">
        <w:t>.</w:t>
      </w:r>
    </w:p>
    <w:p w14:paraId="46B4EC08" w14:textId="0E1DA44F" w:rsidR="00FF7482" w:rsidRDefault="00FF7482" w:rsidP="003E501D">
      <w:pPr>
        <w:pStyle w:val="LawReview-StandardBodyText"/>
        <w:numPr>
          <w:ilvl w:val="0"/>
          <w:numId w:val="13"/>
        </w:numPr>
        <w:spacing w:after="160" w:line="259" w:lineRule="auto"/>
        <w:ind w:left="1080" w:right="720"/>
      </w:pPr>
      <w:bookmarkStart w:id="1229" w:name="_Hlk12794964"/>
      <w:bookmarkStart w:id="1230" w:name="_Hlk12798177"/>
      <w:r>
        <w:lastRenderedPageBreak/>
        <w:t xml:space="preserve">A hearing examiner </w:t>
      </w:r>
      <w:r w:rsidRPr="00052CF8">
        <w:rPr>
          <w:b/>
          <w:bCs/>
        </w:rPr>
        <w:t>may appoint counsel</w:t>
      </w:r>
      <w:r>
        <w:t>, but is not technically required by the statute to do so</w:t>
      </w:r>
      <w:r w:rsidR="003E501D">
        <w:t>.</w:t>
      </w:r>
    </w:p>
    <w:bookmarkEnd w:id="1229"/>
    <w:p w14:paraId="4F5333A6" w14:textId="223532C8" w:rsidR="00FF7482" w:rsidRDefault="00FF7482" w:rsidP="003E501D">
      <w:pPr>
        <w:pStyle w:val="LawReview-StandardBodyText"/>
        <w:numPr>
          <w:ilvl w:val="0"/>
          <w:numId w:val="13"/>
        </w:numPr>
        <w:spacing w:after="160" w:line="259" w:lineRule="auto"/>
        <w:ind w:left="1080" w:right="720"/>
      </w:pPr>
      <w:r>
        <w:t xml:space="preserve">A hearing examiner </w:t>
      </w:r>
      <w:r w:rsidRPr="00052CF8">
        <w:rPr>
          <w:b/>
          <w:bCs/>
        </w:rPr>
        <w:t>may award a reasonable attorney’s fee</w:t>
      </w:r>
      <w:r>
        <w:t>, but is not technically required by the statute to do so</w:t>
      </w:r>
      <w:r w:rsidR="003E501D">
        <w:t>.</w:t>
      </w:r>
    </w:p>
    <w:p w14:paraId="62807BAF" w14:textId="6DE9F274" w:rsidR="00FF7482" w:rsidRPr="00052CF8" w:rsidRDefault="00FF7482" w:rsidP="003E501D">
      <w:pPr>
        <w:pStyle w:val="LawReview-StandardBodyText"/>
        <w:numPr>
          <w:ilvl w:val="0"/>
          <w:numId w:val="13"/>
        </w:numPr>
        <w:spacing w:after="160" w:line="259" w:lineRule="auto"/>
        <w:ind w:left="1080" w:right="720"/>
      </w:pPr>
      <w:r>
        <w:t xml:space="preserve">An appointed attorney </w:t>
      </w:r>
      <w:r w:rsidRPr="00052CF8">
        <w:rPr>
          <w:b/>
          <w:bCs/>
        </w:rPr>
        <w:t>is paid from the worker's compensation account, from amounts awarded to the employee or claimants or “from” the employer</w:t>
      </w:r>
      <w:r w:rsidR="003E501D">
        <w:rPr>
          <w:b/>
          <w:bCs/>
        </w:rPr>
        <w:t>.</w:t>
      </w:r>
    </w:p>
    <w:p w14:paraId="6575CC4D" w14:textId="470F8670" w:rsidR="00FF7482" w:rsidRDefault="00FF7482" w:rsidP="003E501D">
      <w:pPr>
        <w:pStyle w:val="LawReview-StandardBodyText"/>
        <w:numPr>
          <w:ilvl w:val="0"/>
          <w:numId w:val="13"/>
        </w:numPr>
        <w:spacing w:after="160" w:line="259" w:lineRule="auto"/>
        <w:ind w:left="1080" w:right="720"/>
      </w:pPr>
      <w:r>
        <w:t>When the employer prevails in a contested case involving compensability of an injury, the hearing examiner may award the employer an attorney’s fee, provided the hours expended on the matter are deemed reasonable.</w:t>
      </w:r>
    </w:p>
    <w:p w14:paraId="14B49380" w14:textId="43073723" w:rsidR="00FF7482" w:rsidRPr="00052CF8" w:rsidRDefault="00FF7482" w:rsidP="003E501D">
      <w:pPr>
        <w:pStyle w:val="LawReview-StandardBodyText"/>
        <w:numPr>
          <w:ilvl w:val="0"/>
          <w:numId w:val="13"/>
        </w:numPr>
        <w:spacing w:after="160" w:line="259" w:lineRule="auto"/>
        <w:ind w:left="1080" w:right="720"/>
      </w:pPr>
      <w:r>
        <w:rPr>
          <w:b/>
          <w:bCs/>
        </w:rPr>
        <w:t>The attorney’s fee awarded to employer’s counsel “</w:t>
      </w:r>
      <w:r w:rsidRPr="00C267A3">
        <w:rPr>
          <w:b/>
          <w:bCs/>
        </w:rPr>
        <w:t>shall not exceed the benefits at issue in the contested case hearing</w:t>
      </w:r>
      <w:r w:rsidR="003E501D">
        <w:rPr>
          <w:b/>
          <w:bCs/>
        </w:rPr>
        <w:t>.</w:t>
      </w:r>
      <w:r>
        <w:rPr>
          <w:b/>
          <w:bCs/>
        </w:rPr>
        <w:t>”</w:t>
      </w:r>
    </w:p>
    <w:p w14:paraId="5AE2CDF7" w14:textId="06DB223E" w:rsidR="00FF7482" w:rsidRPr="00052CF8" w:rsidRDefault="00FF7482" w:rsidP="003E501D">
      <w:pPr>
        <w:pStyle w:val="LawReview-StandardBodyText"/>
        <w:numPr>
          <w:ilvl w:val="0"/>
          <w:numId w:val="13"/>
        </w:numPr>
        <w:spacing w:after="160" w:line="259" w:lineRule="auto"/>
        <w:ind w:left="1080" w:right="720"/>
      </w:pPr>
      <w:r w:rsidRPr="00C267A3">
        <w:rPr>
          <w:b/>
          <w:bCs/>
          <w:u w:val="single"/>
        </w:rPr>
        <w:t>Attorney fees allowed shall be at an hourly rate established by the director of the office of administrative hearings and any application for attorney's fees shall be supported by a verified itemization of all services provided</w:t>
      </w:r>
      <w:r w:rsidR="003E501D" w:rsidRPr="003E501D">
        <w:t>.</w:t>
      </w:r>
    </w:p>
    <w:p w14:paraId="481CCB15" w14:textId="506F6A01" w:rsidR="00FF7482" w:rsidRDefault="00FF7482" w:rsidP="003E501D">
      <w:pPr>
        <w:pStyle w:val="LawReview-StandardBodyText"/>
        <w:numPr>
          <w:ilvl w:val="0"/>
          <w:numId w:val="13"/>
        </w:numPr>
        <w:spacing w:after="160" w:line="259" w:lineRule="auto"/>
        <w:ind w:left="1080" w:right="720"/>
      </w:pPr>
      <w:r>
        <w:rPr>
          <w:b/>
          <w:bCs/>
          <w:u w:val="single"/>
        </w:rPr>
        <w:t>If the hearing examiner determines</w:t>
      </w:r>
      <w:r w:rsidRPr="00052CF8">
        <w:t xml:space="preserve"> “</w:t>
      </w:r>
      <w:r w:rsidRPr="00C267A3">
        <w:rPr>
          <w:b/>
          <w:bCs/>
        </w:rPr>
        <w:t>the claim or objection to be frivolous and without legal or factual justification</w:t>
      </w:r>
      <w:r w:rsidRPr="003E501D">
        <w:rPr>
          <w:b/>
          <w:bCs/>
        </w:rPr>
        <w:t>”</w:t>
      </w:r>
      <w:r>
        <w:t xml:space="preserve"> the examiner is mandated not to award an attorney’s fee.</w:t>
      </w:r>
    </w:p>
    <w:p w14:paraId="4D0A968B" w14:textId="0E4E63E3" w:rsidR="00FF7482" w:rsidRDefault="00FF7482" w:rsidP="003E501D">
      <w:pPr>
        <w:pStyle w:val="LawReview-StandardBodyText"/>
        <w:numPr>
          <w:ilvl w:val="0"/>
          <w:numId w:val="13"/>
        </w:numPr>
        <w:spacing w:after="0" w:line="259" w:lineRule="auto"/>
        <w:ind w:left="1080" w:right="720"/>
      </w:pPr>
      <w:r>
        <w:rPr>
          <w:b/>
          <w:bCs/>
          <w:u w:val="single"/>
        </w:rPr>
        <w:t>When the employer or the division prevail, litigation costs do not affect the employer’s experience rating</w:t>
      </w:r>
      <w:r w:rsidRPr="003E501D">
        <w:rPr>
          <w:u w:val="single"/>
        </w:rPr>
        <w:t>.</w:t>
      </w:r>
      <w:r w:rsidRPr="003E501D">
        <w:t xml:space="preserve"> </w:t>
      </w:r>
      <w:r>
        <w:t>(In other words, if the employer “wins” the claim, its “insurance” premium should not go up because it is not “riskier” than it was before the litigation</w:t>
      </w:r>
      <w:r w:rsidR="003E501D">
        <w:t>.</w:t>
      </w:r>
      <w:r>
        <w:t>)</w:t>
      </w:r>
      <w:bookmarkEnd w:id="1230"/>
    </w:p>
    <w:p w14:paraId="705AB57F" w14:textId="77777777" w:rsidR="003E501D" w:rsidRPr="003E501D" w:rsidRDefault="003E501D" w:rsidP="003E501D">
      <w:pPr>
        <w:pStyle w:val="LawReview-StandardBodyText"/>
        <w:spacing w:after="0" w:line="259" w:lineRule="auto"/>
        <w:ind w:left="1080" w:right="720" w:firstLine="0"/>
      </w:pPr>
    </w:p>
    <w:p w14:paraId="39B1490D" w14:textId="3A355816" w:rsidR="00FF7482" w:rsidRDefault="00FF7482" w:rsidP="003E501D">
      <w:pPr>
        <w:pStyle w:val="LawReview-StandardBodyText"/>
        <w:spacing w:after="0" w:line="259" w:lineRule="auto"/>
        <w:ind w:firstLine="0"/>
      </w:pPr>
      <w:r>
        <w:t>A very unique aspect of the Wyoming system is that the Wyoming Attorney General is, in effect, representing employers in many cases. In a private workers’ compensation environment, a private insurance carrier would retain private insurance counsel to assess whether cases should be litigated. If the cost of litigating the case and the likelihood of success on the merits counsel against litigation, the parties settle. It is hard to evaluate the dynamic when a state is paying for its lawyers from a workers’ compensation account, as is the case in Wyoming.</w:t>
      </w:r>
    </w:p>
    <w:p w14:paraId="2B811D88" w14:textId="1356C692" w:rsidR="00FF7482" w:rsidRDefault="00FF7482" w:rsidP="006C4967">
      <w:pPr>
        <w:pStyle w:val="LawReview-StandardBodyText"/>
        <w:spacing w:after="0" w:line="259" w:lineRule="auto"/>
      </w:pPr>
    </w:p>
    <w:p w14:paraId="5BD0BD11" w14:textId="3766E15A" w:rsidR="00FF7482" w:rsidRDefault="00FF7482" w:rsidP="003E501D">
      <w:pPr>
        <w:pStyle w:val="LawReview-StandardBodyText"/>
        <w:spacing w:after="0" w:line="259" w:lineRule="auto"/>
        <w:ind w:firstLine="0"/>
      </w:pPr>
      <w:r w:rsidRPr="00807BE9">
        <w:rPr>
          <w:b/>
          <w:bCs/>
          <w:u w:val="single"/>
        </w:rPr>
        <w:t>The Office of Administrative Hearings has promulgated a rule</w:t>
      </w:r>
      <w:r w:rsidRPr="00910BB7">
        <w:rPr>
          <w:vertAlign w:val="superscript"/>
        </w:rPr>
        <w:footnoteReference w:id="893"/>
      </w:r>
      <w:r>
        <w:t xml:space="preserve"> specific to workers’ compensation cases detailing payment of attorneys’ fees at the </w:t>
      </w:r>
      <w:r>
        <w:lastRenderedPageBreak/>
        <w:t>administrative/contested case phase of a proceeding. In its current version the essentials of the rule provide:</w:t>
      </w:r>
    </w:p>
    <w:p w14:paraId="6E92D9FC" w14:textId="77777777" w:rsidR="00FF7482" w:rsidRDefault="00FF7482" w:rsidP="006C4967">
      <w:pPr>
        <w:pStyle w:val="LawReview-StandardBodyText"/>
        <w:spacing w:after="0" w:line="259" w:lineRule="auto"/>
      </w:pPr>
    </w:p>
    <w:p w14:paraId="379FB946" w14:textId="16624F80" w:rsidR="00FF7482" w:rsidRDefault="00FF7482" w:rsidP="0084320C">
      <w:pPr>
        <w:pStyle w:val="LawReview-StandardBodyText"/>
        <w:numPr>
          <w:ilvl w:val="0"/>
          <w:numId w:val="17"/>
        </w:numPr>
        <w:spacing w:after="160" w:line="259" w:lineRule="auto"/>
        <w:ind w:right="720"/>
      </w:pPr>
      <w:r>
        <w:t>The hearing examiner may appoint an attorney to represent an employee or claimant.</w:t>
      </w:r>
    </w:p>
    <w:p w14:paraId="7A0386C9" w14:textId="17A8C702" w:rsidR="0084320C" w:rsidRPr="0084320C" w:rsidRDefault="00FF7482" w:rsidP="0084320C">
      <w:pPr>
        <w:pStyle w:val="LawReview-StandardBodyText"/>
        <w:numPr>
          <w:ilvl w:val="0"/>
          <w:numId w:val="17"/>
        </w:numPr>
        <w:spacing w:after="160" w:line="259" w:lineRule="auto"/>
        <w:ind w:right="720"/>
      </w:pPr>
      <w:r>
        <w:t>Upon entry of a final order, an appointed attorney may request payment of reasonable fees and costs. All requests for fees and costs shall be verified and shall detail time spent and work performed. Permitted fees include:</w:t>
      </w:r>
    </w:p>
    <w:p w14:paraId="2C844656" w14:textId="6BE336D6" w:rsidR="0084320C" w:rsidRDefault="00FF7482" w:rsidP="0084320C">
      <w:pPr>
        <w:pStyle w:val="LawReview-StandardBodyText"/>
        <w:numPr>
          <w:ilvl w:val="1"/>
          <w:numId w:val="17"/>
        </w:numPr>
        <w:spacing w:after="160" w:line="259" w:lineRule="auto"/>
        <w:ind w:right="720"/>
      </w:pPr>
      <w:r w:rsidRPr="0084320C">
        <w:rPr>
          <w:b/>
          <w:bCs/>
        </w:rPr>
        <w:t>Attorney’s fees</w:t>
      </w:r>
      <w:r>
        <w:t xml:space="preserve"> billed at an hourly rate of </w:t>
      </w:r>
      <w:r w:rsidRPr="0084320C">
        <w:rPr>
          <w:b/>
          <w:bCs/>
        </w:rPr>
        <w:t>$150</w:t>
      </w:r>
      <w:r w:rsidR="0050014C" w:rsidRPr="0050014C">
        <w:t>;</w:t>
      </w:r>
    </w:p>
    <w:p w14:paraId="429624DD" w14:textId="3E64E49C" w:rsidR="0084320C" w:rsidRDefault="00FF7482" w:rsidP="0084320C">
      <w:pPr>
        <w:pStyle w:val="LawReview-StandardBodyText"/>
        <w:numPr>
          <w:ilvl w:val="1"/>
          <w:numId w:val="17"/>
        </w:numPr>
        <w:spacing w:after="160" w:line="259" w:lineRule="auto"/>
        <w:ind w:right="720"/>
      </w:pPr>
      <w:r w:rsidRPr="0084320C">
        <w:rPr>
          <w:b/>
          <w:bCs/>
        </w:rPr>
        <w:t>Paralegal and legal assistant fees</w:t>
      </w:r>
      <w:r>
        <w:t xml:space="preserve"> billed at an hourly rate of </w:t>
      </w:r>
      <w:r w:rsidRPr="0084320C">
        <w:rPr>
          <w:b/>
          <w:bCs/>
        </w:rPr>
        <w:t>$40</w:t>
      </w:r>
      <w:r>
        <w:t xml:space="preserve"> (</w:t>
      </w:r>
      <w:r w:rsidR="0050014C">
        <w:t>r</w:t>
      </w:r>
      <w:r>
        <w:t>eimbursable paralegal and legal assistant fees are those tasks requiring legal skill and knowledge. Clerical and secretarial tasks are not reimbursable and shall not be billed at a paralegal or legal assistant rate);</w:t>
      </w:r>
    </w:p>
    <w:p w14:paraId="0B1E22CD" w14:textId="77777777" w:rsidR="0084320C" w:rsidRDefault="00FF7482" w:rsidP="0084320C">
      <w:pPr>
        <w:pStyle w:val="LawReview-StandardBodyText"/>
        <w:numPr>
          <w:ilvl w:val="1"/>
          <w:numId w:val="17"/>
        </w:numPr>
        <w:spacing w:after="160" w:line="259" w:lineRule="auto"/>
        <w:ind w:right="720"/>
      </w:pPr>
      <w:r w:rsidRPr="0084320C">
        <w:rPr>
          <w:b/>
          <w:bCs/>
        </w:rPr>
        <w:t>Costs</w:t>
      </w:r>
      <w:r>
        <w:t xml:space="preserve">: appointed attorneys may request </w:t>
      </w:r>
      <w:r w:rsidRPr="0084320C">
        <w:rPr>
          <w:b/>
          <w:bCs/>
        </w:rPr>
        <w:t>reimbursement of actual expenses reasonably incurred, with respective invoices/bills attached</w:t>
      </w:r>
      <w:r>
        <w:t xml:space="preserve"> (e.g</w:t>
      </w:r>
      <w:r w:rsidRPr="0050014C">
        <w:t>.</w:t>
      </w:r>
      <w:r w:rsidRPr="0084320C">
        <w:rPr>
          <w:b/>
          <w:bCs/>
        </w:rPr>
        <w:t xml:space="preserve"> </w:t>
      </w:r>
      <w:r w:rsidRPr="0084320C">
        <w:rPr>
          <w:b/>
          <w:bCs/>
          <w:i/>
          <w:iCs/>
        </w:rPr>
        <w:t>expert witness fees</w:t>
      </w:r>
      <w:r>
        <w:t xml:space="preserve">, </w:t>
      </w:r>
      <w:r w:rsidRPr="0084320C">
        <w:rPr>
          <w:i/>
          <w:iCs/>
        </w:rPr>
        <w:t>costs to obtain pertinent medical records</w:t>
      </w:r>
      <w:r>
        <w:t xml:space="preserve">, reasonable and customary </w:t>
      </w:r>
      <w:r w:rsidRPr="0084320C">
        <w:rPr>
          <w:i/>
          <w:iCs/>
        </w:rPr>
        <w:t>postage costs</w:t>
      </w:r>
      <w:r>
        <w:t xml:space="preserve">, and </w:t>
      </w:r>
      <w:r w:rsidRPr="0084320C">
        <w:rPr>
          <w:i/>
          <w:iCs/>
        </w:rPr>
        <w:t>subpoena costs</w:t>
      </w:r>
      <w:r>
        <w:t>). Copying costs shall be paid at no more than fifteen cents (15¢) per copy. If reasonably incurred, attorney's travel time shall be paid at one-half the hourly rate for attorney's fees; and</w:t>
      </w:r>
    </w:p>
    <w:p w14:paraId="3464D293" w14:textId="06BB956D" w:rsidR="00FF7482" w:rsidRDefault="00FF7482" w:rsidP="0084320C">
      <w:pPr>
        <w:pStyle w:val="LawReview-StandardBodyText"/>
        <w:numPr>
          <w:ilvl w:val="1"/>
          <w:numId w:val="17"/>
        </w:numPr>
        <w:spacing w:after="160" w:line="259" w:lineRule="auto"/>
        <w:ind w:right="720"/>
      </w:pPr>
      <w:r w:rsidRPr="0084320C">
        <w:rPr>
          <w:b/>
          <w:bCs/>
        </w:rPr>
        <w:t>Prevailing employer's attorney fees and costs</w:t>
      </w:r>
      <w:r>
        <w:t xml:space="preserve"> billed at the rates established in this section in any contested case </w:t>
      </w:r>
      <w:r w:rsidRPr="0084320C">
        <w:rPr>
          <w:b/>
          <w:bCs/>
        </w:rPr>
        <w:t>where the issue is the compensability of an injury</w:t>
      </w:r>
      <w:r w:rsidR="0050014C">
        <w:rPr>
          <w:b/>
          <w:bCs/>
        </w:rPr>
        <w:t>.</w:t>
      </w:r>
    </w:p>
    <w:p w14:paraId="40EFB47C" w14:textId="3FA3091E" w:rsidR="00FF7482" w:rsidRDefault="00FF7482" w:rsidP="0084320C">
      <w:pPr>
        <w:pStyle w:val="LawReview-StandardBodyText"/>
        <w:numPr>
          <w:ilvl w:val="0"/>
          <w:numId w:val="17"/>
        </w:numPr>
        <w:spacing w:after="160" w:line="259" w:lineRule="auto"/>
        <w:ind w:left="720" w:right="720"/>
      </w:pPr>
      <w:r>
        <w:t>All requests for fees and costs must be submitted within ninety days of the [contested case] final order</w:t>
      </w:r>
      <w:r w:rsidR="0050014C">
        <w:t>.</w:t>
      </w:r>
      <w:r>
        <w:t xml:space="preserve"> </w:t>
      </w:r>
    </w:p>
    <w:p w14:paraId="32D193C2" w14:textId="47BE84B4" w:rsidR="00FF7482" w:rsidRDefault="00FF7482" w:rsidP="0084320C">
      <w:pPr>
        <w:pStyle w:val="LawReview-StandardBodyText"/>
        <w:numPr>
          <w:ilvl w:val="0"/>
          <w:numId w:val="17"/>
        </w:numPr>
        <w:spacing w:after="160" w:line="259" w:lineRule="auto"/>
        <w:ind w:left="720" w:right="720"/>
      </w:pPr>
      <w:r>
        <w:t>Requests for fees and expenses of appointed attorneys shall include the attorney's certification that the fee statement is true and correct. The request shall additionally indicate the source (i.e., from the workers’ compensation account, from amounts awarded to the employee or claimant, or from the employer) from which the fees and expenses are proposed to be paid. Requests shall be properly served on all parties.</w:t>
      </w:r>
    </w:p>
    <w:p w14:paraId="030C928E" w14:textId="5E597C3D" w:rsidR="00FF7482" w:rsidRDefault="00FF7482" w:rsidP="0050014C">
      <w:pPr>
        <w:pStyle w:val="LawReview-StandardBodyText"/>
        <w:numPr>
          <w:ilvl w:val="0"/>
          <w:numId w:val="17"/>
        </w:numPr>
        <w:spacing w:after="0" w:line="259" w:lineRule="auto"/>
        <w:ind w:left="720" w:right="720"/>
      </w:pPr>
      <w:r>
        <w:t xml:space="preserve">No fee shall be awarded in any case in which the hearing examiner determines the claim to be frivolous or without legal or factual </w:t>
      </w:r>
      <w:r>
        <w:lastRenderedPageBreak/>
        <w:t>justification.</w:t>
      </w:r>
      <w:r w:rsidR="0050014C">
        <w:br/>
      </w:r>
    </w:p>
    <w:p w14:paraId="7882D5DA" w14:textId="77777777" w:rsidR="00FF7482" w:rsidRDefault="00FF7482" w:rsidP="0050014C">
      <w:pPr>
        <w:pStyle w:val="LawReview-StandardBodyText"/>
        <w:spacing w:after="0" w:line="259" w:lineRule="auto"/>
        <w:ind w:firstLine="0"/>
      </w:pPr>
      <w:r w:rsidRPr="00807BE9">
        <w:rPr>
          <w:b/>
          <w:bCs/>
          <w:u w:val="single"/>
        </w:rPr>
        <w:t>Attorneys’ fees are also available when a party is appealing a decision of the Office of Administrative Hearings or the Medical Commission to the courts</w:t>
      </w:r>
      <w:r>
        <w:t xml:space="preserve">. During the </w:t>
      </w:r>
      <w:r w:rsidRPr="007F0AF4">
        <w:rPr>
          <w:i/>
          <w:iCs/>
        </w:rPr>
        <w:t>appellate</w:t>
      </w:r>
      <w:r>
        <w:t xml:space="preserve"> phase of a workers’ compensation case, the Act provides that,</w:t>
      </w:r>
    </w:p>
    <w:p w14:paraId="6309B70F" w14:textId="06C0A30E" w:rsidR="00FF7482" w:rsidRDefault="00FF7482" w:rsidP="006C4967">
      <w:pPr>
        <w:pStyle w:val="LawReview-StandardBodyText"/>
        <w:spacing w:after="0" w:line="259" w:lineRule="auto"/>
      </w:pPr>
    </w:p>
    <w:p w14:paraId="273BF314" w14:textId="1DD5D944" w:rsidR="00FF7482" w:rsidRDefault="00FF7482" w:rsidP="0050014C">
      <w:pPr>
        <w:pStyle w:val="LawReview-StandardBodyText"/>
        <w:spacing w:after="0" w:line="259" w:lineRule="auto"/>
        <w:ind w:left="720" w:right="720" w:firstLine="0"/>
      </w:pPr>
      <w:r w:rsidRPr="007F0AF4">
        <w:t xml:space="preserve">The district court </w:t>
      </w:r>
      <w:r w:rsidRPr="003264D4">
        <w:rPr>
          <w:b/>
          <w:bCs/>
        </w:rPr>
        <w:t>may</w:t>
      </w:r>
      <w:r w:rsidRPr="007F0AF4">
        <w:t xml:space="preserve"> appoint an attorney to represent the employee </w:t>
      </w:r>
      <w:r w:rsidRPr="003264D4">
        <w:rPr>
          <w:b/>
          <w:bCs/>
          <w:u w:val="single"/>
        </w:rPr>
        <w:t>during proceedings in the district court and appeal to the supreme court</w:t>
      </w:r>
      <w:r w:rsidRPr="007F0AF4">
        <w:t xml:space="preserve">. The </w:t>
      </w:r>
      <w:r w:rsidRPr="003264D4">
        <w:rPr>
          <w:b/>
          <w:bCs/>
          <w:u w:val="single"/>
        </w:rPr>
        <w:t>district court</w:t>
      </w:r>
      <w:r w:rsidRPr="007F0AF4">
        <w:t xml:space="preserve"> </w:t>
      </w:r>
      <w:r w:rsidRPr="003264D4">
        <w:rPr>
          <w:b/>
          <w:bCs/>
        </w:rPr>
        <w:t xml:space="preserve">may allow the attorney a </w:t>
      </w:r>
      <w:r w:rsidRPr="003264D4">
        <w:rPr>
          <w:b/>
          <w:bCs/>
          <w:u w:val="single"/>
        </w:rPr>
        <w:t>reasonable fee</w:t>
      </w:r>
      <w:r w:rsidRPr="003264D4">
        <w:rPr>
          <w:b/>
          <w:bCs/>
        </w:rPr>
        <w:t xml:space="preserve"> for his services at the conclusion of the proceedings in district court</w:t>
      </w:r>
      <w:r w:rsidRPr="007F0AF4">
        <w:t xml:space="preserve"> and </w:t>
      </w:r>
      <w:r w:rsidRPr="003264D4">
        <w:rPr>
          <w:b/>
          <w:bCs/>
        </w:rPr>
        <w:t xml:space="preserve">the </w:t>
      </w:r>
      <w:r w:rsidRPr="003264D4">
        <w:rPr>
          <w:b/>
          <w:bCs/>
          <w:u w:val="single"/>
        </w:rPr>
        <w:t>supreme court</w:t>
      </w:r>
      <w:r w:rsidRPr="003264D4">
        <w:rPr>
          <w:b/>
          <w:bCs/>
        </w:rPr>
        <w:t xml:space="preserve"> may allow for </w:t>
      </w:r>
      <w:r w:rsidRPr="003264D4">
        <w:rPr>
          <w:b/>
          <w:bCs/>
          <w:u w:val="single"/>
        </w:rPr>
        <w:t>reasonable fees</w:t>
      </w:r>
      <w:r w:rsidRPr="003264D4">
        <w:rPr>
          <w:b/>
          <w:bCs/>
        </w:rPr>
        <w:t xml:space="preserve"> for services at the conclusion of the proceedings in the supreme court</w:t>
      </w:r>
      <w:r w:rsidRPr="007F0AF4">
        <w:t xml:space="preserve">. In any appeal where the issue is the compensability of an injury, </w:t>
      </w:r>
      <w:r w:rsidRPr="003264D4">
        <w:rPr>
          <w:b/>
          <w:bCs/>
        </w:rPr>
        <w:t xml:space="preserve">a prevailing employer’s </w:t>
      </w:r>
      <w:r w:rsidRPr="007F0AF4">
        <w:t xml:space="preserve">attorney fees shall also be paid according to the order of the district court or supreme court </w:t>
      </w:r>
      <w:r w:rsidRPr="003264D4">
        <w:rPr>
          <w:b/>
          <w:bCs/>
        </w:rPr>
        <w:t>from the worker's compensation account</w:t>
      </w:r>
      <w:r w:rsidRPr="007F0AF4">
        <w:t>, not to affect the employer's experience rating. An award of attorney</w:t>
      </w:r>
      <w:r>
        <w:t>’</w:t>
      </w:r>
      <w:r w:rsidRPr="007F0AF4">
        <w:t>s fees shall be for a reasonable number of hours and shall not exceed the benefits at issue in the appeal. In all other cases, if the employer or division prevails in the district court or supreme court, as the case may be, the fees allowed an employee</w:t>
      </w:r>
      <w:r>
        <w:t>’</w:t>
      </w:r>
      <w:r w:rsidRPr="007F0AF4">
        <w:t>s attorney shall not affect the employer's experience rating.</w:t>
      </w:r>
    </w:p>
    <w:p w14:paraId="2FFCB7E8" w14:textId="0D280D96" w:rsidR="00FF7482" w:rsidRDefault="00FF7482" w:rsidP="006C4967">
      <w:pPr>
        <w:pStyle w:val="LawReview-StandardBodyText"/>
        <w:spacing w:after="0" w:line="259" w:lineRule="auto"/>
        <w:ind w:left="720" w:right="720" w:firstLine="0"/>
      </w:pPr>
    </w:p>
    <w:p w14:paraId="77DC06F7" w14:textId="516FDAF9" w:rsidR="00FF7482" w:rsidRDefault="00FF7482" w:rsidP="0050014C">
      <w:pPr>
        <w:pStyle w:val="LawReview-StandardBodyText"/>
        <w:spacing w:after="0" w:line="259" w:lineRule="auto"/>
        <w:ind w:right="720" w:firstLine="0"/>
      </w:pPr>
      <w:r>
        <w:t>Again, various points from the statute may be quickly highlighted.</w:t>
      </w:r>
    </w:p>
    <w:p w14:paraId="6D7B40E6" w14:textId="77777777" w:rsidR="00FF7482" w:rsidRDefault="00FF7482" w:rsidP="006C4967">
      <w:pPr>
        <w:pStyle w:val="LawReview-StandardBodyText"/>
        <w:spacing w:after="0" w:line="259" w:lineRule="auto"/>
        <w:ind w:left="720" w:right="720" w:firstLine="0"/>
      </w:pPr>
    </w:p>
    <w:p w14:paraId="7B53D093" w14:textId="144549B4" w:rsidR="00FF7482" w:rsidRDefault="00FF7482" w:rsidP="0050014C">
      <w:pPr>
        <w:pStyle w:val="LawReview-StandardBodyText"/>
        <w:numPr>
          <w:ilvl w:val="0"/>
          <w:numId w:val="13"/>
        </w:numPr>
        <w:spacing w:after="160" w:line="259" w:lineRule="auto"/>
        <w:ind w:left="1080" w:right="720"/>
      </w:pPr>
      <w:r>
        <w:t xml:space="preserve">The </w:t>
      </w:r>
      <w:r w:rsidRPr="003264D4">
        <w:rPr>
          <w:b/>
          <w:bCs/>
          <w:i/>
          <w:iCs/>
        </w:rPr>
        <w:t xml:space="preserve">district court </w:t>
      </w:r>
      <w:r w:rsidRPr="00052CF8">
        <w:rPr>
          <w:b/>
          <w:bCs/>
        </w:rPr>
        <w:t>may appoint counsel</w:t>
      </w:r>
      <w:r>
        <w:rPr>
          <w:b/>
          <w:bCs/>
        </w:rPr>
        <w:t xml:space="preserve"> both for proceedings in the district court and with respect to appeal in the supreme court</w:t>
      </w:r>
      <w:r>
        <w:t>, but is not technically required by the statute to do so</w:t>
      </w:r>
      <w:r w:rsidR="0050014C">
        <w:t>.</w:t>
      </w:r>
    </w:p>
    <w:p w14:paraId="0C82C6DF" w14:textId="412945B9" w:rsidR="00FF7482" w:rsidRPr="00052CF8" w:rsidRDefault="00FF7482" w:rsidP="0050014C">
      <w:pPr>
        <w:pStyle w:val="LawReview-StandardBodyText"/>
        <w:numPr>
          <w:ilvl w:val="0"/>
          <w:numId w:val="13"/>
        </w:numPr>
        <w:spacing w:after="160" w:line="259" w:lineRule="auto"/>
        <w:ind w:left="1080" w:right="720"/>
      </w:pPr>
      <w:r>
        <w:t xml:space="preserve">The district court </w:t>
      </w:r>
      <w:r w:rsidRPr="005B79E5">
        <w:rPr>
          <w:b/>
          <w:bCs/>
        </w:rPr>
        <w:t>may award a reasonable attorney’s fee for services in the district court and the supreme court may award a reasonable attorney’s fee for services performed in the supreme court</w:t>
      </w:r>
      <w:r>
        <w:t>, but neither courts are technically required by the statute to do so</w:t>
      </w:r>
      <w:r w:rsidR="0050014C">
        <w:t>.</w:t>
      </w:r>
    </w:p>
    <w:p w14:paraId="10142358" w14:textId="705B8472" w:rsidR="00FF7482" w:rsidRDefault="00FF7482" w:rsidP="0050014C">
      <w:pPr>
        <w:pStyle w:val="LawReview-StandardBodyText"/>
        <w:numPr>
          <w:ilvl w:val="0"/>
          <w:numId w:val="13"/>
        </w:numPr>
        <w:spacing w:after="160" w:line="259" w:lineRule="auto"/>
        <w:ind w:left="1080" w:right="720"/>
      </w:pPr>
      <w:r w:rsidRPr="005B79E5">
        <w:rPr>
          <w:b/>
          <w:bCs/>
        </w:rPr>
        <w:t>When the employer prevails</w:t>
      </w:r>
      <w:r>
        <w:t xml:space="preserve"> in a contested case </w:t>
      </w:r>
      <w:bookmarkStart w:id="1232" w:name="_Hlk12798576"/>
      <w:r>
        <w:t>involving compensability of an injury</w:t>
      </w:r>
      <w:bookmarkEnd w:id="1232"/>
      <w:r>
        <w:t>, the district and supreme courts may award the employer an attorney’s fee, provided the hours expended on the matter are deemed reasonable.</w:t>
      </w:r>
    </w:p>
    <w:p w14:paraId="6F9CA1A3" w14:textId="6764A10C" w:rsidR="00FF7482" w:rsidRPr="00052CF8" w:rsidRDefault="00FF7482" w:rsidP="0050014C">
      <w:pPr>
        <w:pStyle w:val="LawReview-StandardBodyText"/>
        <w:numPr>
          <w:ilvl w:val="0"/>
          <w:numId w:val="13"/>
        </w:numPr>
        <w:spacing w:after="160" w:line="259" w:lineRule="auto"/>
        <w:ind w:left="1080" w:right="720"/>
      </w:pPr>
      <w:r>
        <w:rPr>
          <w:b/>
          <w:bCs/>
        </w:rPr>
        <w:t>The attorney’s fee awarded to employer’s counsel “</w:t>
      </w:r>
      <w:r w:rsidRPr="00C267A3">
        <w:rPr>
          <w:b/>
          <w:bCs/>
        </w:rPr>
        <w:t>shall not exceed the benefits at issue in the contested case hearing</w:t>
      </w:r>
      <w:r w:rsidR="0050014C">
        <w:rPr>
          <w:b/>
          <w:bCs/>
        </w:rPr>
        <w:t>.</w:t>
      </w:r>
      <w:r>
        <w:rPr>
          <w:b/>
          <w:bCs/>
        </w:rPr>
        <w:t>”</w:t>
      </w:r>
    </w:p>
    <w:p w14:paraId="66F1CCAB" w14:textId="1A833735" w:rsidR="00FF7482" w:rsidRPr="00052CF8" w:rsidRDefault="00FF7482" w:rsidP="0050014C">
      <w:pPr>
        <w:pStyle w:val="LawReview-StandardBodyText"/>
        <w:numPr>
          <w:ilvl w:val="0"/>
          <w:numId w:val="13"/>
        </w:numPr>
        <w:spacing w:after="160" w:line="259" w:lineRule="auto"/>
        <w:ind w:left="1080" w:right="720"/>
      </w:pPr>
      <w:r w:rsidRPr="00C267A3">
        <w:rPr>
          <w:b/>
          <w:bCs/>
          <w:u w:val="single"/>
        </w:rPr>
        <w:lastRenderedPageBreak/>
        <w:t>Attorney fees allowed shall be at an hourly rate established by the director of the office of administrative hearings and any application for attorney's fees shall be supported by a verified itemization of all services provided</w:t>
      </w:r>
      <w:r w:rsidR="0050014C" w:rsidRPr="0050014C">
        <w:t>.</w:t>
      </w:r>
    </w:p>
    <w:p w14:paraId="6545B009" w14:textId="77777777" w:rsidR="00FF7482" w:rsidRDefault="00FF7482" w:rsidP="0050014C">
      <w:pPr>
        <w:pStyle w:val="LawReview-StandardBodyText"/>
        <w:numPr>
          <w:ilvl w:val="0"/>
          <w:numId w:val="13"/>
        </w:numPr>
        <w:spacing w:after="160" w:line="259" w:lineRule="auto"/>
        <w:ind w:left="1080" w:right="720"/>
      </w:pPr>
      <w:r>
        <w:rPr>
          <w:b/>
          <w:bCs/>
          <w:u w:val="single"/>
        </w:rPr>
        <w:t>If the hearing examiner determines</w:t>
      </w:r>
      <w:r w:rsidRPr="00052CF8">
        <w:t xml:space="preserve"> “</w:t>
      </w:r>
      <w:r w:rsidRPr="00C267A3">
        <w:rPr>
          <w:b/>
          <w:bCs/>
        </w:rPr>
        <w:t>the claim or objection to be frivolous and without legal or factual justification</w:t>
      </w:r>
      <w:r w:rsidRPr="00052CF8">
        <w:t>”</w:t>
      </w:r>
      <w:r>
        <w:t xml:space="preserve"> the examiner is mandated not to award an attorney’s fee.</w:t>
      </w:r>
    </w:p>
    <w:p w14:paraId="7BC77116" w14:textId="52C1C130" w:rsidR="00FF7482" w:rsidRDefault="00FF7482" w:rsidP="00EE371D">
      <w:pPr>
        <w:pStyle w:val="LawReview-StandardBodyText"/>
        <w:numPr>
          <w:ilvl w:val="0"/>
          <w:numId w:val="13"/>
        </w:numPr>
        <w:spacing w:after="0" w:line="259" w:lineRule="auto"/>
        <w:ind w:left="1080" w:right="720"/>
      </w:pPr>
      <w:r>
        <w:rPr>
          <w:b/>
          <w:bCs/>
          <w:u w:val="single"/>
        </w:rPr>
        <w:t>When the employer or the division prevail, litigation costs do not affect the employer’s experience rating.</w:t>
      </w:r>
      <w:r w:rsidRPr="007F0AF4">
        <w:t xml:space="preserve"> </w:t>
      </w:r>
      <w:r>
        <w:t>(In other words, if the employer “wins” the claim, its “insurance” premium should not go up because it is not “riskier” than it was before the litigation</w:t>
      </w:r>
      <w:r w:rsidR="0050014C">
        <w:t>.</w:t>
      </w:r>
      <w:r>
        <w:t>)</w:t>
      </w:r>
    </w:p>
    <w:p w14:paraId="6E1D29EC" w14:textId="77777777" w:rsidR="00EE371D" w:rsidRDefault="00EE371D" w:rsidP="00EE371D">
      <w:pPr>
        <w:pStyle w:val="LawReview-StandardBodyText"/>
        <w:spacing w:after="0" w:line="259" w:lineRule="auto"/>
        <w:ind w:left="1080" w:right="720" w:firstLine="0"/>
      </w:pPr>
    </w:p>
    <w:p w14:paraId="69715102" w14:textId="300B6111" w:rsidR="00FF7482" w:rsidRDefault="00FF7482" w:rsidP="00EE371D">
      <w:pPr>
        <w:pStyle w:val="LawReview-StandardBodyText"/>
        <w:spacing w:after="0" w:line="259" w:lineRule="auto"/>
        <w:ind w:firstLine="0"/>
      </w:pPr>
      <w:r w:rsidRPr="00807BE9">
        <w:rPr>
          <w:b/>
          <w:bCs/>
          <w:u w:val="single"/>
        </w:rPr>
        <w:t>One noticeable omission from the attorneys</w:t>
      </w:r>
      <w:r w:rsidR="00EE371D">
        <w:rPr>
          <w:b/>
          <w:bCs/>
          <w:u w:val="single"/>
        </w:rPr>
        <w:t>’</w:t>
      </w:r>
      <w:r w:rsidRPr="00807BE9">
        <w:rPr>
          <w:b/>
          <w:bCs/>
          <w:u w:val="single"/>
        </w:rPr>
        <w:t xml:space="preserve"> fee provisions concerns counsel’s entitlement to payment for services rendered to a claimant engaged in a pre-contested case dispute with the Division</w:t>
      </w:r>
      <w:r>
        <w:t xml:space="preserve">. In </w:t>
      </w:r>
      <w:r w:rsidRPr="002E4E77">
        <w:rPr>
          <w:i/>
          <w:iCs/>
        </w:rPr>
        <w:t>Painter v. Workers’ Compensation Div</w:t>
      </w:r>
      <w:r>
        <w:t>.,</w:t>
      </w:r>
      <w:r w:rsidRPr="00910BB7">
        <w:rPr>
          <w:vertAlign w:val="superscript"/>
        </w:rPr>
        <w:footnoteReference w:id="894"/>
      </w:r>
      <w:r>
        <w:t xml:space="preserve"> the Wyoming Supreme Court concluded that “</w:t>
      </w:r>
      <w:r w:rsidR="00EE371D">
        <w:t>[</w:t>
      </w:r>
      <w:r>
        <w:t>t]</w:t>
      </w:r>
      <w:r w:rsidRPr="002E4E77">
        <w:t xml:space="preserve">he hearing examiner had jurisdiction to appoint an attorney and award attorney fees once the Division issued a final determination on the compensability of </w:t>
      </w:r>
      <w:r>
        <w:t>[claimant’s]</w:t>
      </w:r>
      <w:r w:rsidRPr="002E4E77">
        <w:t xml:space="preserve"> injury.</w:t>
      </w:r>
      <w:r>
        <w:t>”</w:t>
      </w:r>
      <w:r w:rsidRPr="00910BB7">
        <w:rPr>
          <w:vertAlign w:val="superscript"/>
        </w:rPr>
        <w:footnoteReference w:id="895"/>
      </w:r>
      <w:r>
        <w:t xml:space="preserve"> A similar conclusion was reached in 2001 in </w:t>
      </w:r>
      <w:r w:rsidRPr="00DD494D">
        <w:rPr>
          <w:i/>
          <w:iCs/>
        </w:rPr>
        <w:t>Workers’ Safety &amp; Compensation Div. v. Gerrard</w:t>
      </w:r>
      <w:r>
        <w:t>.</w:t>
      </w:r>
      <w:r w:rsidRPr="00910BB7">
        <w:rPr>
          <w:vertAlign w:val="superscript"/>
        </w:rPr>
        <w:footnoteReference w:id="896"/>
      </w:r>
      <w:r>
        <w:t xml:space="preserve"> </w:t>
      </w:r>
    </w:p>
    <w:p w14:paraId="4677FAA5" w14:textId="77777777" w:rsidR="00FF7482" w:rsidRDefault="00FF7482" w:rsidP="006C4967">
      <w:pPr>
        <w:pStyle w:val="LawReview-StandardBodyText"/>
        <w:spacing w:after="0" w:line="259" w:lineRule="auto"/>
      </w:pPr>
    </w:p>
    <w:p w14:paraId="6C355E23" w14:textId="29B8AD65" w:rsidR="00FF7482" w:rsidRDefault="00FF7482" w:rsidP="00EE371D">
      <w:pPr>
        <w:pStyle w:val="LawReview-StandardBodyText"/>
        <w:spacing w:after="0" w:line="259" w:lineRule="auto"/>
        <w:ind w:firstLine="0"/>
      </w:pPr>
      <w:r>
        <w:t xml:space="preserve">There are some ambiguities to this somewhat broad allowance for pre-hearing/pre-contested case attorney fees, however. For one thing, there must be an actual dispute with the Division. In </w:t>
      </w:r>
      <w:r w:rsidRPr="00AF6714">
        <w:rPr>
          <w:i/>
          <w:iCs/>
        </w:rPr>
        <w:t>Manning v. Workers’ Compensation Div</w:t>
      </w:r>
      <w:r>
        <w:t>.,</w:t>
      </w:r>
      <w:r w:rsidRPr="00910BB7">
        <w:rPr>
          <w:vertAlign w:val="superscript"/>
        </w:rPr>
        <w:footnoteReference w:id="897"/>
      </w:r>
      <w:r>
        <w:t xml:space="preserve"> for example, the Wyoming Supreme Court reaffirmed the principle from </w:t>
      </w:r>
      <w:r w:rsidRPr="00AF6714">
        <w:rPr>
          <w:i/>
          <w:iCs/>
        </w:rPr>
        <w:t>Painter</w:t>
      </w:r>
      <w:r>
        <w:t xml:space="preserve"> “that </w:t>
      </w:r>
      <w:r w:rsidRPr="00AF6714">
        <w:t>an employee is entitled to paid legal representation when the Division issues a final determination regarding compensability of an injury or a claim, whether or not a formal request for a contested case is filed</w:t>
      </w:r>
      <w:r>
        <w:t>.”</w:t>
      </w:r>
      <w:r w:rsidRPr="00910BB7">
        <w:rPr>
          <w:vertAlign w:val="superscript"/>
        </w:rPr>
        <w:footnoteReference w:id="898"/>
      </w:r>
      <w:r>
        <w:t xml:space="preserve"> Here, however, the claimant sought the services of counsel upon a suspicion that she </w:t>
      </w:r>
      <w:r w:rsidRPr="00AF6714">
        <w:rPr>
          <w:i/>
          <w:iCs/>
        </w:rPr>
        <w:t xml:space="preserve">would </w:t>
      </w:r>
      <w:r>
        <w:t>have a formal dispute with the Division over a diagnostic medical examination sought for the purpose of ruling out the need for a third surgery on work-related injuries to her wrists.</w:t>
      </w:r>
      <w:r w:rsidRPr="00910BB7">
        <w:rPr>
          <w:vertAlign w:val="superscript"/>
        </w:rPr>
        <w:footnoteReference w:id="899"/>
      </w:r>
      <w:r>
        <w:t xml:space="preserve"> Ultimately, the Division did </w:t>
      </w:r>
      <w:r w:rsidRPr="00587FDD">
        <w:rPr>
          <w:i/>
          <w:iCs/>
        </w:rPr>
        <w:t xml:space="preserve">not </w:t>
      </w:r>
      <w:r>
        <w:t>agree to pay for the medical examination, but offered to pay for a “second opinion” if she obtained a referral from her treating doctor. The claimant declined to follow up on the offer and the “case” simply fizzled.</w:t>
      </w:r>
      <w:r w:rsidRPr="00910BB7">
        <w:rPr>
          <w:vertAlign w:val="superscript"/>
        </w:rPr>
        <w:footnoteReference w:id="900"/>
      </w:r>
      <w:r>
        <w:t xml:space="preserve"> The </w:t>
      </w:r>
      <w:r>
        <w:lastRenderedPageBreak/>
        <w:t>claimant then advised counsel she no longer wanted to be represented.</w:t>
      </w:r>
      <w:r w:rsidRPr="00910BB7">
        <w:rPr>
          <w:vertAlign w:val="superscript"/>
        </w:rPr>
        <w:footnoteReference w:id="901"/>
      </w:r>
      <w:r>
        <w:t xml:space="preserve"> Counsel in any event submitted a motion for a small fee award for the work that he </w:t>
      </w:r>
      <w:r w:rsidRPr="00587FDD">
        <w:rPr>
          <w:i/>
          <w:iCs/>
        </w:rPr>
        <w:t>had</w:t>
      </w:r>
      <w:r>
        <w:t xml:space="preserve"> performed.</w:t>
      </w:r>
      <w:r w:rsidRPr="00910BB7">
        <w:rPr>
          <w:vertAlign w:val="superscript"/>
        </w:rPr>
        <w:footnoteReference w:id="902"/>
      </w:r>
      <w:r>
        <w:t xml:space="preserve"> The Wyoming Supreme Court upheld denial of the motion: even though claimant’s instincts may have been sound in </w:t>
      </w:r>
      <w:r w:rsidRPr="00776A82">
        <w:rPr>
          <w:i/>
          <w:iCs/>
        </w:rPr>
        <w:t>anticipating</w:t>
      </w:r>
      <w:r>
        <w:t xml:space="preserve"> a claim denial—and, indeed, she likely saved the Division the cost of a third surgical procedure—</w:t>
      </w:r>
      <w:r w:rsidRPr="00D52EA6">
        <w:rPr>
          <w:b/>
          <w:bCs/>
        </w:rPr>
        <w:t>no claim had ever actually materialized, which the Court deemed a prerequisite for the allowance of attorneys’ fees</w:t>
      </w:r>
      <w:r>
        <w:t>.</w:t>
      </w:r>
      <w:r w:rsidRPr="00910BB7">
        <w:rPr>
          <w:vertAlign w:val="superscript"/>
        </w:rPr>
        <w:footnoteReference w:id="903"/>
      </w:r>
      <w:r>
        <w:t xml:space="preserve"> As discussed earlier,</w:t>
      </w:r>
      <w:r w:rsidRPr="00910BB7">
        <w:rPr>
          <w:vertAlign w:val="superscript"/>
        </w:rPr>
        <w:footnoteReference w:id="904"/>
      </w:r>
      <w:r>
        <w:t xml:space="preserve"> in </w:t>
      </w:r>
      <w:r w:rsidRPr="00BE4086">
        <w:rPr>
          <w:i/>
          <w:iCs/>
        </w:rPr>
        <w:t>Whiteman v. Workers’ Safety &amp; Compensation Div</w:t>
      </w:r>
      <w:r>
        <w:t>., a claimant’s motion for appointment of counsel had never been acted upon.</w:t>
      </w:r>
      <w:r w:rsidRPr="00910BB7">
        <w:rPr>
          <w:vertAlign w:val="superscript"/>
        </w:rPr>
        <w:footnoteReference w:id="905"/>
      </w:r>
      <w:r>
        <w:t xml:space="preserve"> Although the parties had not raised the issue, the Wyoming Supreme Court stated, </w:t>
      </w:r>
      <w:r w:rsidRPr="00D52EA6">
        <w:rPr>
          <w:i/>
          <w:iCs/>
        </w:rPr>
        <w:t>sua sponte</w:t>
      </w:r>
      <w:r>
        <w:t xml:space="preserve">, </w:t>
      </w:r>
      <w:r w:rsidRPr="002D3D71">
        <w:rPr>
          <w:b/>
          <w:bCs/>
        </w:rPr>
        <w:t>“</w:t>
      </w:r>
      <w:r w:rsidRPr="00D52EA6">
        <w:rPr>
          <w:b/>
          <w:bCs/>
        </w:rPr>
        <w:t>The hearing examiner did not have the power, much less the discretion, to award attorney fees to a non-appointed attorney</w:t>
      </w:r>
      <w:r w:rsidRPr="002D3D71">
        <w:rPr>
          <w:b/>
          <w:bCs/>
        </w:rPr>
        <w:t>.”</w:t>
      </w:r>
      <w:r w:rsidRPr="00910BB7">
        <w:rPr>
          <w:vertAlign w:val="superscript"/>
        </w:rPr>
        <w:footnoteReference w:id="906"/>
      </w:r>
      <w:r>
        <w:t xml:space="preserve"> </w:t>
      </w:r>
    </w:p>
    <w:p w14:paraId="2331EA0D" w14:textId="77777777" w:rsidR="00FF7482" w:rsidRDefault="00FF7482" w:rsidP="006C4967">
      <w:pPr>
        <w:pStyle w:val="LawReview-StandardBodyText"/>
        <w:spacing w:after="0" w:line="259" w:lineRule="auto"/>
      </w:pPr>
    </w:p>
    <w:p w14:paraId="07D4094A" w14:textId="357A13C7" w:rsidR="00FF7482" w:rsidRDefault="00FF7482" w:rsidP="002D3D71">
      <w:pPr>
        <w:pStyle w:val="LawReview-StandardBodyText"/>
        <w:spacing w:after="0" w:line="259" w:lineRule="auto"/>
        <w:ind w:firstLine="0"/>
      </w:pPr>
      <w:r>
        <w:t xml:space="preserve">Some additional ambiguity exists with respect to pre-contested case awards of attorneys’ fees. Before there has been an assignment of a case for a contested case hearing, there is no </w:t>
      </w:r>
      <w:r w:rsidRPr="002260B5">
        <w:rPr>
          <w:i/>
          <w:iCs/>
        </w:rPr>
        <w:t>hearing</w:t>
      </w:r>
      <w:r>
        <w:t xml:space="preserve"> examiner to award the fees. This author has conducted informal investigation on the matter and it appears that the </w:t>
      </w:r>
      <w:r w:rsidRPr="005E4570">
        <w:rPr>
          <w:i/>
          <w:iCs/>
        </w:rPr>
        <w:t>Division</w:t>
      </w:r>
      <w:r>
        <w:t xml:space="preserve"> be </w:t>
      </w:r>
      <w:r w:rsidRPr="00CC36E6">
        <w:rPr>
          <w:i/>
          <w:iCs/>
        </w:rPr>
        <w:t>de facto</w:t>
      </w:r>
      <w:r>
        <w:t xml:space="preserve"> awarding attorneys’ fees in these situations (or at least processes requests for fees), though it is unclear according to what statutory or regulatory authority. Perhaps the OAH or Medical Commission has promulgated an interpretive rule authorizing the Division to act as an agent in dispensing awards of attorneys’ fees.</w:t>
      </w:r>
      <w:r w:rsidRPr="00910BB7">
        <w:rPr>
          <w:vertAlign w:val="superscript"/>
        </w:rPr>
        <w:footnoteReference w:id="907"/>
      </w:r>
      <w:r>
        <w:t xml:space="preserve"> A similar arrangement with respect to the filing of documents, pleadings, and motions, all of which are by rule filed with the Division even when pertaining to an OAH-jurisdiction contested case.</w:t>
      </w:r>
      <w:r w:rsidRPr="00910BB7">
        <w:rPr>
          <w:vertAlign w:val="superscript"/>
        </w:rPr>
        <w:footnoteReference w:id="908"/>
      </w:r>
      <w:r>
        <w:t xml:space="preserve"> Under </w:t>
      </w:r>
      <w:r>
        <w:rPr>
          <w:rFonts w:cs="Times New Roman"/>
        </w:rPr>
        <w:t>§</w:t>
      </w:r>
      <w:r>
        <w:t xml:space="preserve"> </w:t>
      </w:r>
      <w:hyperlink r:id="rId129" w:history="1">
        <w:r w:rsidRPr="00CC36E6">
          <w:rPr>
            <w:rStyle w:val="Hyperlink"/>
          </w:rPr>
          <w:t>27-14-802</w:t>
        </w:r>
      </w:hyperlink>
      <w:r>
        <w:t xml:space="preserve">(a) the Division has broad authority to promulgate rules pertaining to </w:t>
      </w:r>
      <w:r w:rsidRPr="00CC36E6">
        <w:rPr>
          <w:i/>
          <w:iCs/>
        </w:rPr>
        <w:t>its</w:t>
      </w:r>
      <w:r>
        <w:t xml:space="preserve"> operation,</w:t>
      </w:r>
      <w:r w:rsidRPr="00910BB7">
        <w:rPr>
          <w:vertAlign w:val="superscript"/>
        </w:rPr>
        <w:footnoteReference w:id="909"/>
      </w:r>
      <w:r>
        <w:t xml:space="preserve"> but attorneys’ fees appear not to fall within the Division’s jurisdiction.    </w:t>
      </w:r>
    </w:p>
    <w:p w14:paraId="5F895982" w14:textId="333BB202" w:rsidR="00FF7482" w:rsidRDefault="00FF7482" w:rsidP="006C4967">
      <w:pPr>
        <w:pStyle w:val="LawReview-StandardBodyText"/>
        <w:spacing w:after="0" w:line="259" w:lineRule="auto"/>
      </w:pPr>
    </w:p>
    <w:p w14:paraId="1428D224" w14:textId="2A48A9F2" w:rsidR="00FF7482" w:rsidRDefault="00FF7482" w:rsidP="00DF544D">
      <w:pPr>
        <w:pStyle w:val="LawReview-StandardBodyText"/>
        <w:spacing w:after="0" w:line="259" w:lineRule="auto"/>
        <w:ind w:firstLine="0"/>
      </w:pPr>
      <w:r w:rsidRPr="00741340">
        <w:rPr>
          <w:b/>
          <w:bCs/>
        </w:rPr>
        <w:t xml:space="preserve">Despite the hearing examiner’s broad discretion to award attorneys’ fees—including the discretion to reduce a proposed fee award—the Wyoming Supreme </w:t>
      </w:r>
      <w:r w:rsidR="00B70EF1">
        <w:rPr>
          <w:b/>
          <w:bCs/>
        </w:rPr>
        <w:t>C</w:t>
      </w:r>
      <w:r w:rsidRPr="00741340">
        <w:rPr>
          <w:b/>
          <w:bCs/>
        </w:rPr>
        <w:t xml:space="preserve">ourt has upheld, under an older version of the </w:t>
      </w:r>
      <w:r>
        <w:rPr>
          <w:b/>
          <w:bCs/>
        </w:rPr>
        <w:t>Wyoming W</w:t>
      </w:r>
      <w:r w:rsidRPr="00741340">
        <w:rPr>
          <w:b/>
          <w:bCs/>
        </w:rPr>
        <w:t xml:space="preserve">orkers’ </w:t>
      </w:r>
      <w:r>
        <w:rPr>
          <w:b/>
          <w:bCs/>
        </w:rPr>
        <w:lastRenderedPageBreak/>
        <w:t>C</w:t>
      </w:r>
      <w:r w:rsidRPr="00741340">
        <w:rPr>
          <w:b/>
          <w:bCs/>
        </w:rPr>
        <w:t xml:space="preserve">ompensation </w:t>
      </w:r>
      <w:r>
        <w:rPr>
          <w:b/>
          <w:bCs/>
        </w:rPr>
        <w:t>A</w:t>
      </w:r>
      <w:r w:rsidRPr="00741340">
        <w:rPr>
          <w:b/>
          <w:bCs/>
        </w:rPr>
        <w:t>ct, a district court’s reversal of a hearing examiner’s inadequately explained reduction of such an award</w:t>
      </w:r>
      <w:r>
        <w:t xml:space="preserve">. In </w:t>
      </w:r>
      <w:r w:rsidRPr="00741340">
        <w:rPr>
          <w:i/>
          <w:iCs/>
        </w:rPr>
        <w:t>Workers’ Compensation Div. v. Brown</w:t>
      </w:r>
      <w:r>
        <w:t>,</w:t>
      </w:r>
      <w:r w:rsidRPr="00910BB7">
        <w:rPr>
          <w:vertAlign w:val="superscript"/>
        </w:rPr>
        <w:footnoteReference w:id="910"/>
      </w:r>
      <w:r>
        <w:t xml:space="preserve"> the Wyoming Supreme Court concluded that </w:t>
      </w:r>
      <w:r w:rsidR="00B70EF1">
        <w:t xml:space="preserve">the </w:t>
      </w:r>
      <w:r>
        <w:t xml:space="preserve">hearing examiner’s reduction of fees was arbitrary and capricious. Given the age of the case (which has not been overturned), it is probably safest to say that it continues to stand for the proposition that a hearing official should not award attorneys’ fees according to an undisclosed policy rationale or depart sharply from established agency policy without explanation. </w:t>
      </w:r>
    </w:p>
    <w:p w14:paraId="15500750" w14:textId="77777777" w:rsidR="00FF7482" w:rsidRDefault="00FF7482" w:rsidP="006C4967">
      <w:pPr>
        <w:pStyle w:val="LawReview-StandardBodyText"/>
        <w:spacing w:after="0" w:line="259" w:lineRule="auto"/>
      </w:pPr>
    </w:p>
    <w:p w14:paraId="3E54C4EB" w14:textId="1FD71D6A" w:rsidR="00FF7482" w:rsidRPr="00906B0B" w:rsidRDefault="00FF7482" w:rsidP="006B50E5">
      <w:pPr>
        <w:pStyle w:val="LawReview-StandardBodyText"/>
        <w:spacing w:after="0" w:line="259" w:lineRule="auto"/>
        <w:ind w:firstLine="0"/>
      </w:pPr>
      <w:r w:rsidRPr="00906B0B">
        <w:rPr>
          <w:b/>
          <w:bCs/>
        </w:rPr>
        <w:t xml:space="preserve">In a similar vein, </w:t>
      </w:r>
      <w:r w:rsidRPr="00906B0B">
        <w:rPr>
          <w:b/>
          <w:bCs/>
          <w:u w:val="single"/>
        </w:rPr>
        <w:t>district courts</w:t>
      </w:r>
      <w:r w:rsidRPr="00906B0B">
        <w:rPr>
          <w:b/>
          <w:bCs/>
        </w:rPr>
        <w:t xml:space="preserve"> have historically enjoyed considerable discretion in awarding attorneys’ fees under the Wyoming Workers’ Compensation Act</w:t>
      </w:r>
      <w:r w:rsidRPr="00D50911">
        <w:t>.</w:t>
      </w:r>
      <w:r>
        <w:rPr>
          <w:b/>
          <w:bCs/>
        </w:rPr>
        <w:t xml:space="preserve"> </w:t>
      </w:r>
      <w:r w:rsidRPr="00906B0B">
        <w:t>Nevertheless, “that discretion is not unfettered.”</w:t>
      </w:r>
      <w:r w:rsidRPr="00910BB7">
        <w:rPr>
          <w:vertAlign w:val="superscript"/>
        </w:rPr>
        <w:footnoteReference w:id="911"/>
      </w:r>
      <w:r>
        <w:t xml:space="preserve"> In </w:t>
      </w:r>
      <w:r w:rsidRPr="00F42CE9">
        <w:rPr>
          <w:i/>
          <w:iCs/>
        </w:rPr>
        <w:t>Gonzales v. Workers’ Compensation Div</w:t>
      </w:r>
      <w:r>
        <w:t>., the Wyoming Supreme Court remanded a case in which the district court had reduced petitioned-for attorney’s fees because “[t]</w:t>
      </w:r>
      <w:r w:rsidRPr="00F42CE9">
        <w:t xml:space="preserve">he district court's order did not contain any findings of fact or conclusions of law and, therefore, the order awarding attorney's fees did not comply with the applicable rule. This constitutes an error of law. Although the court has considerable discretion in awarding attorney's fees, it </w:t>
      </w:r>
      <w:r>
        <w:t>‘</w:t>
      </w:r>
      <w:r w:rsidRPr="00F42CE9">
        <w:t>does not enjoy any discretion with respect to an error of law.</w:t>
      </w:r>
      <w:r>
        <w:t>’”</w:t>
      </w:r>
      <w:r w:rsidRPr="00910BB7">
        <w:rPr>
          <w:vertAlign w:val="superscript"/>
        </w:rPr>
        <w:footnoteReference w:id="912"/>
      </w:r>
    </w:p>
    <w:p w14:paraId="7E4811AA" w14:textId="2DDAA577" w:rsidR="00FF7482" w:rsidRDefault="00FF7482" w:rsidP="006C4967">
      <w:pPr>
        <w:pStyle w:val="LawReview-StandardBodyText"/>
        <w:spacing w:after="0" w:line="259" w:lineRule="auto"/>
      </w:pPr>
    </w:p>
    <w:p w14:paraId="380A7FB4" w14:textId="51B1D197" w:rsidR="00FF7482" w:rsidRDefault="00FF7482" w:rsidP="00D50911">
      <w:pPr>
        <w:pStyle w:val="LawReview-StandardBodyText"/>
        <w:spacing w:after="0" w:line="259" w:lineRule="auto"/>
        <w:ind w:firstLine="0"/>
      </w:pPr>
      <w:r w:rsidRPr="00741340">
        <w:rPr>
          <w:b/>
          <w:bCs/>
        </w:rPr>
        <w:t xml:space="preserve">The Wyoming Supreme Court has also clarified that a </w:t>
      </w:r>
      <w:r w:rsidRPr="00741340">
        <w:rPr>
          <w:b/>
          <w:bCs/>
          <w:u w:val="single"/>
        </w:rPr>
        <w:t>claimant’s</w:t>
      </w:r>
      <w:r w:rsidRPr="00741340">
        <w:rPr>
          <w:b/>
          <w:bCs/>
        </w:rPr>
        <w:t xml:space="preserve"> attorney’s fee is </w:t>
      </w:r>
      <w:r w:rsidRPr="00CF207B">
        <w:rPr>
          <w:b/>
          <w:bCs/>
          <w:u w:val="single"/>
        </w:rPr>
        <w:t xml:space="preserve">not </w:t>
      </w:r>
      <w:r w:rsidRPr="00741340">
        <w:rPr>
          <w:b/>
          <w:bCs/>
        </w:rPr>
        <w:t>limited to the amount of benefits at issue</w:t>
      </w:r>
      <w:r>
        <w:rPr>
          <w:b/>
          <w:bCs/>
        </w:rPr>
        <w:t xml:space="preserve">. That limitation applies only to prevailing </w:t>
      </w:r>
      <w:r w:rsidRPr="00CF207B">
        <w:rPr>
          <w:b/>
          <w:bCs/>
          <w:u w:val="single"/>
        </w:rPr>
        <w:t>employer’s</w:t>
      </w:r>
      <w:r>
        <w:rPr>
          <w:b/>
          <w:bCs/>
        </w:rPr>
        <w:t xml:space="preserve"> counsel</w:t>
      </w:r>
      <w:r>
        <w:t>.</w:t>
      </w:r>
      <w:r w:rsidRPr="00910BB7">
        <w:rPr>
          <w:vertAlign w:val="superscript"/>
        </w:rPr>
        <w:footnoteReference w:id="913"/>
      </w:r>
    </w:p>
    <w:p w14:paraId="74F2F29B" w14:textId="77777777" w:rsidR="00FF7482" w:rsidRDefault="00FF7482" w:rsidP="006C4967">
      <w:pPr>
        <w:rPr>
          <w:rFonts w:ascii="Times New Roman" w:hAnsi="Times New Roman"/>
          <w:sz w:val="24"/>
          <w:szCs w:val="24"/>
        </w:rPr>
      </w:pPr>
      <w:r>
        <w:br w:type="page"/>
      </w:r>
    </w:p>
    <w:p w14:paraId="59947232" w14:textId="4218D4BF" w:rsidR="00FF7482" w:rsidRDefault="00FF7482" w:rsidP="006C4967">
      <w:pPr>
        <w:pStyle w:val="Heading1"/>
        <w:rPr>
          <w:rFonts w:ascii="Times New Roman" w:hAnsi="Times New Roman" w:cs="Times New Roman"/>
          <w:b/>
          <w:color w:val="auto"/>
        </w:rPr>
      </w:pPr>
      <w:bookmarkStart w:id="1255" w:name="_Toc75269435"/>
      <w:r w:rsidRPr="00907D09">
        <w:rPr>
          <w:rFonts w:ascii="Times New Roman" w:hAnsi="Times New Roman" w:cs="Times New Roman"/>
          <w:b/>
          <w:color w:val="auto"/>
        </w:rPr>
        <w:lastRenderedPageBreak/>
        <w:t>Judicial Review of Workers’ Compensation Decisions</w:t>
      </w:r>
      <w:bookmarkEnd w:id="1255"/>
    </w:p>
    <w:p w14:paraId="24C13545" w14:textId="23256578" w:rsidR="00FF7482" w:rsidRDefault="00FF7482" w:rsidP="006C4967">
      <w:pPr>
        <w:spacing w:after="0"/>
      </w:pPr>
    </w:p>
    <w:p w14:paraId="6CB2786B" w14:textId="133ACA9D" w:rsidR="00FF7482" w:rsidRDefault="00FF7482" w:rsidP="00D50911">
      <w:pPr>
        <w:pStyle w:val="Heading2"/>
        <w:spacing w:before="0"/>
        <w:rPr>
          <w:rFonts w:ascii="Times New Roman" w:hAnsi="Times New Roman" w:cs="Times New Roman"/>
          <w:b/>
          <w:color w:val="auto"/>
          <w:sz w:val="28"/>
          <w:szCs w:val="28"/>
        </w:rPr>
      </w:pPr>
      <w:bookmarkStart w:id="1256" w:name="_Toc75269436"/>
      <w:bookmarkStart w:id="1257" w:name="_Hlk12895746"/>
      <w:r w:rsidRPr="00907D09">
        <w:rPr>
          <w:rFonts w:ascii="Times New Roman" w:hAnsi="Times New Roman" w:cs="Times New Roman"/>
          <w:b/>
          <w:color w:val="auto"/>
          <w:sz w:val="28"/>
          <w:szCs w:val="28"/>
        </w:rPr>
        <w:t>Judicial Review of Administrative Agencies Generally</w:t>
      </w:r>
      <w:bookmarkEnd w:id="1256"/>
    </w:p>
    <w:bookmarkEnd w:id="1257"/>
    <w:p w14:paraId="517BB490" w14:textId="11CAD5C0" w:rsidR="00FF7482" w:rsidRDefault="00FF7482" w:rsidP="006C4967">
      <w:pPr>
        <w:spacing w:after="0"/>
      </w:pPr>
    </w:p>
    <w:p w14:paraId="2D76EDA2" w14:textId="55D91F76" w:rsidR="00FF7482" w:rsidRDefault="00FF7482" w:rsidP="00D50911">
      <w:pPr>
        <w:pStyle w:val="LawReview-StandardBodyText"/>
        <w:spacing w:after="0" w:line="259" w:lineRule="auto"/>
        <w:ind w:firstLine="0"/>
        <w:rPr>
          <w:rFonts w:eastAsia="Calibri" w:cs="Times New Roman"/>
          <w:szCs w:val="20"/>
        </w:rPr>
      </w:pPr>
      <w:r>
        <w:t>As this Treatise has already explained, in Wyoming, as in almost every other state in the United States, facts in contested workers’ compensation cases are developed within an administrative agency.</w:t>
      </w:r>
      <w:r w:rsidRPr="00910BB7">
        <w:rPr>
          <w:vertAlign w:val="superscript"/>
        </w:rPr>
        <w:footnoteReference w:id="914"/>
      </w:r>
      <w:r>
        <w:t xml:space="preserve"> So the typical workers’ compensation issues—such </w:t>
      </w:r>
      <w:r w:rsidRPr="00637EDF">
        <w:rPr>
          <w:rFonts w:eastAsia="Calibri" w:cs="Times New Roman"/>
          <w:szCs w:val="20"/>
        </w:rPr>
        <w:t>as whether an injury is causally related to work</w:t>
      </w:r>
      <w:r>
        <w:rPr>
          <w:rFonts w:eastAsia="Calibri" w:cs="Times New Roman"/>
          <w:szCs w:val="20"/>
        </w:rPr>
        <w:t>,</w:t>
      </w:r>
      <w:r w:rsidRPr="00637EDF">
        <w:rPr>
          <w:rFonts w:eastAsia="Calibri" w:cs="Times New Roman"/>
          <w:szCs w:val="20"/>
        </w:rPr>
        <w:t xml:space="preserve"> the degree of a workers’ disability</w:t>
      </w:r>
      <w:r>
        <w:rPr>
          <w:rFonts w:eastAsia="Calibri" w:cs="Times New Roman"/>
          <w:szCs w:val="20"/>
        </w:rPr>
        <w:t xml:space="preserve">,  </w:t>
      </w:r>
      <w:r w:rsidRPr="00637EDF">
        <w:rPr>
          <w:rFonts w:eastAsia="Calibri" w:cs="Times New Roman"/>
          <w:szCs w:val="20"/>
        </w:rPr>
        <w:t>an employee’s average wage at the time of injury</w:t>
      </w:r>
      <w:r>
        <w:rPr>
          <w:rFonts w:eastAsia="Calibri" w:cs="Times New Roman"/>
          <w:szCs w:val="20"/>
        </w:rPr>
        <w:t xml:space="preserve">, </w:t>
      </w:r>
      <w:r w:rsidRPr="00637EDF">
        <w:rPr>
          <w:rFonts w:eastAsia="Calibri" w:cs="Times New Roman"/>
          <w:szCs w:val="20"/>
        </w:rPr>
        <w:t>whether an employee provided timely notice of injury</w:t>
      </w:r>
      <w:r>
        <w:rPr>
          <w:rFonts w:eastAsia="Calibri" w:cs="Times New Roman"/>
          <w:szCs w:val="20"/>
        </w:rPr>
        <w:t xml:space="preserve">, </w:t>
      </w:r>
      <w:r w:rsidRPr="00637EDF">
        <w:rPr>
          <w:rFonts w:eastAsia="Calibri" w:cs="Times New Roman"/>
          <w:szCs w:val="20"/>
        </w:rPr>
        <w:t>whether a worker is an employee within the meaning of the Act</w:t>
      </w:r>
      <w:r>
        <w:rPr>
          <w:rFonts w:eastAsia="Calibri" w:cs="Times New Roman"/>
          <w:szCs w:val="20"/>
        </w:rPr>
        <w:t xml:space="preserve">, </w:t>
      </w:r>
      <w:r w:rsidRPr="00637EDF">
        <w:rPr>
          <w:rFonts w:eastAsia="Calibri" w:cs="Times New Roman"/>
          <w:szCs w:val="20"/>
        </w:rPr>
        <w:t>and whether an injury occurred on an employer’s premises</w:t>
      </w:r>
      <w:r>
        <w:rPr>
          <w:rFonts w:eastAsia="Calibri" w:cs="Times New Roman"/>
          <w:szCs w:val="20"/>
        </w:rPr>
        <w:t xml:space="preserve">—are </w:t>
      </w:r>
      <w:r w:rsidRPr="00637EDF">
        <w:rPr>
          <w:rFonts w:eastAsia="Calibri" w:cs="Times New Roman"/>
          <w:szCs w:val="20"/>
        </w:rPr>
        <w:t>initially decided by an administrative agency</w:t>
      </w:r>
      <w:r>
        <w:rPr>
          <w:rFonts w:eastAsia="Calibri" w:cs="Times New Roman"/>
          <w:szCs w:val="20"/>
        </w:rPr>
        <w:t xml:space="preserve"> rather than a court. As discussed previously, in Wyoming the administrative fact finder subject to judicial review is either a hearing officer designated by the Office of Administrative Hearings (the OAH) or a medical panel convened by the Medical Commission. In all administrative law systems t</w:t>
      </w:r>
      <w:r w:rsidRPr="00822004">
        <w:rPr>
          <w:rFonts w:eastAsia="Calibri" w:cs="Times New Roman"/>
          <w:szCs w:val="20"/>
        </w:rPr>
        <w:t xml:space="preserve">he question arises as to what level of “deference” </w:t>
      </w:r>
      <w:r w:rsidRPr="00822004">
        <w:rPr>
          <w:rFonts w:eastAsia="Calibri" w:cs="Times New Roman"/>
          <w:i/>
          <w:iCs/>
          <w:szCs w:val="20"/>
        </w:rPr>
        <w:t>courts</w:t>
      </w:r>
      <w:r w:rsidRPr="00822004">
        <w:rPr>
          <w:rFonts w:eastAsia="Calibri" w:cs="Times New Roman"/>
          <w:szCs w:val="20"/>
        </w:rPr>
        <w:t xml:space="preserve"> should afford </w:t>
      </w:r>
      <w:r w:rsidRPr="00822004">
        <w:rPr>
          <w:rFonts w:eastAsia="Calibri" w:cs="Times New Roman"/>
          <w:i/>
          <w:iCs/>
          <w:szCs w:val="20"/>
        </w:rPr>
        <w:t>administrative officials</w:t>
      </w:r>
      <w:r w:rsidRPr="00822004">
        <w:rPr>
          <w:rFonts w:eastAsia="Calibri" w:cs="Times New Roman"/>
          <w:szCs w:val="20"/>
        </w:rPr>
        <w:t xml:space="preserve"> engaging in workers’ compensation fact finding</w:t>
      </w:r>
      <w:r>
        <w:rPr>
          <w:rFonts w:eastAsia="Calibri" w:cs="Times New Roman"/>
          <w:szCs w:val="20"/>
        </w:rPr>
        <w:t>,</w:t>
      </w:r>
      <w:r w:rsidRPr="00822004">
        <w:rPr>
          <w:rFonts w:eastAsia="Calibri" w:cs="Times New Roman"/>
          <w:szCs w:val="20"/>
        </w:rPr>
        <w:t xml:space="preserve"> when </w:t>
      </w:r>
      <w:r>
        <w:rPr>
          <w:rFonts w:eastAsia="Calibri" w:cs="Times New Roman"/>
          <w:szCs w:val="20"/>
        </w:rPr>
        <w:t>the fact finding</w:t>
      </w:r>
      <w:r w:rsidRPr="00822004">
        <w:rPr>
          <w:rFonts w:eastAsia="Calibri" w:cs="Times New Roman"/>
          <w:szCs w:val="20"/>
        </w:rPr>
        <w:t xml:space="preserve"> is challenged in a proceeding for judicial review</w:t>
      </w:r>
      <w:r>
        <w:rPr>
          <w:rFonts w:eastAsia="Calibri" w:cs="Times New Roman"/>
          <w:szCs w:val="20"/>
        </w:rPr>
        <w:t xml:space="preserve">. </w:t>
      </w:r>
      <w:r w:rsidRPr="00822004">
        <w:rPr>
          <w:rFonts w:eastAsia="Calibri" w:cs="Times New Roman"/>
          <w:szCs w:val="20"/>
        </w:rPr>
        <w:t>Wyoming, like nineteen other states</w:t>
      </w:r>
      <w:r>
        <w:rPr>
          <w:rFonts w:eastAsia="Calibri" w:cs="Times New Roman"/>
          <w:szCs w:val="20"/>
        </w:rPr>
        <w:t xml:space="preserve"> and</w:t>
      </w:r>
      <w:r w:rsidRPr="00822004">
        <w:rPr>
          <w:rFonts w:eastAsia="Calibri" w:cs="Times New Roman"/>
          <w:szCs w:val="20"/>
        </w:rPr>
        <w:t xml:space="preserve"> the federal Longshore Harbor Workers’ Act, applies the “substantial evidence” standard of review.</w:t>
      </w:r>
      <w:r w:rsidRPr="00910BB7">
        <w:rPr>
          <w:rFonts w:eastAsia="Calibri" w:cs="Times New Roman"/>
          <w:szCs w:val="20"/>
          <w:vertAlign w:val="superscript"/>
        </w:rPr>
        <w:footnoteReference w:id="915"/>
      </w:r>
    </w:p>
    <w:p w14:paraId="47A7AA30" w14:textId="0638D17A" w:rsidR="00FF7482" w:rsidRDefault="00FF7482" w:rsidP="006C4967">
      <w:pPr>
        <w:pStyle w:val="LawReview-StandardBodyText"/>
        <w:spacing w:after="0" w:line="259" w:lineRule="auto"/>
        <w:rPr>
          <w:rFonts w:eastAsia="Calibri" w:cs="Times New Roman"/>
          <w:szCs w:val="20"/>
        </w:rPr>
      </w:pPr>
    </w:p>
    <w:p w14:paraId="4CC8E739" w14:textId="6EF1DB4C" w:rsidR="00FF7482" w:rsidRDefault="00FF7482" w:rsidP="00F72C90">
      <w:pPr>
        <w:pStyle w:val="LawReview-StandardBodyText"/>
        <w:spacing w:after="0" w:line="259" w:lineRule="auto"/>
        <w:ind w:firstLine="0"/>
        <w:rPr>
          <w:rFonts w:eastAsia="Calibri" w:cs="Times New Roman"/>
          <w:szCs w:val="20"/>
        </w:rPr>
      </w:pPr>
      <w:r>
        <w:rPr>
          <w:rFonts w:eastAsia="Calibri" w:cs="Times New Roman"/>
          <w:szCs w:val="20"/>
        </w:rPr>
        <w:t>The reader will note that, although other forms of judicial review of administrative agencies may be possible</w:t>
      </w:r>
      <w:r w:rsidRPr="00910BB7">
        <w:rPr>
          <w:rFonts w:eastAsia="Calibri" w:cs="Times New Roman"/>
          <w:szCs w:val="20"/>
          <w:vertAlign w:val="superscript"/>
        </w:rPr>
        <w:footnoteReference w:id="916"/>
      </w:r>
      <w:r>
        <w:rPr>
          <w:rFonts w:eastAsia="Calibri" w:cs="Times New Roman"/>
          <w:szCs w:val="20"/>
        </w:rPr>
        <w:t xml:space="preserve">—and the next subsection will catalogue the kinds of </w:t>
      </w:r>
      <w:r>
        <w:rPr>
          <w:rFonts w:eastAsia="Calibri" w:cs="Times New Roman"/>
          <w:szCs w:val="20"/>
        </w:rPr>
        <w:lastRenderedPageBreak/>
        <w:t>agency review available in Wyoming—the vast majority of cases involving judicial review of administrative agency awards raise the simple question of whether the agency’s decision is supported by substantial evidence, which normally means simply whether the agency’s decision is supported by “such evidence as a reasonable mind could accept as supporting an agency’s decision.”</w:t>
      </w:r>
      <w:r w:rsidRPr="00910BB7">
        <w:rPr>
          <w:rFonts w:eastAsia="Calibri" w:cs="Times New Roman"/>
          <w:szCs w:val="20"/>
          <w:vertAlign w:val="superscript"/>
        </w:rPr>
        <w:footnoteReference w:id="917"/>
      </w:r>
      <w:r>
        <w:rPr>
          <w:rFonts w:eastAsia="Calibri" w:cs="Times New Roman"/>
          <w:szCs w:val="20"/>
        </w:rPr>
        <w:t xml:space="preserve"> The extensive history of the “reasonable mind” formulation is beyond the scope of this entry.</w:t>
      </w:r>
      <w:r w:rsidRPr="00910BB7">
        <w:rPr>
          <w:rFonts w:eastAsia="Calibri" w:cs="Times New Roman"/>
          <w:szCs w:val="20"/>
          <w:vertAlign w:val="superscript"/>
        </w:rPr>
        <w:footnoteReference w:id="918"/>
      </w:r>
      <w:r w:rsidRPr="00910BB7">
        <w:rPr>
          <w:rFonts w:eastAsia="Calibri" w:cs="Times New Roman"/>
          <w:szCs w:val="20"/>
        </w:rPr>
        <w:t xml:space="preserve">  </w:t>
      </w:r>
      <w:r>
        <w:rPr>
          <w:rFonts w:eastAsia="Calibri" w:cs="Times New Roman"/>
          <w:szCs w:val="20"/>
        </w:rPr>
        <w:t xml:space="preserve"> </w:t>
      </w:r>
    </w:p>
    <w:p w14:paraId="2BE88BCE" w14:textId="13483608" w:rsidR="00FF7482" w:rsidRDefault="00FF7482" w:rsidP="006C4967">
      <w:pPr>
        <w:pStyle w:val="LawReview-StandardBodyText"/>
        <w:spacing w:after="0" w:line="259" w:lineRule="auto"/>
        <w:rPr>
          <w:rFonts w:eastAsia="Calibri" w:cs="Times New Roman"/>
          <w:szCs w:val="20"/>
        </w:rPr>
      </w:pPr>
    </w:p>
    <w:p w14:paraId="4E03082B" w14:textId="07481B11" w:rsidR="00FF7482" w:rsidRPr="00167A22" w:rsidRDefault="00FF7482" w:rsidP="00CA7993">
      <w:pPr>
        <w:pStyle w:val="Heading2"/>
        <w:spacing w:before="0"/>
        <w:rPr>
          <w:rFonts w:ascii="Times New Roman" w:hAnsi="Times New Roman" w:cs="Times New Roman"/>
          <w:b/>
          <w:color w:val="auto"/>
          <w:sz w:val="28"/>
          <w:szCs w:val="28"/>
        </w:rPr>
      </w:pPr>
      <w:bookmarkStart w:id="1270" w:name="_Toc75269437"/>
      <w:r w:rsidRPr="00167A22">
        <w:rPr>
          <w:rFonts w:ascii="Times New Roman" w:hAnsi="Times New Roman" w:cs="Times New Roman"/>
          <w:b/>
          <w:color w:val="auto"/>
          <w:sz w:val="28"/>
          <w:szCs w:val="28"/>
        </w:rPr>
        <w:t xml:space="preserve">Judicial Review of Administrative Agencies </w:t>
      </w:r>
      <w:r>
        <w:rPr>
          <w:rFonts w:ascii="Times New Roman" w:hAnsi="Times New Roman" w:cs="Times New Roman"/>
          <w:b/>
          <w:color w:val="auto"/>
          <w:sz w:val="28"/>
          <w:szCs w:val="28"/>
        </w:rPr>
        <w:t>in Wyoming Workers’ Compensation</w:t>
      </w:r>
      <w:bookmarkEnd w:id="1270"/>
    </w:p>
    <w:p w14:paraId="20E59CC9" w14:textId="77777777" w:rsidR="00FF7482" w:rsidRDefault="00FF7482" w:rsidP="006C4967">
      <w:pPr>
        <w:pStyle w:val="LawReview-StandardBodyText"/>
        <w:spacing w:after="0" w:line="259" w:lineRule="auto"/>
      </w:pPr>
    </w:p>
    <w:p w14:paraId="1D232B4B" w14:textId="75AE99E5" w:rsidR="00FF7482" w:rsidRDefault="00FF7482" w:rsidP="00CA7993">
      <w:pPr>
        <w:pStyle w:val="LawReview-StandardBodyText"/>
        <w:spacing w:after="0" w:line="259" w:lineRule="auto"/>
        <w:ind w:firstLine="0"/>
      </w:pPr>
      <w:r>
        <w:t xml:space="preserve">The Wyoming Contested Case Procedures establish the bases according to which administrative action in a workers’ compensation case can be challenged. </w:t>
      </w:r>
      <w:r w:rsidRPr="00D1607F">
        <w:rPr>
          <w:b/>
          <w:bCs/>
        </w:rPr>
        <w:t>Any person aggrieved or adversely affected in fact by a final decision of an agency in a contested case, or by other agency action or inaction</w:t>
      </w:r>
      <w:r>
        <w:rPr>
          <w:b/>
          <w:bCs/>
        </w:rPr>
        <w:t xml:space="preserve"> </w:t>
      </w:r>
      <w:r>
        <w:t xml:space="preserve">. . . </w:t>
      </w:r>
      <w:r w:rsidRPr="00D1607F">
        <w:rPr>
          <w:b/>
          <w:bCs/>
        </w:rPr>
        <w:t>is entitled to judicial review in the district court for the county in which the administrative action or inaction was taken</w:t>
      </w:r>
      <w:r>
        <w:t xml:space="preserve"> . . . </w:t>
      </w:r>
      <w:r w:rsidRPr="00D1607F">
        <w:t xml:space="preserve">or </w:t>
      </w:r>
      <w:r>
        <w:t xml:space="preserve">. . .  </w:t>
      </w:r>
      <w:r w:rsidRPr="00D1607F">
        <w:t>in the district court for the county in which the party aggrieved or adversely affected by the administrative action or inaction resides or has its principal place of business.</w:t>
      </w:r>
      <w:r w:rsidRPr="00910BB7">
        <w:rPr>
          <w:vertAlign w:val="superscript"/>
        </w:rPr>
        <w:footnoteReference w:id="919"/>
      </w:r>
      <w:r>
        <w:t xml:space="preserve"> With respect to the </w:t>
      </w:r>
      <w:r w:rsidRPr="005732A7">
        <w:rPr>
          <w:b/>
          <w:bCs/>
        </w:rPr>
        <w:t>scope</w:t>
      </w:r>
      <w:r>
        <w:t xml:space="preserve"> of review</w:t>
      </w:r>
      <w:bookmarkStart w:id="1272" w:name="_Hlk13046114"/>
      <w:r>
        <w:t xml:space="preserve">, </w:t>
      </w:r>
      <w:r>
        <w:rPr>
          <w:rFonts w:cs="Times New Roman"/>
        </w:rPr>
        <w:t xml:space="preserve">§ </w:t>
      </w:r>
      <w:r>
        <w:t xml:space="preserve">16-3-114(c) </w:t>
      </w:r>
      <w:bookmarkEnd w:id="1272"/>
      <w:r>
        <w:t>states,</w:t>
      </w:r>
    </w:p>
    <w:p w14:paraId="6AC5B518" w14:textId="3DC151D4" w:rsidR="00FF7482" w:rsidRDefault="00FF7482" w:rsidP="006C4967">
      <w:pPr>
        <w:pStyle w:val="LawReview-StandardBodyText"/>
        <w:spacing w:after="0" w:line="259" w:lineRule="auto"/>
      </w:pPr>
    </w:p>
    <w:p w14:paraId="6CB1CA38" w14:textId="7EBA1D3A" w:rsidR="00FF7482" w:rsidRDefault="00FF7482" w:rsidP="00C94B70">
      <w:pPr>
        <w:pStyle w:val="LawReview-StandardBodyText"/>
        <w:spacing w:after="160" w:line="259" w:lineRule="auto"/>
        <w:ind w:left="720" w:right="720" w:firstLine="0"/>
      </w:pPr>
      <w:r>
        <w:t>To the extent necessary to make a decision and when presented, the reviewing court shall decide all relevant questions of law, interpret constitutional and statutory provisions, and determine the meaning or applicability of the terms of an agency action. In making the following determinations, the court shall review the whole record or those parts of it cited by a party and due account shall be taken of the rule of prejudicial error. The reviewing court shall:</w:t>
      </w:r>
    </w:p>
    <w:p w14:paraId="05B01DA4" w14:textId="1D54EE6C" w:rsidR="00FF7482" w:rsidRDefault="00FF7482" w:rsidP="00C94B70">
      <w:pPr>
        <w:pStyle w:val="LawReview-StandardBodyText"/>
        <w:spacing w:after="160" w:line="259" w:lineRule="auto"/>
        <w:ind w:left="1440" w:right="720" w:firstLine="0"/>
      </w:pPr>
      <w:r>
        <w:t>(i) Compel agency action unlawfully withheld or unreasonably delayed; and</w:t>
      </w:r>
    </w:p>
    <w:p w14:paraId="1ECB06A8" w14:textId="45002EE2" w:rsidR="00FF7482" w:rsidRDefault="00FF7482" w:rsidP="00C94B70">
      <w:pPr>
        <w:pStyle w:val="LawReview-StandardBodyText"/>
        <w:spacing w:after="160" w:line="259" w:lineRule="auto"/>
        <w:ind w:left="1440" w:right="720" w:firstLine="0"/>
      </w:pPr>
      <w:r>
        <w:t>(ii) Hold unlawful and set aside agency action, findings and conclusions found to be:</w:t>
      </w:r>
    </w:p>
    <w:p w14:paraId="45E936FF" w14:textId="77777777" w:rsidR="00CA7993" w:rsidRDefault="00FF7482" w:rsidP="00CA7993">
      <w:pPr>
        <w:pStyle w:val="LawReview-StandardBodyText"/>
        <w:spacing w:after="160" w:line="259" w:lineRule="auto"/>
        <w:ind w:left="2160" w:right="720" w:firstLine="0"/>
      </w:pPr>
      <w:r>
        <w:t xml:space="preserve">(A) </w:t>
      </w:r>
      <w:bookmarkStart w:id="1273" w:name="_Hlk12907378"/>
      <w:r>
        <w:t>Arbitrary, capricious, an abuse of discretion or otherwise not in accordance with law</w:t>
      </w:r>
      <w:bookmarkEnd w:id="1273"/>
      <w:r>
        <w:t>;</w:t>
      </w:r>
    </w:p>
    <w:p w14:paraId="75496A96" w14:textId="77777777" w:rsidR="00CA7993" w:rsidRDefault="00FF7482" w:rsidP="00CA7993">
      <w:pPr>
        <w:pStyle w:val="LawReview-StandardBodyText"/>
        <w:spacing w:after="160" w:line="259" w:lineRule="auto"/>
        <w:ind w:left="2160" w:right="720" w:firstLine="0"/>
      </w:pPr>
      <w:r>
        <w:lastRenderedPageBreak/>
        <w:t>(B) Contrary to constitutional right, power, privilege or immunity;</w:t>
      </w:r>
    </w:p>
    <w:p w14:paraId="10613ACE" w14:textId="42F7C0A1" w:rsidR="00CA7993" w:rsidRDefault="00FF7482" w:rsidP="00CA7993">
      <w:pPr>
        <w:pStyle w:val="LawReview-StandardBodyText"/>
        <w:spacing w:after="160" w:line="259" w:lineRule="auto"/>
        <w:ind w:left="2160" w:right="720" w:firstLine="0"/>
      </w:pPr>
      <w:r>
        <w:t xml:space="preserve">(C) In excess of statutory jurisdiction, </w:t>
      </w:r>
      <w:bookmarkStart w:id="1274" w:name="_Hlk12903749"/>
      <w:r>
        <w:t>authority or limitations or lacking statutory right;</w:t>
      </w:r>
      <w:bookmarkEnd w:id="1274"/>
    </w:p>
    <w:p w14:paraId="5248979F" w14:textId="77777777" w:rsidR="00CA7993" w:rsidRDefault="00FF7482" w:rsidP="00CA7993">
      <w:pPr>
        <w:pStyle w:val="LawReview-StandardBodyText"/>
        <w:spacing w:after="160" w:line="259" w:lineRule="auto"/>
        <w:ind w:left="2160" w:right="720" w:firstLine="0"/>
      </w:pPr>
      <w:r>
        <w:t>(D) Without observance of procedure required by law; or</w:t>
      </w:r>
    </w:p>
    <w:p w14:paraId="3C41372A" w14:textId="51215B3C" w:rsidR="00FF7482" w:rsidRDefault="00FF7482" w:rsidP="00CA7993">
      <w:pPr>
        <w:pStyle w:val="LawReview-StandardBodyText"/>
        <w:spacing w:after="0" w:line="259" w:lineRule="auto"/>
        <w:ind w:left="2160" w:right="720" w:firstLine="0"/>
      </w:pPr>
      <w:r>
        <w:t>(E) Unsupported by substantial evidence in a case reviewed on the record of an agency hearing provided by statute.</w:t>
      </w:r>
    </w:p>
    <w:p w14:paraId="65E53026" w14:textId="77777777" w:rsidR="00CA7993" w:rsidRDefault="00CA7993" w:rsidP="00CA7993">
      <w:pPr>
        <w:pStyle w:val="LawReview-StandardBodyText"/>
        <w:spacing w:after="0" w:line="259" w:lineRule="auto"/>
        <w:ind w:firstLine="0"/>
      </w:pPr>
    </w:p>
    <w:p w14:paraId="653B24E8" w14:textId="74CAB214" w:rsidR="00FF7482" w:rsidRDefault="00FF7482" w:rsidP="00CA7993">
      <w:pPr>
        <w:pStyle w:val="LawReview-StandardBodyText"/>
        <w:spacing w:after="0" w:line="259" w:lineRule="auto"/>
        <w:ind w:firstLine="0"/>
        <w:rPr>
          <w:b/>
          <w:bCs/>
        </w:rPr>
      </w:pPr>
      <w:r>
        <w:t>The statutory text is almost identical to that found in the federal APA.</w:t>
      </w:r>
      <w:r w:rsidRPr="00910BB7">
        <w:rPr>
          <w:vertAlign w:val="superscript"/>
        </w:rPr>
        <w:footnoteReference w:id="920"/>
      </w:r>
      <w:r>
        <w:t xml:space="preserve"> But there are three important preliminary observations to make. First, </w:t>
      </w:r>
      <w:r w:rsidRPr="00FA67D2">
        <w:rPr>
          <w:b/>
          <w:bCs/>
          <w:u w:val="single"/>
        </w:rPr>
        <w:t xml:space="preserve">neither a district court nor the Wyoming Supreme Court has the authority in an administrative agency appeal to address a petition for review regarding the constitutionality of </w:t>
      </w:r>
      <w:r>
        <w:rPr>
          <w:b/>
          <w:bCs/>
          <w:u w:val="single"/>
        </w:rPr>
        <w:t>the workers’ compensation</w:t>
      </w:r>
      <w:r w:rsidRPr="00FA67D2">
        <w:rPr>
          <w:b/>
          <w:bCs/>
          <w:u w:val="single"/>
        </w:rPr>
        <w:t xml:space="preserve"> statute</w:t>
      </w:r>
      <w:r w:rsidRPr="00C533A1">
        <w:t>.</w:t>
      </w:r>
      <w:r w:rsidRPr="00271B4D">
        <w:rPr>
          <w:b/>
          <w:bCs/>
        </w:rPr>
        <w:t xml:space="preserve"> Rather, the correct course</w:t>
      </w:r>
      <w:r>
        <w:rPr>
          <w:b/>
          <w:bCs/>
        </w:rPr>
        <w:t xml:space="preserve"> for such a constitutional challenge in Wyoming</w:t>
      </w:r>
      <w:r w:rsidRPr="00271B4D">
        <w:rPr>
          <w:b/>
          <w:bCs/>
        </w:rPr>
        <w:t xml:space="preserve"> is an independent action for declaratory judgment</w:t>
      </w:r>
      <w:r>
        <w:rPr>
          <w:b/>
          <w:bCs/>
        </w:rPr>
        <w:t xml:space="preserve"> under Wyoming Rule of Appellate Procedure 12.12</w:t>
      </w:r>
      <w:r w:rsidRPr="00C533A1">
        <w:t>.</w:t>
      </w:r>
      <w:r w:rsidRPr="00910BB7">
        <w:rPr>
          <w:vertAlign w:val="superscript"/>
        </w:rPr>
        <w:footnoteReference w:id="921"/>
      </w:r>
      <w:r w:rsidRPr="001D67C2">
        <w:t xml:space="preserve"> </w:t>
      </w:r>
      <w:r>
        <w:rPr>
          <w:b/>
          <w:bCs/>
        </w:rPr>
        <w:t>The declaratory action requirement is said to be rooted in the fact that administrative agencies do not have the authority to make decisions regarding the constitutionality of a statute, so an appeal of an agency decision necessarily cannot address constitutionality</w:t>
      </w:r>
      <w:r w:rsidRPr="00C533A1">
        <w:t>.</w:t>
      </w:r>
      <w:r w:rsidRPr="00910BB7">
        <w:rPr>
          <w:vertAlign w:val="superscript"/>
        </w:rPr>
        <w:footnoteReference w:id="922"/>
      </w:r>
      <w:r>
        <w:rPr>
          <w:b/>
          <w:bCs/>
        </w:rPr>
        <w:t xml:space="preserve"> </w:t>
      </w:r>
    </w:p>
    <w:p w14:paraId="1002C7D9" w14:textId="77777777" w:rsidR="00FF7482" w:rsidRDefault="00FF7482" w:rsidP="006C4967">
      <w:pPr>
        <w:pStyle w:val="LawReview-StandardBodyText"/>
        <w:spacing w:after="0" w:line="259" w:lineRule="auto"/>
        <w:rPr>
          <w:b/>
          <w:bCs/>
        </w:rPr>
      </w:pPr>
    </w:p>
    <w:p w14:paraId="25D02C91" w14:textId="3B7175AD" w:rsidR="00FF7482" w:rsidRDefault="00FF7482" w:rsidP="00C533A1">
      <w:pPr>
        <w:pStyle w:val="LawReview-StandardBodyText"/>
        <w:spacing w:after="0" w:line="259" w:lineRule="auto"/>
        <w:ind w:firstLine="0"/>
      </w:pPr>
      <w:r>
        <w:t>The second preliminary observation is that, while an agency may certainly act “in excess of statutory jurisdiction</w:t>
      </w:r>
      <w:r w:rsidRPr="00317C32">
        <w:t xml:space="preserve"> authority or limitations or lacking statutory right</w:t>
      </w:r>
      <w:r>
        <w:t xml:space="preserve">”—for example, the agency does that which it simply has no statutory authority to do—such “statutory excess” cases seldom arise in Wyoming in </w:t>
      </w:r>
      <w:r w:rsidRPr="008D344E">
        <w:rPr>
          <w:b/>
          <w:bCs/>
        </w:rPr>
        <w:t>“interpretive”</w:t>
      </w:r>
      <w:r>
        <w:t xml:space="preserve"> contexts. In other words, in the</w:t>
      </w:r>
      <w:r w:rsidRPr="008D344E">
        <w:rPr>
          <w:b/>
          <w:bCs/>
        </w:rPr>
        <w:t xml:space="preserve"> federal</w:t>
      </w:r>
      <w:r>
        <w:t xml:space="preserve"> sector agencies are at least putatively afforded </w:t>
      </w:r>
      <w:r w:rsidRPr="008D344E">
        <w:rPr>
          <w:i/>
          <w:iCs/>
        </w:rPr>
        <w:t>judicial deference</w:t>
      </w:r>
      <w:r>
        <w:t xml:space="preserve"> when reasonably interpreting </w:t>
      </w:r>
      <w:r w:rsidRPr="00733FE9">
        <w:rPr>
          <w:b/>
          <w:bCs/>
        </w:rPr>
        <w:t>ambiguous</w:t>
      </w:r>
      <w:r>
        <w:t xml:space="preserve"> statutory language in their enabling statutes.</w:t>
      </w:r>
      <w:r w:rsidRPr="00910BB7">
        <w:rPr>
          <w:vertAlign w:val="superscript"/>
        </w:rPr>
        <w:footnoteReference w:id="923"/>
      </w:r>
      <w:r>
        <w:t xml:space="preserve"> While Wyoming cases have occasionally stated this principle,</w:t>
      </w:r>
      <w:r w:rsidRPr="00910BB7">
        <w:rPr>
          <w:vertAlign w:val="superscript"/>
        </w:rPr>
        <w:footnoteReference w:id="924"/>
      </w:r>
      <w:r>
        <w:t xml:space="preserve"> </w:t>
      </w:r>
      <w:r w:rsidRPr="00620B44">
        <w:rPr>
          <w:b/>
          <w:bCs/>
          <w:u w:val="single"/>
        </w:rPr>
        <w:t>the dominant rule has been that the standard of review of an agency’s conclusions of law is de novo</w:t>
      </w:r>
      <w:r w:rsidRPr="00620B44">
        <w:t>.</w:t>
      </w:r>
      <w:r w:rsidRPr="00910BB7">
        <w:rPr>
          <w:vertAlign w:val="superscript"/>
        </w:rPr>
        <w:footnoteReference w:id="925"/>
      </w:r>
      <w:r>
        <w:t xml:space="preserve"> The author has been unable to locate any case in which a Wyoming court has upheld a Wyoming administrative agency’s </w:t>
      </w:r>
      <w:r>
        <w:lastRenderedPageBreak/>
        <w:t xml:space="preserve">interpretation of an ambiguous portion of its organic statute on </w:t>
      </w:r>
      <w:r w:rsidRPr="00733FE9">
        <w:rPr>
          <w:i/>
          <w:iCs/>
        </w:rPr>
        <w:t>Chevron</w:t>
      </w:r>
      <w:r>
        <w:t xml:space="preserve"> deference-type grounds. </w:t>
      </w:r>
    </w:p>
    <w:p w14:paraId="33C3AD44" w14:textId="0C8DA433" w:rsidR="00FF7482" w:rsidRDefault="00FF7482" w:rsidP="006C4967">
      <w:pPr>
        <w:pStyle w:val="LawReview-StandardBodyText"/>
        <w:spacing w:after="0" w:line="259" w:lineRule="auto"/>
      </w:pPr>
    </w:p>
    <w:p w14:paraId="30E0DD9E" w14:textId="47EF889F" w:rsidR="00FF7482" w:rsidRDefault="00FF7482" w:rsidP="00C533A1">
      <w:pPr>
        <w:pStyle w:val="LawReview-StandardBodyText"/>
        <w:spacing w:after="0" w:line="259" w:lineRule="auto"/>
        <w:ind w:firstLine="0"/>
      </w:pPr>
      <w:r>
        <w:t xml:space="preserve">The third preliminary observation is that </w:t>
      </w:r>
      <w:r w:rsidRPr="00A230CD">
        <w:rPr>
          <w:b/>
          <w:bCs/>
          <w:u w:val="single"/>
        </w:rPr>
        <w:t>on appeal the Wyoming Supreme Court gives no special deference to the decision of a district court</w:t>
      </w:r>
      <w:r>
        <w:t>.</w:t>
      </w:r>
      <w:r w:rsidRPr="00910BB7">
        <w:rPr>
          <w:vertAlign w:val="superscript"/>
        </w:rPr>
        <w:footnoteReference w:id="926"/>
      </w:r>
      <w:r>
        <w:t xml:space="preserve"> In effect, the district court appeal is an exhaustion requirement most likely to dissuade litigants with limited resources.</w:t>
      </w:r>
      <w:r w:rsidRPr="00910BB7">
        <w:rPr>
          <w:vertAlign w:val="superscript"/>
        </w:rPr>
        <w:footnoteReference w:id="927"/>
      </w:r>
    </w:p>
    <w:p w14:paraId="1D187243" w14:textId="4DE43826" w:rsidR="00FF7482" w:rsidRDefault="00FF7482" w:rsidP="006C4967">
      <w:pPr>
        <w:pStyle w:val="LawReview-StandardBodyText"/>
        <w:spacing w:after="0" w:line="259" w:lineRule="auto"/>
      </w:pPr>
    </w:p>
    <w:p w14:paraId="474AF268" w14:textId="08B7F157" w:rsidR="00FF7482" w:rsidRDefault="00FF7482" w:rsidP="00C533A1">
      <w:pPr>
        <w:pStyle w:val="LawReview-StandardBodyText"/>
        <w:spacing w:after="0" w:line="259" w:lineRule="auto"/>
        <w:ind w:firstLine="0"/>
        <w:rPr>
          <w:b/>
          <w:bCs/>
        </w:rPr>
      </w:pPr>
      <w:r>
        <w:t xml:space="preserve">These preliminary observations suggest what seems empirically to be the case: </w:t>
      </w:r>
      <w:r w:rsidRPr="00733FE9">
        <w:rPr>
          <w:b/>
          <w:bCs/>
        </w:rPr>
        <w:t xml:space="preserve">most workers’ compensation appellate litigation (in Wyoming and elsewhere) centers on 1) </w:t>
      </w:r>
      <w:r w:rsidRPr="00A222EB">
        <w:rPr>
          <w:b/>
          <w:bCs/>
          <w:u w:val="single"/>
        </w:rPr>
        <w:t>whether an administrative agency’s decision was “[a]rbitrary, capricious, an abuse of discretion or otherwise not in accordance with law</w:t>
      </w:r>
      <w:r w:rsidRPr="00733FE9">
        <w:rPr>
          <w:b/>
          <w:bCs/>
        </w:rPr>
        <w:t xml:space="preserve">;” and/or 2) </w:t>
      </w:r>
      <w:r w:rsidRPr="00A222EB">
        <w:rPr>
          <w:b/>
          <w:bCs/>
          <w:u w:val="single"/>
        </w:rPr>
        <w:t>whether an agency decision was “[u]nsupported by substantial evidence in a case reviewed on the record of an agency hearing provided by statute</w:t>
      </w:r>
      <w:r w:rsidRPr="00733FE9">
        <w:rPr>
          <w:b/>
          <w:bCs/>
        </w:rPr>
        <w:t>.”</w:t>
      </w:r>
    </w:p>
    <w:p w14:paraId="2F5726F7" w14:textId="77777777" w:rsidR="00C533A1" w:rsidRDefault="00C533A1" w:rsidP="00C533A1">
      <w:pPr>
        <w:pStyle w:val="LawReview-StandardBodyText"/>
        <w:spacing w:after="0" w:line="259" w:lineRule="auto"/>
        <w:ind w:firstLine="0"/>
      </w:pPr>
    </w:p>
    <w:p w14:paraId="13B25EB1" w14:textId="782E9D58" w:rsidR="00FF7482" w:rsidRDefault="00FF7482" w:rsidP="00C533A1">
      <w:pPr>
        <w:pStyle w:val="LawReview-StandardBodyText"/>
        <w:spacing w:after="0" w:line="259" w:lineRule="auto"/>
        <w:ind w:firstLine="0"/>
      </w:pPr>
      <w:r>
        <w:t xml:space="preserve">The Treatise will next lay out the substantial evidence and arbitrary and capricious rules with the caveat that, in the opinion of this writer, the rules are confused and need to be clarified. The substantial evidence rule, for example, is something other than what it is thought to be in other jurisdictions and legal practitioners should be wary of the distinctions between Wyoming substantial evidence law and “typical” expositions of substantial evidence. </w:t>
      </w:r>
    </w:p>
    <w:p w14:paraId="11D7007B" w14:textId="77777777" w:rsidR="00FF7482" w:rsidRPr="004C6EA5" w:rsidRDefault="00FF7482" w:rsidP="006C4967">
      <w:pPr>
        <w:pStyle w:val="LawReview-StandardBodyText"/>
        <w:spacing w:after="0" w:line="259" w:lineRule="auto"/>
      </w:pPr>
    </w:p>
    <w:p w14:paraId="3ABBDA7C" w14:textId="6F742E34" w:rsidR="00FF7482" w:rsidRDefault="00FF7482" w:rsidP="00C533A1">
      <w:pPr>
        <w:pStyle w:val="Heading2"/>
        <w:spacing w:before="0"/>
        <w:rPr>
          <w:rFonts w:ascii="Times New Roman" w:hAnsi="Times New Roman" w:cs="Times New Roman"/>
          <w:b/>
          <w:color w:val="auto"/>
          <w:sz w:val="28"/>
          <w:szCs w:val="28"/>
        </w:rPr>
      </w:pPr>
      <w:bookmarkStart w:id="1284" w:name="_Toc75269438"/>
      <w:r>
        <w:rPr>
          <w:rFonts w:ascii="Times New Roman" w:hAnsi="Times New Roman" w:cs="Times New Roman"/>
          <w:b/>
          <w:color w:val="auto"/>
          <w:sz w:val="28"/>
          <w:szCs w:val="28"/>
        </w:rPr>
        <w:t>The Substantial Evidence Rule</w:t>
      </w:r>
      <w:bookmarkEnd w:id="1284"/>
    </w:p>
    <w:p w14:paraId="2856E262" w14:textId="17789F50" w:rsidR="00FF7482" w:rsidRDefault="00FF7482" w:rsidP="006C4967">
      <w:pPr>
        <w:pStyle w:val="LawReview-StandardBodyText"/>
        <w:spacing w:after="0" w:line="259" w:lineRule="auto"/>
      </w:pPr>
    </w:p>
    <w:p w14:paraId="09847CE8" w14:textId="58CFEAAB" w:rsidR="00FF7482" w:rsidRDefault="00FF7482" w:rsidP="00C533A1">
      <w:pPr>
        <w:pStyle w:val="LawReview-StandardBodyText"/>
        <w:spacing w:after="0" w:line="259" w:lineRule="auto"/>
        <w:ind w:firstLine="0"/>
      </w:pPr>
      <w:r>
        <w:t xml:space="preserve">There are actually </w:t>
      </w:r>
      <w:r w:rsidRPr="00884D0E">
        <w:rPr>
          <w:b/>
          <w:bCs/>
        </w:rPr>
        <w:t>two parts</w:t>
      </w:r>
      <w:r>
        <w:t xml:space="preserve"> to the substantial evidence rule in Wyoming, though it should be kept in mind that all analysis here proceeds from a single provision of </w:t>
      </w:r>
      <w:bookmarkStart w:id="1285" w:name="_Hlk13049619"/>
      <w:r>
        <w:t xml:space="preserve">the Wyoming Administrative Procedure Act, W.S. </w:t>
      </w:r>
      <w:r w:rsidRPr="00773446">
        <w:t xml:space="preserve">§ </w:t>
      </w:r>
      <w:hyperlink r:id="rId130" w:history="1">
        <w:r w:rsidRPr="005939F9">
          <w:rPr>
            <w:rStyle w:val="Hyperlink"/>
          </w:rPr>
          <w:t>16-3-114</w:t>
        </w:r>
      </w:hyperlink>
      <w:r w:rsidRPr="00773446">
        <w:t>(c)</w:t>
      </w:r>
      <w:r>
        <w:t>(ii)(E)</w:t>
      </w:r>
      <w:bookmarkEnd w:id="1285"/>
      <w:r>
        <w:t xml:space="preserve">. It is also important to remember that the language of this provision is virtually identical to substantial evidence language in the federal APA. A recent exposition of the Wyoming substantial evidence rule may be found in </w:t>
      </w:r>
      <w:r w:rsidRPr="00884D0E">
        <w:rPr>
          <w:i/>
          <w:iCs/>
        </w:rPr>
        <w:t>Hart by and through Hart v. Department of Workforce Services</w:t>
      </w:r>
      <w:r>
        <w:t>.</w:t>
      </w:r>
      <w:r w:rsidRPr="00910BB7">
        <w:rPr>
          <w:vertAlign w:val="superscript"/>
        </w:rPr>
        <w:footnoteReference w:id="928"/>
      </w:r>
      <w:r>
        <w:t xml:space="preserve"> First, </w:t>
      </w:r>
    </w:p>
    <w:p w14:paraId="5F38409D" w14:textId="77777777" w:rsidR="00FF7482" w:rsidRDefault="00FF7482" w:rsidP="006C4967">
      <w:pPr>
        <w:pStyle w:val="LawReview-StandardBodyText"/>
        <w:spacing w:after="0" w:line="259" w:lineRule="auto"/>
      </w:pPr>
    </w:p>
    <w:p w14:paraId="43D3A481" w14:textId="0C75FC54" w:rsidR="00FF7482" w:rsidRDefault="00FF7482" w:rsidP="00C94B70">
      <w:pPr>
        <w:pStyle w:val="LawReview-StandardBodyText"/>
        <w:spacing w:after="0" w:line="259" w:lineRule="auto"/>
        <w:ind w:left="720" w:right="720" w:firstLine="0"/>
        <w:rPr>
          <w:rFonts w:cs="Times New Roman"/>
        </w:rPr>
      </w:pPr>
      <w:r w:rsidRPr="00884D0E">
        <w:rPr>
          <w:rFonts w:cs="Times New Roman"/>
        </w:rPr>
        <w:t xml:space="preserve">In reviewing findings </w:t>
      </w:r>
      <w:r w:rsidRPr="00884D0E">
        <w:t>of</w:t>
      </w:r>
      <w:r w:rsidRPr="00884D0E">
        <w:rPr>
          <w:rFonts w:cs="Times New Roman"/>
        </w:rPr>
        <w:t xml:space="preserve"> fact, we examine the entire record to determine whether there is substantial evidence to support an agency’s findings. If the agency’s decision is supported by substantial evidence, we cannot properly substitute our judgment for </w:t>
      </w:r>
      <w:r w:rsidRPr="00884D0E">
        <w:rPr>
          <w:rFonts w:cs="Times New Roman"/>
        </w:rPr>
        <w:lastRenderedPageBreak/>
        <w:t xml:space="preserve">that of the agency and must uphold the findings on appeal. Substantial evidence is </w:t>
      </w:r>
      <w:bookmarkStart w:id="1288" w:name="_Hlk13241004"/>
      <w:r w:rsidRPr="00D06DFA">
        <w:rPr>
          <w:rFonts w:cs="Times New Roman"/>
          <w:b/>
          <w:bCs/>
          <w:u w:val="single"/>
        </w:rPr>
        <w:t>relevant evidence which a reasonable mind might accept in support of the agency’s conclusions</w:t>
      </w:r>
      <w:bookmarkEnd w:id="1288"/>
      <w:r w:rsidRPr="00D06DFA">
        <w:rPr>
          <w:rFonts w:cs="Times New Roman"/>
          <w:b/>
          <w:bCs/>
          <w:u w:val="single"/>
        </w:rPr>
        <w:t>. It is more than a scintilla of evidence</w:t>
      </w:r>
      <w:r w:rsidRPr="00884D0E">
        <w:rPr>
          <w:rFonts w:cs="Times New Roman"/>
        </w:rPr>
        <w:t>.</w:t>
      </w:r>
      <w:r w:rsidRPr="00910BB7">
        <w:rPr>
          <w:rFonts w:cs="Times New Roman"/>
          <w:vertAlign w:val="superscript"/>
        </w:rPr>
        <w:footnoteReference w:id="929"/>
      </w:r>
    </w:p>
    <w:p w14:paraId="255DDA0A" w14:textId="77777777" w:rsidR="00C94B70" w:rsidRDefault="00C94B70" w:rsidP="00C94B70">
      <w:pPr>
        <w:pStyle w:val="LawReview-StandardBodyText"/>
        <w:spacing w:after="0" w:line="259" w:lineRule="auto"/>
        <w:ind w:left="720" w:right="720" w:firstLine="0"/>
        <w:rPr>
          <w:rFonts w:cs="Times New Roman"/>
        </w:rPr>
      </w:pPr>
    </w:p>
    <w:p w14:paraId="0A296662" w14:textId="32F1D7DB" w:rsidR="00FF7482" w:rsidRDefault="00FF7482" w:rsidP="004A7649">
      <w:pPr>
        <w:pStyle w:val="LawReview-StandardBodyText"/>
        <w:spacing w:after="0" w:line="259" w:lineRule="auto"/>
        <w:ind w:firstLine="0"/>
        <w:rPr>
          <w:rFonts w:cs="Times New Roman"/>
        </w:rPr>
      </w:pPr>
      <w:r>
        <w:rPr>
          <w:rFonts w:cs="Times New Roman"/>
        </w:rPr>
        <w:t>To this point, the substantial evidence rule looks the same as it would in most jurisdictions.</w:t>
      </w:r>
      <w:r w:rsidRPr="00910BB7">
        <w:rPr>
          <w:rFonts w:cs="Times New Roman"/>
          <w:vertAlign w:val="superscript"/>
        </w:rPr>
        <w:footnoteReference w:id="930"/>
      </w:r>
      <w:r>
        <w:rPr>
          <w:rFonts w:cs="Times New Roman"/>
        </w:rPr>
        <w:t xml:space="preserve"> But there is a second, non-standard component to the substantial evidence rule in Wyoming:</w:t>
      </w:r>
    </w:p>
    <w:p w14:paraId="1554FF69" w14:textId="77777777" w:rsidR="00FF7482" w:rsidRDefault="00FF7482" w:rsidP="006C4967">
      <w:pPr>
        <w:pStyle w:val="LawReview-StandardBodyText"/>
        <w:spacing w:after="0" w:line="259" w:lineRule="auto"/>
        <w:rPr>
          <w:rFonts w:cs="Times New Roman"/>
        </w:rPr>
      </w:pPr>
    </w:p>
    <w:p w14:paraId="18D291BD" w14:textId="44D946BA" w:rsidR="00FF7482" w:rsidRDefault="00FF7482" w:rsidP="004A7649">
      <w:pPr>
        <w:pStyle w:val="LawReview-StandardBodyText"/>
        <w:spacing w:after="0" w:line="259" w:lineRule="auto"/>
        <w:ind w:left="720" w:right="720" w:firstLine="0"/>
        <w:rPr>
          <w:rStyle w:val="Hyperlink"/>
          <w:vertAlign w:val="superscript"/>
        </w:rPr>
      </w:pPr>
      <w:r w:rsidRPr="00B67E83">
        <w:rPr>
          <w:rFonts w:cs="Times New Roman"/>
          <w:b/>
          <w:bCs/>
        </w:rPr>
        <w:t>If the hearing examiner determines that the burdened party failed to meet his burden of proof</w:t>
      </w:r>
      <w:r w:rsidRPr="00773446">
        <w:rPr>
          <w:rFonts w:cs="Times New Roman"/>
        </w:rPr>
        <w:t xml:space="preserve">, we will decide whether there is substantial evidence to support the agency’s decision to reject the evidence offered by the burdened party by considering </w:t>
      </w:r>
      <w:r w:rsidRPr="00B67E83">
        <w:rPr>
          <w:rFonts w:cs="Times New Roman"/>
        </w:rPr>
        <w:t xml:space="preserve">whether that conclusion was </w:t>
      </w:r>
      <w:r w:rsidRPr="007043DE">
        <w:rPr>
          <w:rFonts w:cs="Times New Roman"/>
          <w:b/>
          <w:bCs/>
          <w:u w:val="single"/>
        </w:rPr>
        <w:t>contrary to the overwhelming weight of the evidence</w:t>
      </w:r>
      <w:r w:rsidRPr="00B67E83">
        <w:rPr>
          <w:rFonts w:cs="Times New Roman"/>
          <w:b/>
          <w:bCs/>
        </w:rPr>
        <w:t xml:space="preserve"> in the record as a whole</w:t>
      </w:r>
      <w:r w:rsidRPr="00773446">
        <w:rPr>
          <w:rFonts w:cs="Times New Roman"/>
        </w:rPr>
        <w:t>.</w:t>
      </w:r>
      <w:r w:rsidRPr="00910BB7">
        <w:rPr>
          <w:vertAlign w:val="superscript"/>
        </w:rPr>
        <w:footnoteReference w:id="931"/>
      </w:r>
    </w:p>
    <w:p w14:paraId="6D9FFFDD" w14:textId="77777777" w:rsidR="004A7649" w:rsidRDefault="004A7649" w:rsidP="004A7649">
      <w:pPr>
        <w:pStyle w:val="LawReview-StandardBodyText"/>
        <w:spacing w:after="0" w:line="259" w:lineRule="auto"/>
        <w:ind w:firstLine="0"/>
        <w:rPr>
          <w:rFonts w:cs="Times New Roman"/>
        </w:rPr>
      </w:pPr>
    </w:p>
    <w:p w14:paraId="70640008" w14:textId="11A6D7C9" w:rsidR="00FF7482" w:rsidRDefault="00FF7482" w:rsidP="004A7649">
      <w:pPr>
        <w:pStyle w:val="LawReview-StandardBodyText"/>
        <w:spacing w:after="0" w:line="259" w:lineRule="auto"/>
        <w:ind w:firstLine="0"/>
        <w:rPr>
          <w:rFonts w:cs="Times New Roman"/>
        </w:rPr>
      </w:pPr>
      <w:r>
        <w:rPr>
          <w:rFonts w:cs="Times New Roman"/>
        </w:rPr>
        <w:t xml:space="preserve">There are at least two problems with this formulation. First, the courts are wrestling (as the courts have indicated they are – see below) with the distinction between the </w:t>
      </w:r>
      <w:r w:rsidRPr="0094323B">
        <w:rPr>
          <w:rFonts w:cs="Times New Roman"/>
          <w:b/>
          <w:bCs/>
        </w:rPr>
        <w:t>weight</w:t>
      </w:r>
      <w:r>
        <w:rPr>
          <w:rFonts w:cs="Times New Roman"/>
        </w:rPr>
        <w:t xml:space="preserve"> and the </w:t>
      </w:r>
      <w:r w:rsidRPr="0094323B">
        <w:rPr>
          <w:rFonts w:cs="Times New Roman"/>
          <w:b/>
          <w:bCs/>
        </w:rPr>
        <w:t xml:space="preserve">character </w:t>
      </w:r>
      <w:r>
        <w:rPr>
          <w:rFonts w:cs="Times New Roman"/>
        </w:rPr>
        <w:t xml:space="preserve">of evidence. It is obviously, for example, within a state’s authority to say that even if an administrative agency’s decision is </w:t>
      </w:r>
      <w:r w:rsidRPr="007043DE">
        <w:rPr>
          <w:rFonts w:cs="Times New Roman"/>
          <w:i/>
          <w:iCs/>
        </w:rPr>
        <w:t>not supported by a preponderance</w:t>
      </w:r>
      <w:r>
        <w:rPr>
          <w:rFonts w:cs="Times New Roman"/>
        </w:rPr>
        <w:t xml:space="preserve"> of evidence the decision of the agency will be upheld (essentially for reasons of judicial efficiency). That is a question of </w:t>
      </w:r>
      <w:r w:rsidRPr="007043DE">
        <w:rPr>
          <w:rFonts w:cs="Times New Roman"/>
          <w:i/>
          <w:iCs/>
        </w:rPr>
        <w:t>weight</w:t>
      </w:r>
      <w:r>
        <w:rPr>
          <w:rFonts w:cs="Times New Roman"/>
        </w:rPr>
        <w:t xml:space="preserve">. But weight is also a characteristic of the traditional substantial evidence rule—to uphold the agency a court must find that there is </w:t>
      </w:r>
      <w:r w:rsidRPr="007043DE">
        <w:rPr>
          <w:rFonts w:cs="Times New Roman"/>
          <w:b/>
          <w:bCs/>
        </w:rPr>
        <w:t>more than a scintilla</w:t>
      </w:r>
      <w:r>
        <w:rPr>
          <w:rFonts w:cs="Times New Roman"/>
        </w:rPr>
        <w:t xml:space="preserve"> of relevant evidence of a type that a reasonable mind might accept in support of the agency’s conclusions. So part one of the rule would uphold an agency decision if supported by </w:t>
      </w:r>
      <w:r w:rsidRPr="004D2E91">
        <w:rPr>
          <w:rFonts w:cs="Times New Roman"/>
          <w:i/>
          <w:iCs/>
        </w:rPr>
        <w:t>more than a scintilla</w:t>
      </w:r>
      <w:r>
        <w:rPr>
          <w:rFonts w:cs="Times New Roman"/>
        </w:rPr>
        <w:t xml:space="preserve"> of evidence, while part two of the rule would uphold an agency decision unless it is </w:t>
      </w:r>
      <w:r w:rsidRPr="004D2E91">
        <w:rPr>
          <w:rFonts w:cs="Times New Roman"/>
          <w:i/>
          <w:iCs/>
        </w:rPr>
        <w:t>clearly contrary to the overwhelming weight</w:t>
      </w:r>
      <w:r>
        <w:rPr>
          <w:rFonts w:cs="Times New Roman"/>
        </w:rPr>
        <w:t xml:space="preserve"> of the evidence. Part two is not an articulation of the substantial evidence rule as commonly understood.</w:t>
      </w:r>
      <w:r w:rsidRPr="00910BB7">
        <w:rPr>
          <w:rFonts w:cs="Times New Roman"/>
          <w:vertAlign w:val="superscript"/>
        </w:rPr>
        <w:footnoteReference w:id="932"/>
      </w:r>
      <w:r>
        <w:rPr>
          <w:rFonts w:cs="Times New Roman"/>
        </w:rPr>
        <w:t xml:space="preserve"> </w:t>
      </w:r>
    </w:p>
    <w:p w14:paraId="73706E5D" w14:textId="77777777" w:rsidR="00E05B11" w:rsidRDefault="00E05B11" w:rsidP="00E05B11">
      <w:pPr>
        <w:pStyle w:val="LawReview-StandardBodyText"/>
        <w:spacing w:after="0" w:line="259" w:lineRule="auto"/>
        <w:ind w:firstLine="0"/>
        <w:rPr>
          <w:rFonts w:cs="Times New Roman"/>
        </w:rPr>
      </w:pPr>
    </w:p>
    <w:p w14:paraId="4A76B435" w14:textId="1C827BF7" w:rsidR="00FF7482" w:rsidRDefault="00FF7482" w:rsidP="007977E5">
      <w:pPr>
        <w:pStyle w:val="LawReview-StandardBodyText"/>
        <w:spacing w:after="0" w:line="259" w:lineRule="auto"/>
        <w:ind w:firstLine="0"/>
        <w:rPr>
          <w:rFonts w:cs="Times New Roman"/>
        </w:rPr>
      </w:pPr>
      <w:r>
        <w:rPr>
          <w:rFonts w:cs="Times New Roman"/>
        </w:rPr>
        <w:t xml:space="preserve">The second problem with the two-part substantial evidence articulation is that it is hard to imagine a case in which a party failed to prevail for any </w:t>
      </w:r>
      <w:r w:rsidRPr="004D2E91">
        <w:rPr>
          <w:rFonts w:cs="Times New Roman"/>
          <w:i/>
          <w:iCs/>
        </w:rPr>
        <w:t>evidentiary</w:t>
      </w:r>
      <w:r>
        <w:rPr>
          <w:rFonts w:cs="Times New Roman"/>
        </w:rPr>
        <w:t xml:space="preserve"> reason other than that it did not satisfy its burden of proof. While there is a very specific case posture problem that has generated this “sub-standard” (</w:t>
      </w:r>
      <w:r w:rsidRPr="00E4578C">
        <w:rPr>
          <w:rFonts w:cs="Times New Roman"/>
          <w:i/>
          <w:iCs/>
        </w:rPr>
        <w:t>see infra</w:t>
      </w:r>
      <w:r>
        <w:rPr>
          <w:rFonts w:cs="Times New Roman"/>
        </w:rPr>
        <w:t>. of this Treatise at 7.5), it is difficult not to see it as surplusage with potential for doing mischief.</w:t>
      </w:r>
    </w:p>
    <w:p w14:paraId="54DA6D66" w14:textId="77777777" w:rsidR="00C94B70" w:rsidRDefault="00C94B70" w:rsidP="007977E5">
      <w:pPr>
        <w:pStyle w:val="LawReview-StandardBodyText"/>
        <w:spacing w:after="0" w:line="259" w:lineRule="auto"/>
        <w:ind w:firstLine="0"/>
        <w:rPr>
          <w:rFonts w:cs="Times New Roman"/>
        </w:rPr>
      </w:pPr>
    </w:p>
    <w:p w14:paraId="49BFB1AC" w14:textId="77777777" w:rsidR="007977E5" w:rsidRPr="004C6EA5" w:rsidRDefault="007977E5" w:rsidP="007977E5">
      <w:pPr>
        <w:pStyle w:val="LawReview-StandardBodyText"/>
        <w:spacing w:after="0" w:line="259" w:lineRule="auto"/>
        <w:ind w:firstLine="0"/>
        <w:rPr>
          <w:rFonts w:cs="Times New Roman"/>
        </w:rPr>
      </w:pPr>
    </w:p>
    <w:p w14:paraId="74D18DE8" w14:textId="580EA94F" w:rsidR="00FF7482" w:rsidRPr="004C6EA5" w:rsidRDefault="00FF7482" w:rsidP="007977E5">
      <w:pPr>
        <w:pStyle w:val="Heading2"/>
        <w:spacing w:before="0"/>
        <w:rPr>
          <w:rFonts w:ascii="Times New Roman" w:hAnsi="Times New Roman" w:cs="Times New Roman"/>
          <w:b/>
          <w:color w:val="auto"/>
          <w:sz w:val="28"/>
          <w:szCs w:val="28"/>
        </w:rPr>
      </w:pPr>
      <w:bookmarkStart w:id="1293" w:name="_Toc75269439"/>
      <w:r w:rsidRPr="004C6EA5">
        <w:rPr>
          <w:rFonts w:ascii="Times New Roman" w:hAnsi="Times New Roman" w:cs="Times New Roman"/>
          <w:b/>
          <w:color w:val="auto"/>
          <w:sz w:val="28"/>
          <w:szCs w:val="28"/>
        </w:rPr>
        <w:lastRenderedPageBreak/>
        <w:t>Arbitrary and Capricious R</w:t>
      </w:r>
      <w:r>
        <w:rPr>
          <w:rFonts w:ascii="Times New Roman" w:hAnsi="Times New Roman" w:cs="Times New Roman"/>
          <w:b/>
          <w:color w:val="auto"/>
          <w:sz w:val="28"/>
          <w:szCs w:val="28"/>
        </w:rPr>
        <w:t>eview</w:t>
      </w:r>
      <w:bookmarkEnd w:id="1293"/>
    </w:p>
    <w:p w14:paraId="19E0929A" w14:textId="317FCD90" w:rsidR="00FF7482" w:rsidRDefault="00FF7482" w:rsidP="006C4967">
      <w:pPr>
        <w:pStyle w:val="LawReview-StandardBodyText"/>
        <w:spacing w:after="0" w:line="259" w:lineRule="auto"/>
      </w:pPr>
    </w:p>
    <w:p w14:paraId="0EFDDB51" w14:textId="170347A9" w:rsidR="00FF7482" w:rsidRDefault="00FF7482" w:rsidP="007977E5">
      <w:pPr>
        <w:pStyle w:val="LawReview-StandardBodyText"/>
        <w:spacing w:after="0" w:line="259" w:lineRule="auto"/>
        <w:ind w:firstLine="0"/>
      </w:pPr>
      <w:r>
        <w:t xml:space="preserve">In </w:t>
      </w:r>
      <w:r w:rsidRPr="00A01F3A">
        <w:rPr>
          <w:i/>
          <w:iCs/>
        </w:rPr>
        <w:t>Harboth v. Department of Workforce Services</w:t>
      </w:r>
      <w:r>
        <w:t>,</w:t>
      </w:r>
      <w:r w:rsidRPr="00910BB7">
        <w:rPr>
          <w:vertAlign w:val="superscript"/>
        </w:rPr>
        <w:footnoteReference w:id="933"/>
      </w:r>
      <w:r>
        <w:t xml:space="preserve"> the Wyoming Supreme Court re-articulated how it applies the arbitrary and capricious rule under the Wyoming Administrative Procedure Act, W.S. </w:t>
      </w:r>
      <w:r w:rsidRPr="00773446">
        <w:t xml:space="preserve">§ </w:t>
      </w:r>
      <w:hyperlink r:id="rId131" w:history="1">
        <w:r w:rsidRPr="005939F9">
          <w:rPr>
            <w:rStyle w:val="Hyperlink"/>
          </w:rPr>
          <w:t>16-3-114</w:t>
        </w:r>
      </w:hyperlink>
      <w:r w:rsidRPr="00773446">
        <w:t>(c)</w:t>
      </w:r>
      <w:r>
        <w:t>(ii)(A):</w:t>
      </w:r>
    </w:p>
    <w:p w14:paraId="64184342" w14:textId="10B0AAEC" w:rsidR="00FF7482" w:rsidRDefault="00FF7482" w:rsidP="006C4967">
      <w:pPr>
        <w:pStyle w:val="LawReview-StandardBodyText"/>
        <w:spacing w:after="0" w:line="259" w:lineRule="auto"/>
      </w:pPr>
    </w:p>
    <w:p w14:paraId="6499E544" w14:textId="30055489" w:rsidR="00FF7482" w:rsidRDefault="00FF7482" w:rsidP="006C4967">
      <w:pPr>
        <w:pStyle w:val="LawReview-StandardBodyText"/>
        <w:spacing w:after="0" w:line="259" w:lineRule="auto"/>
        <w:ind w:left="720" w:right="720" w:firstLine="0"/>
      </w:pPr>
      <w:r w:rsidRPr="00A01F3A">
        <w:rPr>
          <w:b/>
          <w:bCs/>
        </w:rPr>
        <w:t>We also apply the arbitrary and capricious standard as a “safety net”</w:t>
      </w:r>
      <w:r w:rsidRPr="00747B7E">
        <w:t xml:space="preserve"> </w:t>
      </w:r>
      <w:bookmarkStart w:id="1295" w:name="_Hlk13064954"/>
      <w:r w:rsidRPr="00747B7E">
        <w:t xml:space="preserve">to catch agency action, “which prejudices a party’s substantial rights or which </w:t>
      </w:r>
      <w:r w:rsidRPr="00A01F3A">
        <w:rPr>
          <w:b/>
          <w:bCs/>
        </w:rPr>
        <w:t>may be contrary to the other review standards under the Administrative Procedure Act</w:t>
      </w:r>
      <w:bookmarkEnd w:id="1295"/>
      <w:r w:rsidRPr="00A01F3A">
        <w:rPr>
          <w:b/>
          <w:bCs/>
        </w:rPr>
        <w:t>, yet is not easily categorized or fit to any one particular standard.”</w:t>
      </w:r>
      <w:r w:rsidRPr="007977E5">
        <w:t>.</w:t>
      </w:r>
      <w:r>
        <w:t xml:space="preserve"> . </w:t>
      </w:r>
      <w:r w:rsidRPr="00747B7E">
        <w:t xml:space="preserve">. Examples of arbitrary and capricious actions include </w:t>
      </w:r>
      <w:r w:rsidRPr="00A01F3A">
        <w:rPr>
          <w:b/>
          <w:bCs/>
        </w:rPr>
        <w:t>making inconsistent or incomplete findings of facts or conclusions of law, failing to admit testimony or other evidence that was clearly admissible, or violating a party’s right of due process</w:t>
      </w:r>
      <w:r w:rsidRPr="00747B7E">
        <w:t>.</w:t>
      </w:r>
      <w:r w:rsidRPr="00910BB7">
        <w:rPr>
          <w:vertAlign w:val="superscript"/>
        </w:rPr>
        <w:footnoteReference w:id="934"/>
      </w:r>
    </w:p>
    <w:p w14:paraId="5330C2DE" w14:textId="2E46D763" w:rsidR="00FF7482" w:rsidRDefault="00FF7482" w:rsidP="006C4967">
      <w:pPr>
        <w:pStyle w:val="LawReview-StandardBodyText"/>
        <w:spacing w:after="0" w:line="259" w:lineRule="auto"/>
      </w:pPr>
    </w:p>
    <w:p w14:paraId="6EC1CB7A" w14:textId="7EF3C073" w:rsidR="00FF7482" w:rsidRDefault="00FF7482" w:rsidP="007977E5">
      <w:pPr>
        <w:pStyle w:val="LawReview-StandardBodyText"/>
        <w:spacing w:after="0" w:line="259" w:lineRule="auto"/>
        <w:ind w:firstLine="0"/>
      </w:pPr>
      <w:r>
        <w:t>The standard is imprecise on its face, but the strong implication for its very existence is that at times the substantial evidence standard may be ineffective as an evidentiary review mechanism “</w:t>
      </w:r>
      <w:r w:rsidRPr="005C2DB2">
        <w:t xml:space="preserve">to catch agency action, </w:t>
      </w:r>
      <w:r>
        <w:t>‘</w:t>
      </w:r>
      <w:r w:rsidRPr="005C2DB2">
        <w:t>which prejudices a party’s substantial rights</w:t>
      </w:r>
      <w:r>
        <w:t xml:space="preserve"> . . .’” The reason the provision implicitly references the substantial evidence standard is that it makes little sense for it to be referencing the other review standards (after all, an agency has either violated the constitution, a statute, or a procedure or it has not).</w:t>
      </w:r>
    </w:p>
    <w:p w14:paraId="2DFBD74F" w14:textId="77777777" w:rsidR="00FF7482" w:rsidRPr="004C6EA5" w:rsidRDefault="00FF7482" w:rsidP="006C4967">
      <w:pPr>
        <w:pStyle w:val="LawReview-StandardBodyText"/>
        <w:spacing w:after="0" w:line="259" w:lineRule="auto"/>
      </w:pPr>
    </w:p>
    <w:p w14:paraId="4DDB6BA4" w14:textId="3095F3A8" w:rsidR="00FF7482" w:rsidRPr="00A222EB" w:rsidRDefault="00FF7482" w:rsidP="00AC40FD">
      <w:pPr>
        <w:pStyle w:val="Heading2"/>
        <w:spacing w:before="0"/>
        <w:rPr>
          <w:rFonts w:ascii="Times New Roman" w:hAnsi="Times New Roman" w:cs="Times New Roman"/>
          <w:b/>
          <w:color w:val="auto"/>
          <w:sz w:val="28"/>
          <w:szCs w:val="28"/>
        </w:rPr>
      </w:pPr>
      <w:bookmarkStart w:id="1297" w:name="_Toc75269440"/>
      <w:r>
        <w:rPr>
          <w:rFonts w:ascii="Times New Roman" w:hAnsi="Times New Roman" w:cs="Times New Roman"/>
          <w:b/>
          <w:color w:val="auto"/>
          <w:sz w:val="28"/>
          <w:szCs w:val="28"/>
        </w:rPr>
        <w:t>Substantial Evidence versus</w:t>
      </w:r>
      <w:r w:rsidRPr="00A222EB">
        <w:rPr>
          <w:rFonts w:ascii="Times New Roman" w:hAnsi="Times New Roman" w:cs="Times New Roman"/>
          <w:b/>
          <w:color w:val="auto"/>
          <w:sz w:val="28"/>
          <w:szCs w:val="28"/>
        </w:rPr>
        <w:t xml:space="preserve"> Arbitrary and Capricious Review</w:t>
      </w:r>
      <w:bookmarkEnd w:id="1297"/>
    </w:p>
    <w:p w14:paraId="3EB2FC3D" w14:textId="77777777" w:rsidR="00FF7482" w:rsidRDefault="00FF7482" w:rsidP="006C4967">
      <w:pPr>
        <w:pStyle w:val="LawReview-StandardBodyText"/>
        <w:spacing w:after="0" w:line="259" w:lineRule="auto"/>
      </w:pPr>
    </w:p>
    <w:p w14:paraId="435F3717" w14:textId="76F287FC" w:rsidR="00FF7482" w:rsidRDefault="00FF7482" w:rsidP="00AC40FD">
      <w:pPr>
        <w:pStyle w:val="LawReview-StandardBodyText"/>
        <w:spacing w:after="0" w:line="259" w:lineRule="auto"/>
        <w:ind w:firstLine="0"/>
      </w:pPr>
      <w:r>
        <w:t xml:space="preserve">Having laid out recent Supreme Court definitions of the substantial evidence and arbitrary and capricious standards, it is important to note the sometimes confusing relationship between the two. Several years of Wyoming cases discussing the substantial evidence and arbitrary and capricious standards of review were succinctly summarized by the Wyoming Supreme Court’s 2002 opinion in </w:t>
      </w:r>
      <w:r>
        <w:rPr>
          <w:i/>
          <w:iCs/>
        </w:rPr>
        <w:t>Newman</w:t>
      </w:r>
      <w:r w:rsidRPr="00395410">
        <w:rPr>
          <w:i/>
          <w:iCs/>
        </w:rPr>
        <w:t xml:space="preserve"> v. </w:t>
      </w:r>
      <w:r>
        <w:rPr>
          <w:i/>
          <w:iCs/>
        </w:rPr>
        <w:t>Workers’ Safety &amp; Compensation Div.</w:t>
      </w:r>
      <w:r w:rsidRPr="00910BB7">
        <w:rPr>
          <w:vertAlign w:val="superscript"/>
        </w:rPr>
        <w:footnoteReference w:id="935"/>
      </w:r>
      <w:r>
        <w:t xml:space="preserve"> In that case, the Court opined,</w:t>
      </w:r>
    </w:p>
    <w:p w14:paraId="16E9EC3A" w14:textId="77777777" w:rsidR="00FF7482" w:rsidRDefault="00FF7482" w:rsidP="006C4967">
      <w:pPr>
        <w:pStyle w:val="LawReview-StandardBodyText"/>
        <w:spacing w:after="0" w:line="259" w:lineRule="auto"/>
      </w:pPr>
    </w:p>
    <w:p w14:paraId="439D6FEC" w14:textId="5D7FAEE4" w:rsidR="00FF7482" w:rsidRDefault="00FF7482" w:rsidP="00AC40FD">
      <w:pPr>
        <w:pStyle w:val="LawReview-StandardBodyText"/>
        <w:spacing w:after="0" w:line="259" w:lineRule="auto"/>
        <w:ind w:left="720" w:right="720" w:firstLine="0"/>
      </w:pPr>
      <w:r>
        <w:t>[i]</w:t>
      </w:r>
      <w:r w:rsidRPr="00360D4B">
        <w:t xml:space="preserve">n appeals of agency decisions, both the court and the parties have historically treated the applicable standard of review in an imprecise </w:t>
      </w:r>
      <w:r w:rsidRPr="00360D4B">
        <w:lastRenderedPageBreak/>
        <w:t>and, consequently, often inconsistent manner. Specifically, with regard to worker</w:t>
      </w:r>
      <w:r>
        <w:t>’</w:t>
      </w:r>
      <w:r w:rsidRPr="00360D4B">
        <w:t>s</w:t>
      </w:r>
      <w:r>
        <w:t xml:space="preserve"> [sic]</w:t>
      </w:r>
      <w:r w:rsidRPr="00360D4B">
        <w:t xml:space="preserve"> compensation cases appealed pursuant to the Wyoming Administrative Procedure Act (WAPA), Wyo. Stat. Ann. § 16–3–114, it appears there has been an unintentional and incremental muddling of the arbitrary or capricious standard and the substantial evidence test when agency decisions are reviewed. </w:t>
      </w:r>
      <w:r w:rsidRPr="00993BFC">
        <w:rPr>
          <w:b/>
          <w:bCs/>
        </w:rPr>
        <w:t>The blurring of these concepts has led to the citation of every possible administrative review standard in a scattergun effort to hit the target</w:t>
      </w:r>
      <w:r w:rsidRPr="00AC40FD">
        <w:t>.</w:t>
      </w:r>
      <w:r w:rsidRPr="00993BFC">
        <w:rPr>
          <w:b/>
          <w:bCs/>
        </w:rPr>
        <w:t xml:space="preserve"> </w:t>
      </w:r>
      <w:r w:rsidRPr="00993BFC">
        <w:t>This particular case is no exception</w:t>
      </w:r>
      <w:r w:rsidRPr="00360D4B">
        <w:t>.</w:t>
      </w:r>
      <w:r w:rsidRPr="00910BB7">
        <w:rPr>
          <w:vertAlign w:val="superscript"/>
        </w:rPr>
        <w:footnoteReference w:id="936"/>
      </w:r>
    </w:p>
    <w:p w14:paraId="6AB2626F" w14:textId="58771E2E" w:rsidR="00FF7482" w:rsidRDefault="00FF7482" w:rsidP="006C4967">
      <w:pPr>
        <w:pStyle w:val="LawReview-StandardBodyText"/>
        <w:spacing w:after="0" w:line="259" w:lineRule="auto"/>
        <w:ind w:left="720" w:right="720" w:firstLine="0"/>
      </w:pPr>
    </w:p>
    <w:p w14:paraId="333EE3A8" w14:textId="6D3556E9" w:rsidR="00FF7482" w:rsidRDefault="00FF7482" w:rsidP="00AC40FD">
      <w:pPr>
        <w:pStyle w:val="LawReview-StandardBodyText"/>
        <w:spacing w:after="0" w:line="259" w:lineRule="auto"/>
        <w:ind w:firstLine="0"/>
      </w:pPr>
      <w:r>
        <w:t xml:space="preserve">The facts of </w:t>
      </w:r>
      <w:r w:rsidRPr="00360D4B">
        <w:rPr>
          <w:i/>
          <w:iCs/>
        </w:rPr>
        <w:t>Newman</w:t>
      </w:r>
      <w:r>
        <w:t xml:space="preserve"> presented exactly the type of fact pattern that appears historically to have troubled the courts. Beri Newman injured her neck on March 13, 1998, while working at a restaurant in Casper.</w:t>
      </w:r>
      <w:r w:rsidRPr="00910BB7">
        <w:rPr>
          <w:vertAlign w:val="superscript"/>
        </w:rPr>
        <w:footnoteReference w:id="937"/>
      </w:r>
      <w:r>
        <w:t xml:space="preserve"> She sought chiropractic care and in response to the chiropractor’s written office questionnaire stated she had sprained her back while carrying trays of dishes.</w:t>
      </w:r>
      <w:r w:rsidRPr="00910BB7">
        <w:rPr>
          <w:vertAlign w:val="superscript"/>
        </w:rPr>
        <w:footnoteReference w:id="938"/>
      </w:r>
      <w:r>
        <w:t xml:space="preserve"> She stated in the questionnaire she had felt pain in her lower back immediately after the accident.</w:t>
      </w:r>
      <w:r w:rsidRPr="00910BB7">
        <w:rPr>
          <w:vertAlign w:val="superscript"/>
        </w:rPr>
        <w:footnoteReference w:id="939"/>
      </w:r>
      <w:r>
        <w:t xml:space="preserve"> In answer to the form’s fill-in-the-blank questions, she did not indicate she had ever had headaches or vision problems, but </w:t>
      </w:r>
      <w:r w:rsidRPr="00BC2511">
        <w:rPr>
          <w:i/>
          <w:iCs/>
        </w:rPr>
        <w:t>did</w:t>
      </w:r>
      <w:r>
        <w:t xml:space="preserve"> indicate that, presently, she had low back problems, pain between her shoulders, neck problems, sore and weak muscles, and walking problems.</w:t>
      </w:r>
      <w:r w:rsidRPr="00910BB7">
        <w:rPr>
          <w:vertAlign w:val="superscript"/>
        </w:rPr>
        <w:footnoteReference w:id="940"/>
      </w:r>
      <w:r>
        <w:t xml:space="preserve"> In a separate form from the same chiropractor, entitled “Confidential Patient Case History,” she stated that she had occasional headaches and had been previously treated by the same chiropractor for neck problems.</w:t>
      </w:r>
      <w:r w:rsidRPr="00910BB7">
        <w:rPr>
          <w:vertAlign w:val="superscript"/>
        </w:rPr>
        <w:footnoteReference w:id="941"/>
      </w:r>
      <w:r>
        <w:t xml:space="preserve"> The insurance claim forms the chiropractor submitted to the Division stated that Newman received treatment from March through November of 1998 for low back pain and a lumbosacral sprain, and the Division paid benefits for that treatment.</w:t>
      </w:r>
      <w:r w:rsidRPr="00910BB7">
        <w:rPr>
          <w:vertAlign w:val="superscript"/>
        </w:rPr>
        <w:footnoteReference w:id="942"/>
      </w:r>
      <w:r>
        <w:t xml:space="preserve"> The chiropractor released Newman from care in November 1998, recording in a report that her condition was progressing and that she had made satisfactory progress.</w:t>
      </w:r>
      <w:r w:rsidRPr="00910BB7">
        <w:rPr>
          <w:vertAlign w:val="superscript"/>
        </w:rPr>
        <w:footnoteReference w:id="943"/>
      </w:r>
    </w:p>
    <w:p w14:paraId="1637CE81" w14:textId="77777777" w:rsidR="00FF7482" w:rsidRDefault="00FF7482" w:rsidP="006C4967">
      <w:pPr>
        <w:pStyle w:val="LawReview-StandardBodyText"/>
        <w:spacing w:after="0" w:line="259" w:lineRule="auto"/>
      </w:pPr>
    </w:p>
    <w:p w14:paraId="40FCEFE8" w14:textId="66372AC7" w:rsidR="00FF7482" w:rsidRDefault="00FF7482" w:rsidP="00AC40FD">
      <w:pPr>
        <w:pStyle w:val="LawReview-StandardBodyText"/>
        <w:spacing w:after="0" w:line="259" w:lineRule="auto"/>
        <w:ind w:firstLine="0"/>
      </w:pPr>
      <w:r>
        <w:t>Newman returned to the same chiropractor for care in July 1999.</w:t>
      </w:r>
      <w:r w:rsidRPr="00910BB7">
        <w:rPr>
          <w:vertAlign w:val="superscript"/>
        </w:rPr>
        <w:footnoteReference w:id="944"/>
      </w:r>
      <w:r>
        <w:t xml:space="preserve"> The chiropractor promptly wrote to the Division chronicling his prior treatment of Newman and noting that the symptoms were similar to the earlier period of treatment.</w:t>
      </w:r>
      <w:r w:rsidRPr="00910BB7">
        <w:rPr>
          <w:vertAlign w:val="superscript"/>
        </w:rPr>
        <w:footnoteReference w:id="945"/>
      </w:r>
      <w:r>
        <w:t xml:space="preserve"> Significantly (as it turned out), the chiropractor made no mention of complaints relating to severe intermittent headaches and double vision, symptoms </w:t>
      </w:r>
      <w:r>
        <w:lastRenderedPageBreak/>
        <w:t xml:space="preserve">which had also </w:t>
      </w:r>
      <w:r w:rsidRPr="00BC2511">
        <w:rPr>
          <w:i/>
          <w:iCs/>
        </w:rPr>
        <w:t>not</w:t>
      </w:r>
      <w:r>
        <w:t xml:space="preserve"> been mentioned during Newman’s previous period of treatment.</w:t>
      </w:r>
      <w:r w:rsidRPr="00910BB7">
        <w:rPr>
          <w:vertAlign w:val="superscript"/>
        </w:rPr>
        <w:footnoteReference w:id="946"/>
      </w:r>
      <w:r>
        <w:t xml:space="preserve"> The Division denied payment of several subsequent chiropractic bills because, it contended, the services were not related “to the back” or “to the back and neck” (that is, some of the bills pertained to headaches and double vision, which were not a part of the documented symptom complex at the time of the original injury).</w:t>
      </w:r>
      <w:r w:rsidRPr="00910BB7">
        <w:rPr>
          <w:vertAlign w:val="superscript"/>
        </w:rPr>
        <w:footnoteReference w:id="947"/>
      </w:r>
      <w:r>
        <w:t xml:space="preserve"> “The Division based its denial of benefits in large part on an August 19, 1999, medical review panel recommendation. The three chiropractors who participated on the panel questioned the relationship between the new problems and the initial injury and opined the most recent symptoms were not a continuation of the previous injury.”</w:t>
      </w:r>
      <w:r w:rsidRPr="00910BB7">
        <w:rPr>
          <w:vertAlign w:val="superscript"/>
        </w:rPr>
        <w:footnoteReference w:id="948"/>
      </w:r>
      <w:r>
        <w:t xml:space="preserve"> Newman appealed.</w:t>
      </w:r>
      <w:r w:rsidRPr="00910BB7">
        <w:rPr>
          <w:vertAlign w:val="superscript"/>
        </w:rPr>
        <w:footnoteReference w:id="949"/>
      </w:r>
      <w:r>
        <w:t xml:space="preserve"> The OAH held a contested case hearing and concluded Newman had failed to prove that her headaches and double vision were an injury within the meaning of the Wyoming Workers’ Compensation Act.</w:t>
      </w:r>
      <w:r w:rsidRPr="00910BB7">
        <w:rPr>
          <w:vertAlign w:val="superscript"/>
        </w:rPr>
        <w:footnoteReference w:id="950"/>
      </w:r>
      <w:r>
        <w:t xml:space="preserve"> In reaching this determination, the hearing examiner found Newman’s testimony lacked credibility because it was inconsistent with her original injury reports.</w:t>
      </w:r>
      <w:r w:rsidRPr="00910BB7">
        <w:rPr>
          <w:vertAlign w:val="superscript"/>
        </w:rPr>
        <w:footnoteReference w:id="951"/>
      </w:r>
      <w:r>
        <w:t xml:space="preserve"> Especially damaging was the hearing examiner’s refusal to find that any injury </w:t>
      </w:r>
      <w:r w:rsidRPr="00BC2511">
        <w:rPr>
          <w:i/>
          <w:iCs/>
        </w:rPr>
        <w:t xml:space="preserve">ever </w:t>
      </w:r>
      <w:r>
        <w:t>occurred in March 1998 (rendering subsequent considerations of whether</w:t>
      </w:r>
      <w:r w:rsidRPr="00283735">
        <w:rPr>
          <w:i/>
          <w:iCs/>
        </w:rPr>
        <w:t xml:space="preserve"> that</w:t>
      </w:r>
      <w:r>
        <w:t xml:space="preserve"> injury continued to contribute to her symptoms irrelevant):</w:t>
      </w:r>
    </w:p>
    <w:p w14:paraId="657B8423" w14:textId="4E892AE6" w:rsidR="00FF7482" w:rsidRDefault="00FF7482" w:rsidP="006C4967">
      <w:pPr>
        <w:pStyle w:val="LawReview-StandardBodyText"/>
        <w:spacing w:after="0" w:line="259" w:lineRule="auto"/>
      </w:pPr>
    </w:p>
    <w:p w14:paraId="7F3FA0E1" w14:textId="71F172B2" w:rsidR="00FF7482" w:rsidRDefault="00FF7482" w:rsidP="00AC40FD">
      <w:pPr>
        <w:pStyle w:val="LawReview-StandardBodyText"/>
        <w:spacing w:after="0" w:line="259" w:lineRule="auto"/>
        <w:ind w:left="720" w:right="720" w:firstLine="0"/>
      </w:pPr>
      <w:r w:rsidRPr="00283735">
        <w:t>The evidence indicate[s] that Newman has told medical providers that she suffered a strain or sprain to her mid and lower back and neck as a result of a fall while carrying a tray of dishes on March 13, 1998. Newman filed a report of injury and did not indicate that she fell while carrying a tray of dishes. Nor did Newman indicate on forms she filled out in Dr. Graber's office that she had been injured by a fall while carrying dishes. The evidence shows that Newman has made oral reports of a fall with a tray of dishes[;] however, there are no written reports of a fall while carrying dishes</w:t>
      </w:r>
      <w:r>
        <w:t xml:space="preserve"> . . . </w:t>
      </w:r>
      <w:r w:rsidRPr="00283735">
        <w:t>This Office finds that Newman's testimony lacks credibility.</w:t>
      </w:r>
      <w:r w:rsidRPr="00910BB7">
        <w:rPr>
          <w:vertAlign w:val="superscript"/>
        </w:rPr>
        <w:footnoteReference w:id="952"/>
      </w:r>
    </w:p>
    <w:p w14:paraId="202D2BD3" w14:textId="77777777" w:rsidR="00FF7482" w:rsidRDefault="00FF7482" w:rsidP="006C4967">
      <w:pPr>
        <w:pStyle w:val="LawReview-StandardBodyText"/>
        <w:spacing w:after="0" w:line="259" w:lineRule="auto"/>
      </w:pPr>
    </w:p>
    <w:p w14:paraId="6CCDAD17" w14:textId="6B3C7515" w:rsidR="00FF7482" w:rsidRDefault="00FF7482" w:rsidP="00AC40FD">
      <w:pPr>
        <w:pStyle w:val="LawReview-StandardBodyText"/>
        <w:spacing w:after="0" w:line="259" w:lineRule="auto"/>
        <w:ind w:firstLine="0"/>
      </w:pPr>
      <w:r>
        <w:t>Similarly, the hearing examiner concluded the supportive reports of the treating chiropractor and an independent medical examiner were of little evidentiary value because they were based on Newman's version of the events.</w:t>
      </w:r>
      <w:r w:rsidRPr="00910BB7">
        <w:rPr>
          <w:vertAlign w:val="superscript"/>
        </w:rPr>
        <w:footnoteReference w:id="953"/>
      </w:r>
    </w:p>
    <w:p w14:paraId="618785BD" w14:textId="27229E2B" w:rsidR="00FF7482" w:rsidRDefault="00FF7482" w:rsidP="006C4967">
      <w:pPr>
        <w:pStyle w:val="LawReview-StandardBodyText"/>
        <w:spacing w:after="0" w:line="259" w:lineRule="auto"/>
      </w:pPr>
    </w:p>
    <w:p w14:paraId="761AB0C8" w14:textId="14F218C9" w:rsidR="00FF7482" w:rsidRDefault="00FF7482" w:rsidP="00AC40FD">
      <w:pPr>
        <w:pStyle w:val="LawReview-StandardBodyText"/>
        <w:spacing w:after="0" w:line="259" w:lineRule="auto"/>
        <w:ind w:firstLine="0"/>
      </w:pPr>
      <w:r>
        <w:t xml:space="preserve">On the one hand, </w:t>
      </w:r>
      <w:r w:rsidRPr="00C52CF4">
        <w:rPr>
          <w:i/>
          <w:iCs/>
        </w:rPr>
        <w:t>Newman</w:t>
      </w:r>
      <w:r>
        <w:t xml:space="preserve"> presents the garden variety workers’ compensation factual scenarios of: 1) a judge disbelieving a claimant’s medical evidence, which, </w:t>
      </w:r>
      <w:r>
        <w:lastRenderedPageBreak/>
        <w:t>as has been mentioned in this Treatise, a fact finder has broad authority to do;</w:t>
      </w:r>
      <w:r w:rsidRPr="00910BB7">
        <w:rPr>
          <w:vertAlign w:val="superscript"/>
        </w:rPr>
        <w:footnoteReference w:id="954"/>
      </w:r>
      <w:r>
        <w:t xml:space="preserve"> and 2) a judge impeaching a witness’s credibility through the witness’s failure to mention prior injuries in contemporaneous documents. On the other hand, the case presents a kind of administrative law conundrum involving the substantial evidence and arbitrary and capricious standards discussed above. The claimant (possessing the burden of proof) </w:t>
      </w:r>
      <w:r w:rsidRPr="002D7C9F">
        <w:rPr>
          <w:b/>
          <w:bCs/>
        </w:rPr>
        <w:t>produced</w:t>
      </w:r>
      <w:r>
        <w:t xml:space="preserve"> evidence. The State (the “nonburdened” party) produced </w:t>
      </w:r>
      <w:r w:rsidRPr="00E0064A">
        <w:rPr>
          <w:b/>
          <w:bCs/>
        </w:rPr>
        <w:t>no</w:t>
      </w:r>
      <w:r>
        <w:t xml:space="preserve"> evidence. Had the Hearing Examiner credited </w:t>
      </w:r>
      <w:r w:rsidRPr="00112DC6">
        <w:rPr>
          <w:i/>
          <w:iCs/>
        </w:rPr>
        <w:t>any</w:t>
      </w:r>
      <w:r>
        <w:t xml:space="preserve"> of the claimant’s witnesses (providing medical causation), or the claimant herself (providing legal causation), “more than a scintilla” of evidence might have supported an award in favor of the claimant. Yet the Examiner appears to have </w:t>
      </w:r>
      <w:r w:rsidRPr="00E0064A">
        <w:rPr>
          <w:i/>
          <w:iCs/>
        </w:rPr>
        <w:t>completely</w:t>
      </w:r>
      <w:r>
        <w:t xml:space="preserve"> discredited claimant’s evidence (</w:t>
      </w:r>
      <w:r w:rsidRPr="00BC2511">
        <w:rPr>
          <w:b/>
          <w:bCs/>
        </w:rPr>
        <w:t>including whether an injury the Division had actually paid benefits concerning</w:t>
      </w:r>
      <w:r>
        <w:rPr>
          <w:b/>
          <w:bCs/>
        </w:rPr>
        <w:t xml:space="preserve"> ever occurred</w:t>
      </w:r>
      <w:r w:rsidRPr="004F50AD">
        <w:t xml:space="preserve">) </w:t>
      </w:r>
      <w:r>
        <w:t>because (1) of inconsistencies between what claimant initially and subsequently reported and (2) the involved physicians created reports based on Newman’s “version of events.”</w:t>
      </w:r>
      <w:r w:rsidRPr="00910BB7">
        <w:rPr>
          <w:vertAlign w:val="superscript"/>
        </w:rPr>
        <w:footnoteReference w:id="955"/>
      </w:r>
      <w:r>
        <w:t xml:space="preserve"> (The reports being based on Newman’s version of events might of course have buttressed and enhanced Newman’s testimony </w:t>
      </w:r>
      <w:r w:rsidRPr="00C949EF">
        <w:rPr>
          <w:i/>
          <w:iCs/>
        </w:rPr>
        <w:t>if</w:t>
      </w:r>
      <w:r>
        <w:t xml:space="preserve"> the Examiner had found her generally credible. But the Examiner found Newman incredible because of discrepancies between her hearing testimony in 2000 and injury reports from almost two years earlier</w:t>
      </w:r>
      <w:r w:rsidR="004F50AD">
        <w:t>.</w:t>
      </w:r>
      <w:r>
        <w:t>)</w:t>
      </w:r>
      <w:r w:rsidRPr="00910BB7">
        <w:rPr>
          <w:vertAlign w:val="superscript"/>
        </w:rPr>
        <w:footnoteReference w:id="956"/>
      </w:r>
      <w:r>
        <w:t xml:space="preserve">  </w:t>
      </w:r>
    </w:p>
    <w:p w14:paraId="29B6FB17" w14:textId="6BCB6EC1" w:rsidR="00FF7482" w:rsidRDefault="00FF7482" w:rsidP="006C4967">
      <w:pPr>
        <w:pStyle w:val="LawReview-StandardBodyText"/>
        <w:spacing w:after="0" w:line="259" w:lineRule="auto"/>
      </w:pPr>
    </w:p>
    <w:p w14:paraId="7664D44D" w14:textId="5553B998" w:rsidR="00FF7482" w:rsidRDefault="00FF7482" w:rsidP="004F50AD">
      <w:pPr>
        <w:pStyle w:val="LawReview-StandardBodyText"/>
        <w:spacing w:after="0" w:line="259" w:lineRule="auto"/>
        <w:ind w:firstLine="0"/>
      </w:pPr>
      <w:r>
        <w:t xml:space="preserve">This brings us to the crux of how the substantial evidence and arbitrary and capricious standards can become conflated. It is awkward to contend that an administrative decision is </w:t>
      </w:r>
      <w:r w:rsidRPr="00C949EF">
        <w:rPr>
          <w:i/>
          <w:iCs/>
        </w:rPr>
        <w:t xml:space="preserve">supported by substantial evidence </w:t>
      </w:r>
      <w:r>
        <w:t xml:space="preserve">when the “non-burdened party”—in this case the Division—has offered </w:t>
      </w:r>
      <w:r w:rsidRPr="002D7C9F">
        <w:rPr>
          <w:i/>
          <w:iCs/>
        </w:rPr>
        <w:t>no</w:t>
      </w:r>
      <w:r>
        <w:t xml:space="preserve"> evidence,</w:t>
      </w:r>
      <w:r w:rsidRPr="00C949EF">
        <w:t xml:space="preserve"> </w:t>
      </w:r>
      <w:r>
        <w:t xml:space="preserve">and the evidence of the burdened party—in this case the claimant—has been </w:t>
      </w:r>
      <w:r w:rsidRPr="00BC2511">
        <w:rPr>
          <w:b/>
          <w:bCs/>
          <w:i/>
          <w:iCs/>
        </w:rPr>
        <w:t>entirely</w:t>
      </w:r>
      <w:r w:rsidRPr="00E0064A">
        <w:rPr>
          <w:i/>
          <w:iCs/>
        </w:rPr>
        <w:t xml:space="preserve"> </w:t>
      </w:r>
      <w:r>
        <w:t xml:space="preserve">rejected. Although the claimant obviously had been found, in effect, not to have carried her burden of proof, it is surprisingly difficult to express how a court should articulate the outcome under current administrative law. The </w:t>
      </w:r>
      <w:r w:rsidRPr="00946240">
        <w:rPr>
          <w:i/>
          <w:iCs/>
        </w:rPr>
        <w:t>Newman</w:t>
      </w:r>
      <w:r>
        <w:t xml:space="preserve"> court quoted an opinion of the Pennsylvania Supreme Court with respect to the issue:</w:t>
      </w:r>
    </w:p>
    <w:p w14:paraId="46D4C4AE" w14:textId="6B8A3474" w:rsidR="00FF7482" w:rsidRDefault="00FF7482" w:rsidP="006C4967">
      <w:pPr>
        <w:pStyle w:val="LawReview-StandardBodyText"/>
        <w:spacing w:after="0" w:line="259" w:lineRule="auto"/>
      </w:pPr>
    </w:p>
    <w:p w14:paraId="300B3FE7" w14:textId="3DB3399D" w:rsidR="00FF7482" w:rsidRDefault="00FF7482" w:rsidP="00B47119">
      <w:pPr>
        <w:pStyle w:val="LawReview-StandardBodyText"/>
        <w:spacing w:after="0" w:line="259" w:lineRule="auto"/>
        <w:ind w:left="720" w:right="720" w:firstLine="0"/>
      </w:pPr>
      <w:r w:rsidRPr="00946240">
        <w:t>where the burdened party is the only party to present evidence and does not prevail before the agency, the “substantial evidence” test falters. If no evidence was presented to support the prevailing party, there is no evidence upon which to apply the “substantial evidence” test: i.e., it is impossible to find substantial evidence to support a position for which no evidence was introduced. In such cases, therefore, the appropriate scope of review</w:t>
      </w:r>
      <w:r>
        <w:t xml:space="preserve"> . . . </w:t>
      </w:r>
      <w:r w:rsidRPr="00946240">
        <w:t>is whether the agency erred as a matter of law or capriciously disregarded competent evidence</w:t>
      </w:r>
      <w:r>
        <w:t xml:space="preserve"> . . .</w:t>
      </w:r>
      <w:r w:rsidRPr="00910BB7">
        <w:rPr>
          <w:vertAlign w:val="superscript"/>
        </w:rPr>
        <w:footnoteReference w:id="957"/>
      </w:r>
    </w:p>
    <w:p w14:paraId="1CDA624A" w14:textId="00F97D50" w:rsidR="00FF7482" w:rsidRDefault="00FF7482" w:rsidP="006C4967">
      <w:pPr>
        <w:pStyle w:val="LawReview-StandardBodyText"/>
        <w:spacing w:after="0" w:line="259" w:lineRule="auto"/>
        <w:ind w:left="720" w:right="720" w:firstLine="0"/>
      </w:pPr>
    </w:p>
    <w:p w14:paraId="7E492406" w14:textId="1CE104B2" w:rsidR="00FF7482" w:rsidRDefault="00FF7482" w:rsidP="000E6BFD">
      <w:pPr>
        <w:pStyle w:val="LawReview-StandardBodyText"/>
        <w:spacing w:after="0" w:line="259" w:lineRule="auto"/>
        <w:ind w:firstLine="0"/>
      </w:pPr>
      <w:r>
        <w:t xml:space="preserve">In other words, if the decision </w:t>
      </w:r>
      <w:r w:rsidRPr="0056211A">
        <w:rPr>
          <w:b/>
          <w:bCs/>
        </w:rPr>
        <w:t>could not</w:t>
      </w:r>
      <w:r>
        <w:t xml:space="preserve">, under what has become the plain meaning of substantial evidence, be </w:t>
      </w:r>
      <w:r w:rsidRPr="0056211A">
        <w:rPr>
          <w:b/>
          <w:bCs/>
          <w:i/>
          <w:iCs/>
        </w:rPr>
        <w:t>based on</w:t>
      </w:r>
      <w:r w:rsidRPr="0056211A">
        <w:rPr>
          <w:b/>
          <w:bCs/>
        </w:rPr>
        <w:t xml:space="preserve"> substantial evidence</w:t>
      </w:r>
      <w:r>
        <w:t xml:space="preserve"> because of a “failure of proof”– i.e. no credited record evidence, “arbitrary and capricious” was deemed an acceptable catch-all category. Wyoming courts began to follow this approach in 1995:</w:t>
      </w:r>
    </w:p>
    <w:p w14:paraId="7F7DD2CA" w14:textId="77777777" w:rsidR="000E6BFD" w:rsidRDefault="000E6BFD" w:rsidP="000E6BFD">
      <w:pPr>
        <w:pStyle w:val="LawReview-StandardBodyText"/>
        <w:spacing w:after="0" w:line="259" w:lineRule="auto"/>
        <w:ind w:firstLine="0"/>
      </w:pPr>
    </w:p>
    <w:p w14:paraId="1372AEDD" w14:textId="61A1C003" w:rsidR="00FF7482" w:rsidRDefault="00FF7482" w:rsidP="000E6BFD">
      <w:pPr>
        <w:pStyle w:val="LawReview-StandardBodyText"/>
        <w:spacing w:after="0" w:line="259" w:lineRule="auto"/>
        <w:ind w:left="720" w:right="720" w:firstLine="0"/>
      </w:pPr>
      <w:r w:rsidRPr="00C82F4E">
        <w:t>[W]e are satisfied such cases come within the argument ... with respect to ... the sufficiency of the evidence, and the case must be considered under the arbitrary, capricious, and contrary to law language of WYO. STAT. § 16–3–114(c)(ii) (1990).... An agency's decision totally contrary to the evidence in the record is subject to such a test. We would have no equivocation in reversing and remanding such a decision.</w:t>
      </w:r>
      <w:r w:rsidRPr="00910BB7">
        <w:rPr>
          <w:vertAlign w:val="superscript"/>
        </w:rPr>
        <w:footnoteReference w:id="958"/>
      </w:r>
    </w:p>
    <w:p w14:paraId="0F273F1C" w14:textId="77777777" w:rsidR="000E6BFD" w:rsidRDefault="000E6BFD" w:rsidP="000E6BFD">
      <w:pPr>
        <w:pStyle w:val="LawReview-StandardBodyText"/>
        <w:spacing w:after="0" w:line="259" w:lineRule="auto"/>
        <w:ind w:firstLine="0"/>
      </w:pPr>
    </w:p>
    <w:p w14:paraId="63CE226D" w14:textId="65BC7F21" w:rsidR="00FF7482" w:rsidRDefault="00FF7482" w:rsidP="000E6BFD">
      <w:pPr>
        <w:pStyle w:val="LawReview-StandardBodyText"/>
        <w:spacing w:after="0" w:line="259" w:lineRule="auto"/>
        <w:ind w:firstLine="0"/>
      </w:pPr>
      <w:r>
        <w:t xml:space="preserve">In </w:t>
      </w:r>
      <w:r w:rsidRPr="00C82F4E">
        <w:rPr>
          <w:i/>
          <w:iCs/>
        </w:rPr>
        <w:t>Newman</w:t>
      </w:r>
      <w:r>
        <w:t xml:space="preserve">, however, and in </w:t>
      </w:r>
      <w:r w:rsidRPr="00C82F4E">
        <w:rPr>
          <w:i/>
          <w:iCs/>
        </w:rPr>
        <w:t>Dale v. S&amp;S Builders</w:t>
      </w:r>
      <w:r>
        <w:t>,</w:t>
      </w:r>
      <w:r w:rsidRPr="00910BB7">
        <w:rPr>
          <w:vertAlign w:val="superscript"/>
        </w:rPr>
        <w:footnoteReference w:id="959"/>
      </w:r>
      <w:r>
        <w:t xml:space="preserve"> the Wyoming Supreme Court resolved the problem of what to do in this category of cases—the agency reaching decision when the nonburdened party had submitted no evidence and it is “awkward” to conclude that an agency’s decision is “supported” by “substantial evidence.” Wyoming courts now disregard the awkwardness in favor of a unitary standard of substantial review (as set forth above in Section 7.3 of this Treatise). The problem is that even a casual reading reveals it is </w:t>
      </w:r>
      <w:r w:rsidRPr="00207B01">
        <w:rPr>
          <w:i/>
          <w:iCs/>
        </w:rPr>
        <w:t>not</w:t>
      </w:r>
      <w:r>
        <w:t xml:space="preserve"> one standard, but two. Where one party has produced all the evidence, and the other side has produced no evidence, it is difficult to defend a rule that makes it </w:t>
      </w:r>
      <w:r w:rsidRPr="00F37FF4">
        <w:rPr>
          <w:i/>
          <w:iCs/>
        </w:rPr>
        <w:t>easier</w:t>
      </w:r>
      <w:r>
        <w:t xml:space="preserve"> for courts to uphold the agency when it finds </w:t>
      </w:r>
      <w:r w:rsidRPr="00F37FF4">
        <w:rPr>
          <w:i/>
          <w:iCs/>
        </w:rPr>
        <w:t>against</w:t>
      </w:r>
      <w:r>
        <w:t xml:space="preserve"> the “evidence-producer.” This perhaps explains the instinct of some courts to resort to arbitrary and capricious review in such circumstances. The problem is that this usage o</w:t>
      </w:r>
      <w:r w:rsidR="00B75C3E">
        <w:t>f</w:t>
      </w:r>
      <w:r>
        <w:t xml:space="preserve"> arbitrary and capricious is “flexible,” in the bad sense of the word, and carries with it the potential for repeatedly “butting heads” with earlier interpretations of “arbitrary and capricious.” The other plausible option has always been to retain the substantial evidence test, but, as </w:t>
      </w:r>
      <w:r w:rsidRPr="00594B2D">
        <w:rPr>
          <w:i/>
          <w:iCs/>
        </w:rPr>
        <w:t>Newman</w:t>
      </w:r>
      <w:r>
        <w:t xml:space="preserve"> frankly conceded, “[t]</w:t>
      </w:r>
      <w:r w:rsidRPr="00594B2D">
        <w:t>he substantial evidence test seems to require more of an agency than does the arbitrary or capricious standard</w:t>
      </w:r>
      <w:r>
        <w:t>,”:</w:t>
      </w:r>
    </w:p>
    <w:p w14:paraId="38DD0339" w14:textId="77777777" w:rsidR="00FF7482" w:rsidRDefault="00FF7482" w:rsidP="006C4967">
      <w:pPr>
        <w:pStyle w:val="LawReview-StandardBodyText"/>
        <w:spacing w:after="0" w:line="259" w:lineRule="auto"/>
      </w:pPr>
    </w:p>
    <w:p w14:paraId="46C94DF1" w14:textId="57A874F8" w:rsidR="00FF7482" w:rsidRDefault="00FF7482" w:rsidP="000E6BFD">
      <w:pPr>
        <w:pStyle w:val="LawReview-StandardBodyText"/>
        <w:spacing w:after="0" w:line="259" w:lineRule="auto"/>
        <w:ind w:left="720" w:right="720" w:firstLine="0"/>
      </w:pPr>
      <w:r>
        <w:t xml:space="preserve">In Abbott Laboratories, Inc. v. Gardner, 387 U.S. 136, 143 [87 S.Ct. 1507, 18 L.Ed.2d 681] (1967), the Court said that the substantial evidence test provided “a considerably more generous judicial review than the ‘arbitrary and capricious' test.” ... Four Justices emphasized the more demanding nature of the substantial evidence test in Industrial Union Department v. American Petroleum Institute, 448 U.S. 607, 705 [100 S.Ct. 2844, 65 L.Ed.2d 1010] </w:t>
      </w:r>
      <w:r>
        <w:lastRenderedPageBreak/>
        <w:t>(1980): “Careful performance of this task is especially important when Congress has imposed the comparatively rigorous ‘substantial evidence’ standard.” Finally, a unanimous Court characterized the arbitrary and capricious test as “more lenient” than the substantial evidence test in American Paper Institute v. American Electric Power Service Corp., 461 U.S. 402, 412 n. 7 [103 S.Ct. 1921, 76 L.Ed.2d 22] (1983).</w:t>
      </w:r>
    </w:p>
    <w:p w14:paraId="38B6C131" w14:textId="77777777" w:rsidR="00FF7482" w:rsidRDefault="00FF7482" w:rsidP="006C4967">
      <w:pPr>
        <w:pStyle w:val="LawReview-StandardBodyText"/>
        <w:spacing w:after="0" w:line="259" w:lineRule="auto"/>
        <w:ind w:left="720" w:right="720" w:firstLine="0"/>
      </w:pPr>
    </w:p>
    <w:p w14:paraId="33BFE261" w14:textId="46F4CF05" w:rsidR="00FF7482" w:rsidRDefault="00FF7482" w:rsidP="006C4967">
      <w:pPr>
        <w:pStyle w:val="LawReview-StandardBodyText"/>
        <w:spacing w:after="0" w:line="259" w:lineRule="auto"/>
        <w:ind w:left="720" w:right="720" w:firstLine="0"/>
      </w:pPr>
      <w:r>
        <w:t>Unfortunately, while the Court consistently characterizes the arbitrary and capricious test as less demanding than the substantial evidence test, the Court has never explained the difference between the two. Since the substantial evidence test is extremely deferential, circuit courts have experienced difficulty applying the distinction the Court continues to draw. Circuit courts frequently treat the two tests as identical, referring to their “tendency to converge” and to the distinction between the two as “largely semantic.”</w:t>
      </w:r>
    </w:p>
    <w:p w14:paraId="49B875F4" w14:textId="77777777" w:rsidR="00FF7482" w:rsidRDefault="00FF7482" w:rsidP="006C4967">
      <w:pPr>
        <w:pStyle w:val="LawReview-StandardBodyText"/>
        <w:spacing w:after="0" w:line="259" w:lineRule="auto"/>
        <w:ind w:left="720" w:right="720" w:firstLine="0"/>
      </w:pPr>
    </w:p>
    <w:p w14:paraId="2EA012E0" w14:textId="0072AEE9" w:rsidR="00FF7482" w:rsidRDefault="00FF7482" w:rsidP="006C4967">
      <w:pPr>
        <w:pStyle w:val="LawReview-StandardBodyText"/>
        <w:spacing w:after="0" w:line="259" w:lineRule="auto"/>
        <w:ind w:left="720" w:right="720" w:firstLine="0"/>
      </w:pPr>
      <w:r>
        <w:t>2 Richard J. Pierce, Jr., Administrative Law Treatise § 11.4 at 807 (4th ed.2002)</w:t>
      </w:r>
      <w:r w:rsidRPr="00910BB7">
        <w:rPr>
          <w:vertAlign w:val="superscript"/>
        </w:rPr>
        <w:footnoteReference w:id="960"/>
      </w:r>
    </w:p>
    <w:p w14:paraId="0F46E006" w14:textId="7FA9E881" w:rsidR="00FF7482" w:rsidRDefault="00FF7482" w:rsidP="000E6BFD">
      <w:pPr>
        <w:pStyle w:val="LawReview-StandardBodyText"/>
        <w:spacing w:after="0" w:line="259" w:lineRule="auto"/>
        <w:ind w:firstLine="0"/>
      </w:pPr>
    </w:p>
    <w:p w14:paraId="004AA25A" w14:textId="1DF403FE" w:rsidR="00FF7482" w:rsidRDefault="00FF7482" w:rsidP="000E6BFD">
      <w:pPr>
        <w:pStyle w:val="LawReview-StandardBodyText"/>
        <w:spacing w:after="0" w:line="259" w:lineRule="auto"/>
        <w:ind w:firstLine="0"/>
      </w:pPr>
      <w:r>
        <w:t xml:space="preserve">Thus, this is not a Wyoming-only judicial review problem. But this writer thinks the “cure” of the two-in-one substantial evidence test makes the problem worse, not better. It “sounds” like a decision </w:t>
      </w:r>
      <w:r w:rsidRPr="00FC3AA0">
        <w:rPr>
          <w:i/>
          <w:iCs/>
        </w:rPr>
        <w:t>could</w:t>
      </w:r>
      <w:r>
        <w:t xml:space="preserve"> be based on </w:t>
      </w:r>
      <w:r w:rsidRPr="009876EB">
        <w:t xml:space="preserve">relevant evidence which a reasonable mind might </w:t>
      </w:r>
      <w:r w:rsidRPr="009876EB">
        <w:rPr>
          <w:b/>
          <w:bCs/>
          <w:u w:val="single"/>
        </w:rPr>
        <w:t>not</w:t>
      </w:r>
      <w:r w:rsidRPr="009876EB">
        <w:t xml:space="preserve"> accept in support of the agency’s conclusions</w:t>
      </w:r>
      <w:r>
        <w:t xml:space="preserve">, but still be immune from judicial reversal because the decision was </w:t>
      </w:r>
      <w:r>
        <w:rPr>
          <w:b/>
          <w:bCs/>
        </w:rPr>
        <w:t>nevertheless</w:t>
      </w:r>
      <w:r>
        <w:t xml:space="preserve"> not contrary to the </w:t>
      </w:r>
      <w:r w:rsidRPr="009876EB">
        <w:rPr>
          <w:b/>
          <w:bCs/>
          <w:u w:val="single"/>
        </w:rPr>
        <w:t>overwhelming</w:t>
      </w:r>
      <w:r w:rsidRPr="00FC3AA0">
        <w:rPr>
          <w:b/>
          <w:bCs/>
        </w:rPr>
        <w:t xml:space="preserve"> </w:t>
      </w:r>
      <w:r w:rsidRPr="009876EB">
        <w:t>weight</w:t>
      </w:r>
      <w:r>
        <w:t xml:space="preserve"> of the evidence. That seems a super- insulation of executive branch activity that could work to seriously undermine the personal injury damages guarantees of </w:t>
      </w:r>
      <w:hyperlink r:id="rId132" w:history="1">
        <w:r w:rsidRPr="007770CF">
          <w:rPr>
            <w:rStyle w:val="Hyperlink"/>
          </w:rPr>
          <w:t>Article 10, Section 4</w:t>
        </w:r>
      </w:hyperlink>
      <w:r>
        <w:t xml:space="preserve"> of the Wyoming Constitution. The clearest solution to the problem at this juncture of doctrinal development in Wyoming is to simply state the </w:t>
      </w:r>
      <w:r w:rsidRPr="0032496B">
        <w:rPr>
          <w:b/>
          <w:bCs/>
        </w:rPr>
        <w:t>traditional</w:t>
      </w:r>
      <w:r>
        <w:t xml:space="preserve"> substantial test (and abandon the overwhelming weight language</w:t>
      </w:r>
      <w:r w:rsidRPr="00910BB7">
        <w:rPr>
          <w:vertAlign w:val="superscript"/>
        </w:rPr>
        <w:footnoteReference w:id="961"/>
      </w:r>
      <w:r>
        <w:t xml:space="preserve"> altogether) </w:t>
      </w:r>
      <w:r w:rsidRPr="006075AC">
        <w:rPr>
          <w:b/>
          <w:bCs/>
          <w:i/>
          <w:iCs/>
        </w:rPr>
        <w:t>whenever</w:t>
      </w:r>
      <w:r>
        <w:t xml:space="preserve"> reviewing factual findings, with </w:t>
      </w:r>
      <w:r w:rsidRPr="009876EB">
        <w:rPr>
          <w:i/>
          <w:iCs/>
        </w:rPr>
        <w:t>Dale’s</w:t>
      </w:r>
      <w:r>
        <w:t xml:space="preserve"> additional caveat:</w:t>
      </w:r>
    </w:p>
    <w:p w14:paraId="300601D2" w14:textId="71809D98" w:rsidR="00FF7482" w:rsidRDefault="00FF7482" w:rsidP="006C4967">
      <w:pPr>
        <w:pStyle w:val="LawReview-StandardBodyText"/>
        <w:spacing w:after="0" w:line="259" w:lineRule="auto"/>
      </w:pPr>
    </w:p>
    <w:p w14:paraId="6E2ACBEC" w14:textId="19CA0CDB" w:rsidR="00FF7482" w:rsidRDefault="00FF7482" w:rsidP="006C4967">
      <w:pPr>
        <w:pStyle w:val="LawReview-StandardBodyText"/>
        <w:spacing w:after="0" w:line="259" w:lineRule="auto"/>
        <w:ind w:left="720" w:right="720" w:firstLine="0"/>
      </w:pPr>
      <w:r w:rsidRPr="009876EB">
        <w:t>The arbitrary and capricious standard remains a ““safety net” to catch agency action which prejudices a party</w:t>
      </w:r>
      <w:r>
        <w:t>’</w:t>
      </w:r>
      <w:r w:rsidRPr="009876EB">
        <w:t xml:space="preserve">s substantial rights or which may be contrary to the other W.A.P.A. review standards yet is not easily categorized or fit to any one particular standard.” Newman, ¶ 23, 49 P.3d at 172. Although we explained the “safety net” application of the arbitrary and capricious standard in Newman, we will refine it slightly here to more carefully delineate that it is </w:t>
      </w:r>
      <w:r w:rsidRPr="009876EB">
        <w:lastRenderedPageBreak/>
        <w:t>not meant to apply to true evidentiary questions. Instead, the arbitrary and capricious standard will apply if the hearing examiner refused to admit testimony or documentary exhibits that were clearly admissible or failed to provide appropriate findings of fact or conclusions of law. This listing is demonstrative and not intended as an inclusive catalog of all possible circumstances. Id.</w:t>
      </w:r>
      <w:r w:rsidRPr="00910BB7">
        <w:rPr>
          <w:vertAlign w:val="superscript"/>
        </w:rPr>
        <w:footnoteReference w:id="962"/>
      </w:r>
    </w:p>
    <w:p w14:paraId="7EA99F2F" w14:textId="37AF6144" w:rsidR="00FF7482" w:rsidRDefault="00FF7482" w:rsidP="006C4967">
      <w:pPr>
        <w:pStyle w:val="LawReview-StandardBodyText"/>
        <w:spacing w:after="0" w:line="259" w:lineRule="auto"/>
        <w:ind w:left="720" w:right="720" w:firstLine="0"/>
      </w:pPr>
    </w:p>
    <w:p w14:paraId="7759BCB2" w14:textId="06CA3A27" w:rsidR="00FF7482" w:rsidRDefault="00FF7482" w:rsidP="000E6BFD">
      <w:pPr>
        <w:pStyle w:val="LawReview-StandardBodyText"/>
        <w:spacing w:after="0" w:line="259" w:lineRule="auto"/>
        <w:ind w:firstLine="0"/>
      </w:pPr>
      <w:r>
        <w:t xml:space="preserve">One “circumstance” that could continue to be included in </w:t>
      </w:r>
      <w:r w:rsidRPr="0032496B">
        <w:rPr>
          <w:i/>
          <w:iCs/>
        </w:rPr>
        <w:t>Dale</w:t>
      </w:r>
      <w:r>
        <w:t xml:space="preserve">’s “catalog” is the situation that led to this doctrinal development in the first place: </w:t>
      </w:r>
      <w:r w:rsidRPr="0032496B">
        <w:rPr>
          <w:b/>
          <w:bCs/>
        </w:rPr>
        <w:t>agency awards in favor of non-producers of evidence</w:t>
      </w:r>
      <w:r>
        <w:t>. Arbitrary and capricious review in those circumstances might simply consist of a requirement that agencies “adequately explain” adjudicative decisions. As the U.S. Supreme Court has explained in the context of federal agency adjudication: “</w:t>
      </w:r>
      <w:r w:rsidRPr="005B28BC">
        <w:t>Not only must an agency's decreed result be within the scope of its lawful authority, but the process by which it reaches that result must be logical and rational.</w:t>
      </w:r>
      <w:r>
        <w:t>”</w:t>
      </w:r>
      <w:r w:rsidRPr="00910BB7">
        <w:rPr>
          <w:vertAlign w:val="superscript"/>
        </w:rPr>
        <w:footnoteReference w:id="963"/>
      </w:r>
      <w:r>
        <w:t xml:space="preserve"> It seems better to retain the relative coherence of the substantial evidence test, in the interest of separation of powers, even if that retention leads to sometimes messier arbitrary and capricious doctrine.</w:t>
      </w:r>
    </w:p>
    <w:p w14:paraId="5A770D93" w14:textId="652B813B" w:rsidR="00FF7482" w:rsidRDefault="00FF7482" w:rsidP="006C4967">
      <w:pPr>
        <w:rPr>
          <w:rFonts w:ascii="Times New Roman" w:hAnsi="Times New Roman"/>
          <w:sz w:val="24"/>
          <w:szCs w:val="24"/>
        </w:rPr>
      </w:pPr>
      <w:r>
        <w:br w:type="page"/>
      </w:r>
    </w:p>
    <w:p w14:paraId="510993D1" w14:textId="17D4D0E8" w:rsidR="00FF7482" w:rsidRDefault="00FF7482" w:rsidP="006C4967">
      <w:pPr>
        <w:pStyle w:val="Heading1"/>
        <w:rPr>
          <w:rFonts w:ascii="Times New Roman" w:hAnsi="Times New Roman" w:cs="Times New Roman"/>
          <w:b/>
          <w:color w:val="auto"/>
        </w:rPr>
      </w:pPr>
      <w:bookmarkStart w:id="1335" w:name="_Toc75269441"/>
      <w:r>
        <w:rPr>
          <w:rFonts w:ascii="Times New Roman" w:hAnsi="Times New Roman" w:cs="Times New Roman"/>
          <w:b/>
          <w:color w:val="auto"/>
        </w:rPr>
        <w:lastRenderedPageBreak/>
        <w:t>Miscellaneous Topics</w:t>
      </w:r>
      <w:bookmarkEnd w:id="1335"/>
    </w:p>
    <w:p w14:paraId="7E20AD10" w14:textId="77777777" w:rsidR="00FF7482" w:rsidRPr="00FA49B5" w:rsidRDefault="00FF7482" w:rsidP="006C4967">
      <w:pPr>
        <w:spacing w:after="0"/>
      </w:pPr>
    </w:p>
    <w:p w14:paraId="6ABFE5FD" w14:textId="0324D84F" w:rsidR="00FF7482" w:rsidRPr="00FA49B5" w:rsidRDefault="00FF7482" w:rsidP="006F52B6">
      <w:pPr>
        <w:pStyle w:val="Heading2"/>
        <w:spacing w:before="0"/>
        <w:rPr>
          <w:rFonts w:ascii="Times New Roman" w:hAnsi="Times New Roman" w:cs="Times New Roman"/>
          <w:b/>
          <w:color w:val="auto"/>
          <w:sz w:val="28"/>
          <w:szCs w:val="28"/>
        </w:rPr>
      </w:pPr>
      <w:bookmarkStart w:id="1336" w:name="_Toc75269442"/>
      <w:r w:rsidRPr="00FA49B5">
        <w:rPr>
          <w:rFonts w:ascii="Times New Roman" w:hAnsi="Times New Roman" w:cs="Times New Roman"/>
          <w:b/>
          <w:color w:val="auto"/>
          <w:sz w:val="28"/>
          <w:szCs w:val="28"/>
        </w:rPr>
        <w:t>Third Party Actions</w:t>
      </w:r>
      <w:r>
        <w:rPr>
          <w:rFonts w:ascii="Times New Roman" w:hAnsi="Times New Roman" w:cs="Times New Roman"/>
          <w:b/>
          <w:color w:val="auto"/>
          <w:sz w:val="28"/>
          <w:szCs w:val="28"/>
        </w:rPr>
        <w:t xml:space="preserve"> Generally</w:t>
      </w:r>
      <w:bookmarkEnd w:id="1336"/>
    </w:p>
    <w:p w14:paraId="5F450488" w14:textId="46B0AB2B" w:rsidR="00FF7482" w:rsidRDefault="00FF7482" w:rsidP="006C4967">
      <w:pPr>
        <w:spacing w:after="0"/>
      </w:pPr>
    </w:p>
    <w:p w14:paraId="000FE0DE" w14:textId="1E933C63" w:rsidR="00FF7482" w:rsidRDefault="00FF7482" w:rsidP="006F52B6">
      <w:pPr>
        <w:pStyle w:val="LawReview-StandardBodyText"/>
        <w:spacing w:after="0" w:line="259" w:lineRule="auto"/>
        <w:ind w:firstLine="0"/>
      </w:pPr>
      <w:r>
        <w:t>While the exclusive remedy rule applies with respect to an employee’s remedy from the employer for a workplace injury, there are many situations in which the injury may be caused, in whole or part, by a third party. Imagine the case of an employee injured by a piece of equipment that malfunctions at the workplace. Most, if not all workers’ compensation statutes allow for tort recovery from this third party on the moral theory that “</w:t>
      </w:r>
      <w:r w:rsidRPr="00A27B30">
        <w:t>the ultimate loss from wrongdoing should fall upon the wrongdoer.</w:t>
      </w:r>
      <w:r>
        <w:t>”</w:t>
      </w:r>
      <w:r w:rsidRPr="00910BB7">
        <w:rPr>
          <w:vertAlign w:val="superscript"/>
        </w:rPr>
        <w:footnoteReference w:id="964"/>
      </w:r>
      <w:r>
        <w:t xml:space="preserve"> While “</w:t>
      </w:r>
      <w:r w:rsidRPr="00A27B30">
        <w:t>in compensation law, social policy has dispensed with fault concepts to the extent necessary to ensure an automatic recovery by the injured worker</w:t>
      </w:r>
      <w:r>
        <w:t xml:space="preserve"> . . . </w:t>
      </w:r>
      <w:r w:rsidRPr="00A27B30">
        <w:t>the disregard of fault goes no further than to accomplish that object, and, with payment of the worker assured, the quest of the law for the actual wrongdoer may proceed in the usual way.</w:t>
      </w:r>
      <w:r>
        <w:t xml:space="preserve"> </w:t>
      </w:r>
      <w:r w:rsidRPr="00C30DD6">
        <w:t>So, it is elementary that if a stranger’s negligence was the cause of injury to claimant in the course of employment, the stranger should not be in any degree absolved of his or her normal obligation to pay damages for such an injury.</w:t>
      </w:r>
      <w:r>
        <w:t>”</w:t>
      </w:r>
      <w:r w:rsidRPr="00910BB7">
        <w:rPr>
          <w:vertAlign w:val="superscript"/>
        </w:rPr>
        <w:footnoteReference w:id="965"/>
      </w:r>
      <w:r>
        <w:t xml:space="preserve"> But most jurisdictions also conclude that </w:t>
      </w:r>
      <w:r w:rsidRPr="00C30DD6">
        <w:t xml:space="preserve">the claimant should not be allowed to keep the entire amount both of </w:t>
      </w:r>
      <w:r>
        <w:t xml:space="preserve">the workers’ </w:t>
      </w:r>
      <w:r w:rsidRPr="00C30DD6">
        <w:t>compensation award and</w:t>
      </w:r>
      <w:r>
        <w:t xml:space="preserve"> the</w:t>
      </w:r>
      <w:r w:rsidRPr="00C30DD6">
        <w:t xml:space="preserve"> common-law damage</w:t>
      </w:r>
      <w:r>
        <w:t>s recovered because it is thought to be a double recovery.</w:t>
      </w:r>
      <w:r w:rsidRPr="00910BB7">
        <w:rPr>
          <w:vertAlign w:val="superscript"/>
        </w:rPr>
        <w:footnoteReference w:id="966"/>
      </w:r>
    </w:p>
    <w:p w14:paraId="2D0D5AE5" w14:textId="75D4D76C" w:rsidR="00FF7482" w:rsidRDefault="00FF7482" w:rsidP="006C4967">
      <w:pPr>
        <w:spacing w:after="0"/>
      </w:pPr>
    </w:p>
    <w:p w14:paraId="01594D10" w14:textId="61A7566F" w:rsidR="00FF7482" w:rsidRPr="00C30DD6" w:rsidRDefault="00FF7482" w:rsidP="009531A0">
      <w:pPr>
        <w:pStyle w:val="Heading2"/>
        <w:spacing w:before="0"/>
        <w:rPr>
          <w:rFonts w:ascii="Times New Roman" w:hAnsi="Times New Roman" w:cs="Times New Roman"/>
          <w:b/>
          <w:color w:val="auto"/>
          <w:sz w:val="28"/>
          <w:szCs w:val="28"/>
        </w:rPr>
      </w:pPr>
      <w:bookmarkStart w:id="1344" w:name="_Toc75269443"/>
      <w:r w:rsidRPr="00C30DD6">
        <w:rPr>
          <w:rFonts w:ascii="Times New Roman" w:hAnsi="Times New Roman" w:cs="Times New Roman"/>
          <w:b/>
          <w:color w:val="auto"/>
          <w:sz w:val="28"/>
          <w:szCs w:val="28"/>
        </w:rPr>
        <w:t>Third Party Actions in Wyoming</w:t>
      </w:r>
      <w:bookmarkEnd w:id="1344"/>
    </w:p>
    <w:p w14:paraId="51BDB4FB" w14:textId="32C619D7" w:rsidR="00FF7482" w:rsidRDefault="00FF7482" w:rsidP="006C4967">
      <w:pPr>
        <w:spacing w:after="0"/>
      </w:pPr>
    </w:p>
    <w:p w14:paraId="74DA23DF" w14:textId="3A3A9351" w:rsidR="00FF7482" w:rsidRDefault="00FF7482" w:rsidP="009531A0">
      <w:pPr>
        <w:pStyle w:val="LawReview-StandardBodyText"/>
        <w:spacing w:after="0" w:line="259" w:lineRule="auto"/>
        <w:ind w:firstLine="0"/>
      </w:pPr>
      <w:r>
        <w:t xml:space="preserve">Third party actions in Wyoming are governed by W.S. </w:t>
      </w:r>
      <w:r>
        <w:rPr>
          <w:rFonts w:cstheme="minorHAnsi"/>
        </w:rPr>
        <w:t>§</w:t>
      </w:r>
      <w:r>
        <w:t xml:space="preserve"> </w:t>
      </w:r>
      <w:hyperlink r:id="rId133" w:history="1">
        <w:r w:rsidRPr="00C30DD6">
          <w:rPr>
            <w:rStyle w:val="Hyperlink"/>
          </w:rPr>
          <w:t>27-14-105</w:t>
        </w:r>
      </w:hyperlink>
      <w:r>
        <w:t xml:space="preserve">. The statutory provision captures the essence of the principles explained above in Section 8.1. </w:t>
      </w:r>
    </w:p>
    <w:p w14:paraId="4A71AAEB" w14:textId="77777777" w:rsidR="00FF7482" w:rsidRDefault="00FF7482" w:rsidP="006C4967">
      <w:pPr>
        <w:spacing w:after="0"/>
      </w:pPr>
    </w:p>
    <w:p w14:paraId="1C2CB801" w14:textId="5398357F" w:rsidR="00FF7482" w:rsidRDefault="00FF7482" w:rsidP="009531A0">
      <w:pPr>
        <w:pStyle w:val="LawReview-StandardBodyText"/>
        <w:numPr>
          <w:ilvl w:val="0"/>
          <w:numId w:val="14"/>
        </w:numPr>
        <w:spacing w:after="160" w:line="259" w:lineRule="auto"/>
        <w:ind w:left="720" w:right="720"/>
      </w:pPr>
      <w:r w:rsidRPr="00290407">
        <w:rPr>
          <w:b/>
          <w:bCs/>
          <w:u w:val="single"/>
        </w:rPr>
        <w:t>An employee has the right under Wyoming law to pursue a third-party action</w:t>
      </w:r>
      <w:r w:rsidR="009531A0">
        <w:t>.</w:t>
      </w:r>
    </w:p>
    <w:p w14:paraId="3FC84E89" w14:textId="2C97173B" w:rsidR="00FF7482" w:rsidRDefault="00FF7482" w:rsidP="009531A0">
      <w:pPr>
        <w:pStyle w:val="LawReview-StandardBodyText"/>
        <w:numPr>
          <w:ilvl w:val="0"/>
          <w:numId w:val="14"/>
        </w:numPr>
        <w:spacing w:after="160" w:line="259" w:lineRule="auto"/>
        <w:ind w:left="720" w:right="720"/>
      </w:pPr>
      <w:r w:rsidRPr="00F772C8">
        <w:rPr>
          <w:b/>
          <w:bCs/>
        </w:rPr>
        <w:t>If the employee recovers</w:t>
      </w:r>
      <w:r>
        <w:t xml:space="preserve"> from the third party or a coemployee</w:t>
      </w:r>
      <w:r w:rsidRPr="00910BB7">
        <w:rPr>
          <w:vertAlign w:val="superscript"/>
        </w:rPr>
        <w:footnoteReference w:id="967"/>
      </w:r>
      <w:r>
        <w:t xml:space="preserve"> in </w:t>
      </w:r>
      <w:r w:rsidRPr="00290407">
        <w:rPr>
          <w:b/>
          <w:bCs/>
        </w:rPr>
        <w:t>any manner including judgment, compromise, settlement or release</w:t>
      </w:r>
      <w:r w:rsidRPr="00922F10">
        <w:rPr>
          <w:b/>
          <w:bCs/>
        </w:rPr>
        <w:t>,</w:t>
      </w:r>
      <w:r>
        <w:t xml:space="preserve"> </w:t>
      </w:r>
      <w:r w:rsidRPr="00F772C8">
        <w:rPr>
          <w:b/>
          <w:bCs/>
          <w:u w:val="single"/>
        </w:rPr>
        <w:t>the state is entitled to be reimbursed for a maximum of one-third of the total proceeds of the recovery</w:t>
      </w:r>
      <w:r>
        <w:t xml:space="preserve"> without regard to the category of damages alleged in the third-party action</w:t>
      </w:r>
      <w:r w:rsidR="009531A0">
        <w:t>.</w:t>
      </w:r>
      <w:r>
        <w:t xml:space="preserve"> </w:t>
      </w:r>
    </w:p>
    <w:p w14:paraId="71C0EBB7" w14:textId="77777777" w:rsidR="00FF7482" w:rsidRPr="0009710E" w:rsidRDefault="00FF7482" w:rsidP="009531A0">
      <w:pPr>
        <w:pStyle w:val="LawReview-StandardBodyText"/>
        <w:spacing w:after="160" w:line="259" w:lineRule="auto"/>
        <w:ind w:left="720" w:right="720" w:firstLine="0"/>
      </w:pPr>
    </w:p>
    <w:p w14:paraId="187B7DBB" w14:textId="3F0334A8" w:rsidR="00FF7482" w:rsidRDefault="00FF7482" w:rsidP="009531A0">
      <w:pPr>
        <w:pStyle w:val="LawReview-StandardBodyText"/>
        <w:numPr>
          <w:ilvl w:val="0"/>
          <w:numId w:val="14"/>
        </w:numPr>
        <w:spacing w:after="160" w:line="259" w:lineRule="auto"/>
        <w:ind w:left="720" w:right="720"/>
      </w:pPr>
      <w:r w:rsidRPr="00290407">
        <w:rPr>
          <w:b/>
          <w:bCs/>
        </w:rPr>
        <w:lastRenderedPageBreak/>
        <w:t>Any recovery by the state is reduced pro rata for attorney fees</w:t>
      </w:r>
      <w:r>
        <w:t xml:space="preserve"> and costs in the same proportion as the employee is liable for fees and costs</w:t>
      </w:r>
      <w:r w:rsidR="009531A0">
        <w:t>.</w:t>
      </w:r>
    </w:p>
    <w:p w14:paraId="789BF3CE" w14:textId="3493297E" w:rsidR="00FF7482" w:rsidRDefault="00FF7482" w:rsidP="009531A0">
      <w:pPr>
        <w:pStyle w:val="LawReview-StandardBodyText"/>
        <w:numPr>
          <w:ilvl w:val="0"/>
          <w:numId w:val="14"/>
        </w:numPr>
        <w:spacing w:after="160" w:line="259" w:lineRule="auto"/>
        <w:ind w:left="720" w:right="720"/>
      </w:pPr>
      <w:r w:rsidRPr="00F772C8">
        <w:rPr>
          <w:b/>
          <w:bCs/>
        </w:rPr>
        <w:t>All money received by the state is credited to the worker’s compensation account</w:t>
      </w:r>
      <w:r>
        <w:t xml:space="preserve"> </w:t>
      </w:r>
      <w:r w:rsidRPr="0056584D">
        <w:rPr>
          <w:b/>
          <w:bCs/>
        </w:rPr>
        <w:t>and considered in computing the employer's experience rating</w:t>
      </w:r>
      <w:r w:rsidR="009531A0" w:rsidRPr="009531A0">
        <w:t>.</w:t>
      </w:r>
      <w:r w:rsidRPr="00910BB7">
        <w:rPr>
          <w:vertAlign w:val="superscript"/>
        </w:rPr>
        <w:footnoteReference w:id="968"/>
      </w:r>
    </w:p>
    <w:p w14:paraId="2AAE9729" w14:textId="3CE1C02E" w:rsidR="00FF7482" w:rsidRDefault="00FF7482" w:rsidP="009531A0">
      <w:pPr>
        <w:pStyle w:val="LawReview-StandardBodyText"/>
        <w:numPr>
          <w:ilvl w:val="0"/>
          <w:numId w:val="14"/>
        </w:numPr>
        <w:spacing w:after="160" w:line="259" w:lineRule="auto"/>
        <w:ind w:left="720" w:right="720"/>
      </w:pPr>
      <w:r>
        <w:t xml:space="preserve">The director of the Division and the attorney general </w:t>
      </w:r>
      <w:r w:rsidRPr="00290407">
        <w:rPr>
          <w:b/>
          <w:bCs/>
        </w:rPr>
        <w:t>must be served formally with a copy of the complaint filed in a third party action</w:t>
      </w:r>
      <w:r w:rsidRPr="00922F10">
        <w:t>.</w:t>
      </w:r>
      <w:r w:rsidRPr="00290407">
        <w:rPr>
          <w:b/>
          <w:bCs/>
        </w:rPr>
        <w:t xml:space="preserve"> This a jurisdictional requirement in order to maintain the action</w:t>
      </w:r>
      <w:r w:rsidR="009531A0" w:rsidRPr="009531A0">
        <w:t>.</w:t>
      </w:r>
    </w:p>
    <w:p w14:paraId="1E7F23AF" w14:textId="4094C8E4" w:rsidR="00FF7482" w:rsidRDefault="00FF7482" w:rsidP="009531A0">
      <w:pPr>
        <w:pStyle w:val="LawReview-StandardBodyText"/>
        <w:numPr>
          <w:ilvl w:val="0"/>
          <w:numId w:val="14"/>
        </w:numPr>
        <w:spacing w:after="160" w:line="259" w:lineRule="auto"/>
        <w:ind w:left="720" w:right="720"/>
      </w:pPr>
      <w:r w:rsidRPr="00420690">
        <w:rPr>
          <w:b/>
          <w:bCs/>
        </w:rPr>
        <w:t>The director of the Division and the attorney general must be formally notified in writing of any</w:t>
      </w:r>
      <w:r>
        <w:t xml:space="preserve"> judgment, compromise, </w:t>
      </w:r>
      <w:r w:rsidRPr="00420690">
        <w:rPr>
          <w:b/>
          <w:bCs/>
        </w:rPr>
        <w:t>settlement or release</w:t>
      </w:r>
      <w:r>
        <w:t xml:space="preserve"> entered into by an employee; and before even </w:t>
      </w:r>
      <w:r w:rsidRPr="00420690">
        <w:rPr>
          <w:b/>
          <w:bCs/>
        </w:rPr>
        <w:t>offering</w:t>
      </w:r>
      <w:r>
        <w:t xml:space="preserve"> settlement </w:t>
      </w:r>
      <w:r w:rsidRPr="00420690">
        <w:rPr>
          <w:i/>
          <w:iCs/>
        </w:rPr>
        <w:t>to an employee</w:t>
      </w:r>
      <w:r>
        <w:t>, a third party or its insurer must notify the state of the proposed settlement and give the state fifteen days in which to object</w:t>
      </w:r>
      <w:r w:rsidR="009531A0">
        <w:t>.</w:t>
      </w:r>
    </w:p>
    <w:p w14:paraId="395C4364" w14:textId="26EB9764" w:rsidR="00FF7482" w:rsidRDefault="00FF7482" w:rsidP="009531A0">
      <w:pPr>
        <w:pStyle w:val="LawReview-StandardBodyText"/>
        <w:numPr>
          <w:ilvl w:val="0"/>
          <w:numId w:val="14"/>
        </w:numPr>
        <w:spacing w:after="160" w:line="259" w:lineRule="auto"/>
        <w:ind w:left="720" w:right="720"/>
      </w:pPr>
      <w:r>
        <w:t xml:space="preserve">If notice of proposed settlement is </w:t>
      </w:r>
      <w:r w:rsidRPr="00420690">
        <w:rPr>
          <w:b/>
          <w:bCs/>
          <w:u w:val="single"/>
        </w:rPr>
        <w:t>not</w:t>
      </w:r>
      <w:r w:rsidRPr="00420690">
        <w:rPr>
          <w:b/>
          <w:bCs/>
        </w:rPr>
        <w:t xml:space="preserve"> </w:t>
      </w:r>
      <w:r>
        <w:t xml:space="preserve">provided, </w:t>
      </w:r>
      <w:r w:rsidRPr="00420690">
        <w:rPr>
          <w:b/>
          <w:bCs/>
        </w:rPr>
        <w:t>the state may initiate an independent action against the third party or its insurer</w:t>
      </w:r>
      <w:r>
        <w:t xml:space="preserve"> for all payments made or reserved on behalf of the employee</w:t>
      </w:r>
      <w:r w:rsidR="009531A0">
        <w:t>.</w:t>
      </w:r>
    </w:p>
    <w:p w14:paraId="0EC75581" w14:textId="371B9286" w:rsidR="00FF7482" w:rsidRDefault="00FF7482" w:rsidP="009531A0">
      <w:pPr>
        <w:pStyle w:val="LawReview-StandardBodyText"/>
        <w:numPr>
          <w:ilvl w:val="0"/>
          <w:numId w:val="14"/>
        </w:numPr>
        <w:spacing w:after="160" w:line="259" w:lineRule="auto"/>
        <w:ind w:left="720" w:right="720"/>
      </w:pPr>
      <w:r>
        <w:t xml:space="preserve">The </w:t>
      </w:r>
      <w:r w:rsidRPr="00FB7626">
        <w:rPr>
          <w:b/>
          <w:bCs/>
        </w:rPr>
        <w:t>attorney general</w:t>
      </w:r>
      <w:r>
        <w:t xml:space="preserve">, representing the director, </w:t>
      </w:r>
      <w:r w:rsidRPr="00FB7626">
        <w:rPr>
          <w:b/>
          <w:bCs/>
        </w:rPr>
        <w:t>must be made a party</w:t>
      </w:r>
      <w:r>
        <w:t xml:space="preserve"> in all negotiations for settlement, compromise or release of a third party action involving a workers’ compensation claim</w:t>
      </w:r>
      <w:r w:rsidR="009531A0">
        <w:t>.</w:t>
      </w:r>
      <w:r>
        <w:t xml:space="preserve"> </w:t>
      </w:r>
    </w:p>
    <w:p w14:paraId="73BEF5C8" w14:textId="37D0E530" w:rsidR="00FF7482" w:rsidRDefault="00FF7482" w:rsidP="009531A0">
      <w:pPr>
        <w:pStyle w:val="LawReview-StandardBodyText"/>
        <w:numPr>
          <w:ilvl w:val="0"/>
          <w:numId w:val="14"/>
        </w:numPr>
        <w:spacing w:after="160" w:line="259" w:lineRule="auto"/>
        <w:ind w:left="720" w:right="720"/>
      </w:pPr>
      <w:r>
        <w:t xml:space="preserve">The </w:t>
      </w:r>
      <w:r w:rsidRPr="00FB7626">
        <w:rPr>
          <w:b/>
          <w:bCs/>
        </w:rPr>
        <w:t xml:space="preserve">attorney general and the director are authorized </w:t>
      </w:r>
      <w:r w:rsidRPr="00FB7626">
        <w:t xml:space="preserve">(in appropriate cases) </w:t>
      </w:r>
      <w:r w:rsidRPr="00FB7626">
        <w:rPr>
          <w:b/>
          <w:bCs/>
        </w:rPr>
        <w:t>to accept less</w:t>
      </w:r>
      <w:r>
        <w:t xml:space="preserve"> than the state’s total claim for reimbursement</w:t>
      </w:r>
      <w:r w:rsidR="009531A0">
        <w:t>.</w:t>
      </w:r>
      <w:r>
        <w:t xml:space="preserve"> </w:t>
      </w:r>
    </w:p>
    <w:p w14:paraId="1F025E9B" w14:textId="63F5395A" w:rsidR="00FF7482" w:rsidRDefault="00FF7482" w:rsidP="009531A0">
      <w:pPr>
        <w:pStyle w:val="LawReview-StandardBodyText"/>
        <w:numPr>
          <w:ilvl w:val="0"/>
          <w:numId w:val="14"/>
        </w:numPr>
        <w:spacing w:after="160" w:line="259" w:lineRule="auto"/>
        <w:ind w:left="720" w:right="720"/>
      </w:pPr>
      <w:r w:rsidRPr="00FB7626">
        <w:rPr>
          <w:b/>
          <w:bCs/>
        </w:rPr>
        <w:t>The state has a lien on proceeds</w:t>
      </w:r>
      <w:r>
        <w:t xml:space="preserve"> (of any judgment, settlement, compromise or release) for the state’s claim for reimbursement, which remains in effect until the state is paid and the attorney general has released the state’s claim</w:t>
      </w:r>
      <w:r w:rsidR="009531A0">
        <w:t>.</w:t>
      </w:r>
    </w:p>
    <w:p w14:paraId="09AD14E8" w14:textId="51A62682" w:rsidR="00FF7482" w:rsidRDefault="00FF7482" w:rsidP="009531A0">
      <w:pPr>
        <w:pStyle w:val="LawReview-StandardBodyText"/>
        <w:numPr>
          <w:ilvl w:val="0"/>
          <w:numId w:val="14"/>
        </w:numPr>
        <w:spacing w:after="160" w:line="259" w:lineRule="auto"/>
        <w:ind w:left="720" w:right="720"/>
      </w:pPr>
      <w:r>
        <w:t xml:space="preserve">Where injury causes the death of the employee, the lawful </w:t>
      </w:r>
      <w:r w:rsidRPr="0009710E">
        <w:rPr>
          <w:b/>
          <w:bCs/>
        </w:rPr>
        <w:t>personal representative</w:t>
      </w:r>
      <w:r>
        <w:t xml:space="preserve"> of the employee </w:t>
      </w:r>
      <w:r w:rsidRPr="0009710E">
        <w:rPr>
          <w:b/>
          <w:bCs/>
        </w:rPr>
        <w:t>is authorized to pursue available rights and remedies</w:t>
      </w:r>
      <w:r>
        <w:t xml:space="preserve"> for the benefit of the deceased employee’s dependents</w:t>
      </w:r>
      <w:r w:rsidR="009531A0">
        <w:t>.</w:t>
      </w:r>
    </w:p>
    <w:p w14:paraId="5441ED12" w14:textId="6E2029E2" w:rsidR="00FF7482" w:rsidRDefault="00FF7482" w:rsidP="009531A0">
      <w:pPr>
        <w:pStyle w:val="LawReview-StandardBodyText"/>
        <w:numPr>
          <w:ilvl w:val="0"/>
          <w:numId w:val="14"/>
        </w:numPr>
        <w:spacing w:after="160" w:line="259" w:lineRule="auto"/>
        <w:ind w:left="720" w:right="720"/>
      </w:pPr>
      <w:r>
        <w:lastRenderedPageBreak/>
        <w:t xml:space="preserve">An </w:t>
      </w:r>
      <w:r w:rsidRPr="0009710E">
        <w:rPr>
          <w:b/>
          <w:bCs/>
        </w:rPr>
        <w:t>attorney failing to notify</w:t>
      </w:r>
      <w:r>
        <w:t xml:space="preserve"> the director and attorney general </w:t>
      </w:r>
      <w:r w:rsidRPr="0009710E">
        <w:rPr>
          <w:b/>
          <w:bCs/>
        </w:rPr>
        <w:t>of a settlement</w:t>
      </w:r>
      <w:r>
        <w:t xml:space="preserve"> or failing to ensure the state receives its share of the proceeds of a settlement or judgment </w:t>
      </w:r>
      <w:r w:rsidRPr="0009710E">
        <w:rPr>
          <w:b/>
          <w:bCs/>
        </w:rPr>
        <w:t>will be reported to the grievance committee</w:t>
      </w:r>
      <w:r>
        <w:t xml:space="preserve"> of the Wyoming State Bar</w:t>
      </w:r>
      <w:r w:rsidR="009531A0">
        <w:t>.</w:t>
      </w:r>
    </w:p>
    <w:p w14:paraId="64EC2FEB" w14:textId="62F3A914" w:rsidR="00FF7482" w:rsidRDefault="00FF7482" w:rsidP="009531A0">
      <w:pPr>
        <w:pStyle w:val="LawReview-StandardBodyText"/>
        <w:numPr>
          <w:ilvl w:val="0"/>
          <w:numId w:val="14"/>
        </w:numPr>
        <w:spacing w:after="160" w:line="259" w:lineRule="auto"/>
        <w:ind w:left="720" w:right="720"/>
      </w:pPr>
      <w:r>
        <w:t xml:space="preserve">Upon the </w:t>
      </w:r>
      <w:r w:rsidRPr="0009710E">
        <w:rPr>
          <w:b/>
          <w:bCs/>
        </w:rPr>
        <w:t>unsolicited</w:t>
      </w:r>
      <w:r>
        <w:t xml:space="preserve"> </w:t>
      </w:r>
      <w:r w:rsidRPr="0009710E">
        <w:rPr>
          <w:b/>
          <w:bCs/>
        </w:rPr>
        <w:t>written</w:t>
      </w:r>
      <w:r>
        <w:t xml:space="preserve"> request of an employee or the employee’s estate, </w:t>
      </w:r>
      <w:r w:rsidRPr="0009710E">
        <w:rPr>
          <w:b/>
          <w:bCs/>
        </w:rPr>
        <w:t>the “department” may commence a third party action</w:t>
      </w:r>
      <w:r>
        <w:t xml:space="preserve">, and </w:t>
      </w:r>
      <w:r w:rsidRPr="0009710E">
        <w:rPr>
          <w:b/>
          <w:bCs/>
        </w:rPr>
        <w:t>any amounts recovered in the action are subject to the state’s reimbursement claims</w:t>
      </w:r>
      <w:r>
        <w:t xml:space="preserve">, including anticipated future medical costs. </w:t>
      </w:r>
      <w:r w:rsidRPr="0009710E">
        <w:rPr>
          <w:b/>
          <w:bCs/>
        </w:rPr>
        <w:t>Any excess recovery must be paid to the injured employee or the employee’s estate</w:t>
      </w:r>
      <w:r w:rsidR="009531A0" w:rsidRPr="00922F10">
        <w:t>.</w:t>
      </w:r>
    </w:p>
    <w:p w14:paraId="4D099698" w14:textId="03925083" w:rsidR="00FF7482" w:rsidRDefault="00FF7482" w:rsidP="009531A0">
      <w:pPr>
        <w:pStyle w:val="LawReview-StandardBodyText"/>
        <w:numPr>
          <w:ilvl w:val="0"/>
          <w:numId w:val="14"/>
        </w:numPr>
        <w:spacing w:after="0" w:line="259" w:lineRule="auto"/>
        <w:ind w:left="720" w:right="720"/>
      </w:pPr>
      <w:r>
        <w:t xml:space="preserve">The department or employer have an additional six month limitation period (beyond the date on which an employee or his estate would be barred under the statute of limitations from commencing a claim for personal injury or wrongful death) in which to commence a third party action on behalf of the employee or his estate. </w:t>
      </w:r>
    </w:p>
    <w:p w14:paraId="1F2774F4" w14:textId="77777777" w:rsidR="009531A0" w:rsidRDefault="009531A0" w:rsidP="009531A0">
      <w:pPr>
        <w:pStyle w:val="LawReview-StandardBodyText"/>
        <w:spacing w:after="0" w:line="259" w:lineRule="auto"/>
        <w:ind w:left="720" w:right="720" w:firstLine="0"/>
      </w:pPr>
    </w:p>
    <w:p w14:paraId="4C676D84" w14:textId="6AA25ECE" w:rsidR="00FF7482" w:rsidRDefault="00FF7482" w:rsidP="009531A0">
      <w:pPr>
        <w:pStyle w:val="LawReview-StandardBodyText"/>
        <w:spacing w:after="0" w:line="259" w:lineRule="auto"/>
        <w:ind w:firstLine="0"/>
      </w:pPr>
      <w:r>
        <w:t xml:space="preserve">Two policies emerge quickly from the statutory provisions. First, by requiring reimbursement to the State </w:t>
      </w:r>
      <w:r w:rsidRPr="002A00FA">
        <w:rPr>
          <w:i/>
          <w:iCs/>
        </w:rPr>
        <w:t xml:space="preserve">up to only a maximum of one-third of the third party recovery </w:t>
      </w:r>
      <w:r w:rsidRPr="002A00FA">
        <w:rPr>
          <w:b/>
          <w:bCs/>
        </w:rPr>
        <w:t>the state is aggressively signaling to injured workers that it is “worth it” for them to pursue third party actions</w:t>
      </w:r>
      <w:r>
        <w:t>.</w:t>
      </w:r>
      <w:r w:rsidRPr="00910BB7">
        <w:rPr>
          <w:vertAlign w:val="superscript"/>
        </w:rPr>
        <w:footnoteReference w:id="969"/>
      </w:r>
      <w:r>
        <w:t xml:space="preserve"> It is a </w:t>
      </w:r>
      <w:r w:rsidR="00922F10">
        <w:t>well-known</w:t>
      </w:r>
      <w:r>
        <w:t xml:space="preserve"> problem that allowing the full recovery of a tort damages award to the “third party subrogee” disincentivizes the claimant to pursue the third party action.</w:t>
      </w:r>
      <w:r w:rsidRPr="00910BB7">
        <w:rPr>
          <w:vertAlign w:val="superscript"/>
        </w:rPr>
        <w:footnoteReference w:id="970"/>
      </w:r>
      <w:r>
        <w:t xml:space="preserve"> Second, it is very clear that “[o]</w:t>
      </w:r>
      <w:r w:rsidRPr="002A00FA">
        <w:t xml:space="preserve">ne of the significant provisions of the Wyoming Worker's Compensation Act, § 27–14–105(b) </w:t>
      </w:r>
      <w:r>
        <w:t xml:space="preserve">. . . </w:t>
      </w:r>
      <w:r w:rsidRPr="002A00FA">
        <w:t xml:space="preserve">is </w:t>
      </w:r>
      <w:r w:rsidRPr="002A00FA">
        <w:rPr>
          <w:b/>
          <w:bCs/>
        </w:rPr>
        <w:t>designed to protect the state's lien rights</w:t>
      </w:r>
      <w:r w:rsidRPr="002A00FA">
        <w:t>, in the event of a settlement or judgment in favor of the injured worker in an action involving third parties or others.</w:t>
      </w:r>
      <w:r>
        <w:t>”</w:t>
      </w:r>
      <w:r w:rsidRPr="00910BB7">
        <w:rPr>
          <w:vertAlign w:val="superscript"/>
        </w:rPr>
        <w:footnoteReference w:id="971"/>
      </w:r>
    </w:p>
    <w:p w14:paraId="7B81F96E" w14:textId="77777777" w:rsidR="00FF7482" w:rsidRDefault="00FF7482" w:rsidP="006C4967">
      <w:pPr>
        <w:pStyle w:val="LawReview-StandardBodyText"/>
        <w:spacing w:after="0" w:line="259" w:lineRule="auto"/>
      </w:pPr>
    </w:p>
    <w:p w14:paraId="45896EB2" w14:textId="40A45597" w:rsidR="00FF7482" w:rsidRDefault="00FF7482" w:rsidP="009531A0">
      <w:pPr>
        <w:pStyle w:val="LawReview-StandardBodyText"/>
        <w:spacing w:after="0" w:line="259" w:lineRule="auto"/>
        <w:ind w:firstLine="0"/>
      </w:pPr>
      <w:r>
        <w:t xml:space="preserve">The Wyoming Supreme Court has tended to interpret the third party action statutory provisions very strictly. In </w:t>
      </w:r>
      <w:r w:rsidRPr="00862EF1">
        <w:rPr>
          <w:i/>
          <w:iCs/>
        </w:rPr>
        <w:t>Haney v. Cribbs</w:t>
      </w:r>
      <w:r>
        <w:t>,</w:t>
      </w:r>
      <w:r w:rsidRPr="00910BB7">
        <w:rPr>
          <w:vertAlign w:val="superscript"/>
        </w:rPr>
        <w:footnoteReference w:id="972"/>
      </w:r>
      <w:r>
        <w:t xml:space="preserve"> for example, the Wyoming Supreme Court dismissed the Haneys’ personal injury complaint against a third party defendant because “</w:t>
      </w:r>
      <w:r w:rsidRPr="00270D9E">
        <w:t xml:space="preserve">the Haneys served it on the Wyoming Attorney General and the Director of the Wyoming Department of Employment </w:t>
      </w:r>
      <w:r w:rsidRPr="000254C8">
        <w:rPr>
          <w:b/>
          <w:bCs/>
        </w:rPr>
        <w:t>by regular U.S. Mail, rather than by certified mail</w:t>
      </w:r>
      <w:r w:rsidRPr="00270D9E">
        <w:t xml:space="preserve"> return receipt requested.</w:t>
      </w:r>
      <w:r>
        <w:t>”</w:t>
      </w:r>
      <w:r w:rsidRPr="00910BB7">
        <w:rPr>
          <w:vertAlign w:val="superscript"/>
        </w:rPr>
        <w:footnoteReference w:id="973"/>
      </w:r>
      <w:r>
        <w:t xml:space="preserve"> As the Court explained:</w:t>
      </w:r>
    </w:p>
    <w:p w14:paraId="1764ABDF" w14:textId="0C224C2D" w:rsidR="00FF7482" w:rsidRDefault="00FF7482" w:rsidP="006C4967">
      <w:pPr>
        <w:pStyle w:val="LawReview-StandardBodyText"/>
        <w:spacing w:after="0" w:line="259" w:lineRule="auto"/>
      </w:pPr>
    </w:p>
    <w:p w14:paraId="1AD11CBD" w14:textId="650E1571" w:rsidR="00FF7482" w:rsidRDefault="00FF7482" w:rsidP="00922F10">
      <w:pPr>
        <w:pStyle w:val="LawReview-StandardBodyText"/>
        <w:spacing w:after="0" w:line="259" w:lineRule="auto"/>
        <w:ind w:left="720" w:right="720" w:firstLine="0"/>
      </w:pPr>
      <w:r w:rsidRPr="002F5FBB">
        <w:t xml:space="preserve">RaNaye Haney was operating a City of Gillette garbage truck in Campbell County, Wyoming. She was struck from the rear by a truck driven by Steve Cribbs who was employed by DRM. Because </w:t>
      </w:r>
      <w:r w:rsidRPr="002F5FBB">
        <w:lastRenderedPageBreak/>
        <w:t>her injuries occurred within the course and scope of her employment, Mrs. Haney received worker's compensation benefits of over $196,000.00. On June 14, 2005, just days before the statute of limitations expired, the Haneys filed a complaint against DRM seeking to recover all damages she suffered in the accident. Such a suit is authorized by Wyo. Stat. Ann. § 27–14–105(a</w:t>
      </w:r>
      <w:r>
        <w:t>)</w:t>
      </w:r>
      <w:r w:rsidRPr="002F5FBB">
        <w:t>, although the attorney general and the department (or the worker's compensation division) must be given notice of it so that the State may perfect a limited lien on any damages awarded.2 The statute of limitations applicable to this case is that found at Wyo. Stat. Ann. § 1–3–105(a)(iv)(C), which is four years.</w:t>
      </w:r>
      <w:r w:rsidRPr="00910BB7">
        <w:rPr>
          <w:vertAlign w:val="superscript"/>
        </w:rPr>
        <w:footnoteReference w:id="974"/>
      </w:r>
    </w:p>
    <w:p w14:paraId="25ABCDA4" w14:textId="4AFCCF1D" w:rsidR="00FF7482" w:rsidRDefault="00FF7482" w:rsidP="006C4967">
      <w:pPr>
        <w:pStyle w:val="LawReview-StandardBodyText"/>
        <w:spacing w:after="0" w:line="259" w:lineRule="auto"/>
        <w:ind w:left="720" w:right="720" w:firstLine="0"/>
      </w:pPr>
    </w:p>
    <w:p w14:paraId="5FA270C3" w14:textId="79FBCB12" w:rsidR="00FF7482" w:rsidRDefault="00FF7482" w:rsidP="009E7314">
      <w:pPr>
        <w:pStyle w:val="LawReview-StandardBodyText"/>
        <w:spacing w:after="0" w:line="259" w:lineRule="auto"/>
        <w:ind w:firstLine="0"/>
      </w:pPr>
      <w:r>
        <w:t>After the statute of limitations had expired on the civil damages suit, “</w:t>
      </w:r>
      <w:r w:rsidRPr="002F5FBB">
        <w:t>DRM filed a motion to dismiss the complaint (and/or for summary judgment) for the reason that the district court lacked subject matter jurisdiction.</w:t>
      </w:r>
      <w:r>
        <w:t xml:space="preserve">” There was no question that—then, as now—the Haneys were required to notify the attorney general and the Director (then) of the Department of Employment </w:t>
      </w:r>
      <w:r w:rsidRPr="002A1497">
        <w:rPr>
          <w:b/>
          <w:bCs/>
        </w:rPr>
        <w:t>by certified mail</w:t>
      </w:r>
      <w:r>
        <w:t xml:space="preserve"> but had not done so.</w:t>
      </w:r>
      <w:r w:rsidRPr="00910BB7">
        <w:rPr>
          <w:vertAlign w:val="superscript"/>
        </w:rPr>
        <w:footnoteReference w:id="975"/>
      </w:r>
      <w:r>
        <w:t xml:space="preserve"> But the Haneys had made </w:t>
      </w:r>
      <w:r w:rsidRPr="002A1497">
        <w:rPr>
          <w:i/>
          <w:iCs/>
        </w:rPr>
        <w:t>some</w:t>
      </w:r>
      <w:r>
        <w:t xml:space="preserve"> attempt to notify. “</w:t>
      </w:r>
      <w:r w:rsidRPr="005E009E">
        <w:t>Prior to the filing of the Haneys' complaint, the attorney general and the worker's compensation division received notice</w:t>
      </w:r>
      <w:r>
        <w:t>,</w:t>
      </w:r>
      <w:r w:rsidRPr="005E009E">
        <w:t xml:space="preserve"> from counsel for the Haneys, of their intent to file the lawsuit at issue here. Later, a copy of the complaint was sent to the attorney general and to the worker's compensation division in a timely manner.</w:t>
      </w:r>
      <w:r>
        <w:t>”</w:t>
      </w:r>
      <w:r w:rsidRPr="00910BB7">
        <w:rPr>
          <w:vertAlign w:val="superscript"/>
        </w:rPr>
        <w:footnoteReference w:id="976"/>
      </w:r>
      <w:r>
        <w:t xml:space="preserve"> While acknowledging that “[t]</w:t>
      </w:r>
      <w:r w:rsidRPr="005E009E">
        <w:t xml:space="preserve">he provisions of the Act are to be viewed as a </w:t>
      </w:r>
      <w:r>
        <w:t>‘</w:t>
      </w:r>
      <w:r w:rsidRPr="005E009E">
        <w:t>sword</w:t>
      </w:r>
      <w:r>
        <w:t>’</w:t>
      </w:r>
      <w:r w:rsidRPr="005E009E">
        <w:t xml:space="preserve"> for use by the State of Wyoming, and not as a </w:t>
      </w:r>
      <w:r>
        <w:t>‘</w:t>
      </w:r>
      <w:r w:rsidRPr="005E009E">
        <w:t>shield</w:t>
      </w:r>
      <w:r>
        <w:t>’</w:t>
      </w:r>
      <w:r w:rsidRPr="005E009E">
        <w:t xml:space="preserve"> for third party tortfeasors</w:t>
      </w:r>
      <w:r>
        <w:t>” the Court nevertheless concluded, “</w:t>
      </w:r>
      <w:r w:rsidRPr="005E009E">
        <w:t>the statutory requirements for notice are clear and unambiguous. Here, [the Haneys] failed to demonstrate compliance and their arguments that notice was provided via alternative means, while garnering [the] sympathy of this court, are legally unpersuasive.</w:t>
      </w:r>
      <w:r>
        <w:t>”</w:t>
      </w:r>
      <w:r w:rsidRPr="00910BB7">
        <w:rPr>
          <w:vertAlign w:val="superscript"/>
        </w:rPr>
        <w:footnoteReference w:id="977"/>
      </w:r>
      <w:r>
        <w:t xml:space="preserve"> </w:t>
      </w:r>
    </w:p>
    <w:p w14:paraId="65A685B9" w14:textId="7BB6A190" w:rsidR="00FF7482" w:rsidRDefault="00FF7482" w:rsidP="006C4967">
      <w:pPr>
        <w:pStyle w:val="LawReview-StandardBodyText"/>
        <w:spacing w:after="0" w:line="259" w:lineRule="auto"/>
      </w:pPr>
    </w:p>
    <w:p w14:paraId="28611C02" w14:textId="65B79CA8" w:rsidR="00FF7482" w:rsidRDefault="00FF7482" w:rsidP="009E7314">
      <w:pPr>
        <w:pStyle w:val="LawReview-StandardBodyText"/>
        <w:spacing w:after="0" w:line="259" w:lineRule="auto"/>
        <w:ind w:firstLine="0"/>
      </w:pPr>
      <w:r>
        <w:t>There are some cases in which it is not clear if an entity is an employer within the meaning of the Workers’ Compensation Act or is a “true” third party. For example, as discussed in this Treatise, above in Section 1.6, the parent corporation of a Wyoming subsidiary employer does not enjoy workers’ compensation immunity unless it—the parent—has contributed to the workers’ compensation fund.</w:t>
      </w:r>
      <w:r w:rsidRPr="00910BB7">
        <w:rPr>
          <w:vertAlign w:val="superscript"/>
        </w:rPr>
        <w:footnoteReference w:id="978"/>
      </w:r>
      <w:r>
        <w:t xml:space="preserve"> By implication such a non-contributing employer </w:t>
      </w:r>
      <w:r w:rsidRPr="00137810">
        <w:rPr>
          <w:i/>
          <w:iCs/>
        </w:rPr>
        <w:t>is</w:t>
      </w:r>
      <w:r>
        <w:t xml:space="preserve"> a </w:t>
      </w:r>
      <w:r w:rsidRPr="000D523C">
        <w:rPr>
          <w:b/>
          <w:bCs/>
        </w:rPr>
        <w:t xml:space="preserve">third party as a matter of law </w:t>
      </w:r>
      <w:r>
        <w:rPr>
          <w:b/>
          <w:bCs/>
        </w:rPr>
        <w:t xml:space="preserve">with respect </w:t>
      </w:r>
      <w:r w:rsidRPr="000D523C">
        <w:rPr>
          <w:b/>
          <w:bCs/>
        </w:rPr>
        <w:t>to a tort cause of action</w:t>
      </w:r>
      <w:r>
        <w:rPr>
          <w:b/>
          <w:bCs/>
        </w:rPr>
        <w:t xml:space="preserve"> arising in the workplace</w:t>
      </w:r>
      <w:r>
        <w:t xml:space="preserve">. For this reason there can be </w:t>
      </w:r>
      <w:r w:rsidR="004840AB">
        <w:t xml:space="preserve">a </w:t>
      </w:r>
      <w:r>
        <w:t xml:space="preserve">complicated interrelationship between the issue of third party actions </w:t>
      </w:r>
      <w:r>
        <w:lastRenderedPageBreak/>
        <w:t>and the issue of whether joint employment exists in a workplace and, if so, which of the joint employers are immune from tort suits.</w:t>
      </w:r>
      <w:r w:rsidRPr="00910BB7">
        <w:rPr>
          <w:vertAlign w:val="superscript"/>
        </w:rPr>
        <w:footnoteReference w:id="979"/>
      </w:r>
    </w:p>
    <w:p w14:paraId="7BB73D20" w14:textId="3FB0F8CD" w:rsidR="00FF7482" w:rsidRDefault="00FF7482" w:rsidP="006C4967">
      <w:pPr>
        <w:pStyle w:val="LawReview-StandardBodyText"/>
        <w:spacing w:after="0" w:line="259" w:lineRule="auto"/>
      </w:pPr>
    </w:p>
    <w:p w14:paraId="3B43138D" w14:textId="6E11C124" w:rsidR="00FF7482" w:rsidRDefault="00FF7482" w:rsidP="009E7314">
      <w:pPr>
        <w:pStyle w:val="LawReview-StandardBodyText"/>
        <w:spacing w:after="0" w:line="259" w:lineRule="auto"/>
        <w:ind w:firstLine="0"/>
      </w:pPr>
      <w:r>
        <w:t xml:space="preserve">In a number of Wyoming cases employees have attempted </w:t>
      </w:r>
      <w:r w:rsidR="009109A5">
        <w:t xml:space="preserve">to </w:t>
      </w:r>
      <w:r>
        <w:t xml:space="preserve">sue co-employees as third parties. As the </w:t>
      </w:r>
      <w:r w:rsidRPr="00137810">
        <w:rPr>
          <w:i/>
          <w:iCs/>
        </w:rPr>
        <w:t>Larson</w:t>
      </w:r>
      <w:r>
        <w:t xml:space="preserve">’s </w:t>
      </w:r>
      <w:r w:rsidR="009109A5">
        <w:t>t</w:t>
      </w:r>
      <w:r>
        <w:t>reatise states: “</w:t>
      </w:r>
      <w:r w:rsidRPr="00FE7143">
        <w:t xml:space="preserve">The great majority of states and the Longshore Act now exclude co-employees from the category of </w:t>
      </w:r>
      <w:r>
        <w:t>‘</w:t>
      </w:r>
      <w:r w:rsidRPr="00FE7143">
        <w:t>third persons.</w:t>
      </w:r>
      <w:r>
        <w:t xml:space="preserve">’ </w:t>
      </w:r>
      <w:r w:rsidRPr="00FE7143">
        <w:t>Of these, two-thirds recognize an exception for intentional wrongs,</w:t>
      </w:r>
      <w:r>
        <w:t xml:space="preserve"> </w:t>
      </w:r>
      <w:r w:rsidRPr="00FE7143">
        <w:t>either by statutory provision</w:t>
      </w:r>
      <w:r>
        <w:t xml:space="preserve"> </w:t>
      </w:r>
      <w:r w:rsidRPr="00FE7143">
        <w:t>or by judicial decision,</w:t>
      </w:r>
      <w:r>
        <w:t xml:space="preserve"> </w:t>
      </w:r>
      <w:r w:rsidRPr="00FE7143">
        <w:t>based usually either on public policy or on the limitation of the act to accidental injury.</w:t>
      </w:r>
      <w:r>
        <w:t>”</w:t>
      </w:r>
      <w:r w:rsidRPr="00910BB7">
        <w:rPr>
          <w:vertAlign w:val="superscript"/>
        </w:rPr>
        <w:footnoteReference w:id="980"/>
      </w:r>
      <w:r>
        <w:t xml:space="preserve"> Wyoming has followed this trend by statute. Section </w:t>
      </w:r>
      <w:hyperlink r:id="rId134" w:history="1">
        <w:r w:rsidRPr="00436FB3">
          <w:rPr>
            <w:rStyle w:val="Hyperlink"/>
          </w:rPr>
          <w:t>27-14-104</w:t>
        </w:r>
      </w:hyperlink>
      <w:r>
        <w:t xml:space="preserve">(a) of the Act states: </w:t>
      </w:r>
    </w:p>
    <w:p w14:paraId="396BE7BB" w14:textId="72119A4A" w:rsidR="00FF7482" w:rsidRDefault="00FF7482" w:rsidP="006C4967">
      <w:pPr>
        <w:pStyle w:val="LawReview-StandardBodyText"/>
        <w:spacing w:after="0" w:line="259" w:lineRule="auto"/>
      </w:pPr>
    </w:p>
    <w:p w14:paraId="285909E9" w14:textId="5281C1E6" w:rsidR="00FF7482" w:rsidRDefault="00FF7482" w:rsidP="009109A5">
      <w:pPr>
        <w:pStyle w:val="LawReview-StandardBodyText"/>
        <w:spacing w:after="0" w:line="259" w:lineRule="auto"/>
        <w:ind w:left="720" w:right="720" w:firstLine="0"/>
      </w:pPr>
      <w:r w:rsidRPr="00436FB3">
        <w:t xml:space="preserve">The rights and remedies provided in this act for an employee including any joint employee, and his dependents for injuries incurred in extrahazardous employments are in lieu of all other rights and remedies against any employer and any joint employer making contributions required by this act, </w:t>
      </w:r>
      <w:r w:rsidRPr="00436FB3">
        <w:rPr>
          <w:b/>
          <w:bCs/>
        </w:rPr>
        <w:t>or their employees acting within the scope of their employment unless the employees intentionally act to cause physical harm or injury to the injured employee</w:t>
      </w:r>
      <w:r w:rsidRPr="00436FB3">
        <w:t>, but do not supersede any rights and remedies available to an employee and his dependents against any other person.</w:t>
      </w:r>
    </w:p>
    <w:p w14:paraId="1F4D430A" w14:textId="77777777" w:rsidR="00FF7482" w:rsidRDefault="00FF7482" w:rsidP="006C4967">
      <w:pPr>
        <w:pStyle w:val="LawReview-StandardBodyText"/>
        <w:spacing w:after="0" w:line="259" w:lineRule="auto"/>
      </w:pPr>
    </w:p>
    <w:p w14:paraId="763ABE8B" w14:textId="591197AE" w:rsidR="00FF7482" w:rsidRDefault="00FF7482" w:rsidP="009E7314">
      <w:pPr>
        <w:pStyle w:val="LawReview-StandardBodyText"/>
        <w:spacing w:after="0" w:line="259" w:lineRule="auto"/>
        <w:ind w:firstLine="0"/>
      </w:pPr>
      <w:r>
        <w:t>The Wyoming Supreme Court has interpreted this provision and has helpfully provided the following language for litigants and district courts to consider as an instruction on the issue of co-employee liability:</w:t>
      </w:r>
    </w:p>
    <w:p w14:paraId="6E6BEC80" w14:textId="77777777" w:rsidR="00FF7482" w:rsidRDefault="00FF7482" w:rsidP="006C4967">
      <w:pPr>
        <w:pStyle w:val="LawReview-StandardBodyText"/>
        <w:spacing w:after="0" w:line="259" w:lineRule="auto"/>
      </w:pPr>
    </w:p>
    <w:p w14:paraId="034593D6" w14:textId="6BA3446E" w:rsidR="00FF7482" w:rsidRDefault="00FF7482" w:rsidP="009E7314">
      <w:pPr>
        <w:pStyle w:val="LawReview-StandardBodyText"/>
        <w:spacing w:after="0" w:line="259" w:lineRule="auto"/>
        <w:ind w:left="720" w:right="720" w:firstLine="0"/>
      </w:pPr>
      <w:r w:rsidRPr="00185A8B">
        <w:t xml:space="preserve">A co-employee is liable to another co-employee if the employee acts </w:t>
      </w:r>
      <w:r w:rsidRPr="00185A8B">
        <w:rPr>
          <w:b/>
          <w:bCs/>
          <w:u w:val="single"/>
        </w:rPr>
        <w:t>intentionally</w:t>
      </w:r>
      <w:r w:rsidRPr="00185A8B">
        <w:rPr>
          <w:b/>
          <w:bCs/>
        </w:rPr>
        <w:t xml:space="preserve"> to cause physical harm or injury</w:t>
      </w:r>
      <w:r w:rsidRPr="00185A8B">
        <w:t xml:space="preserve">. </w:t>
      </w:r>
      <w:r w:rsidRPr="00185A8B">
        <w:rPr>
          <w:b/>
          <w:bCs/>
        </w:rPr>
        <w:t>To act intentionally</w:t>
      </w:r>
      <w:r w:rsidRPr="00185A8B">
        <w:t xml:space="preserve"> to cause physical injury </w:t>
      </w:r>
      <w:r w:rsidRPr="00185A8B">
        <w:rPr>
          <w:b/>
          <w:bCs/>
        </w:rPr>
        <w:t>is to act with willful and wanton misconduct</w:t>
      </w:r>
      <w:r w:rsidRPr="00185A8B">
        <w:t xml:space="preserve">. </w:t>
      </w:r>
      <w:r w:rsidRPr="00185A8B">
        <w:rPr>
          <w:b/>
          <w:bCs/>
        </w:rPr>
        <w:t>Willful and wanton misconduct is the intentional doing of an act, or an intentional failure to do an act, in reckless disregard of the consequences and under circumstances and conditions that a reasonable person would know, or have reason to know, that such conduct would, in a high degree of probability, result in harm to another</w:t>
      </w:r>
      <w:r w:rsidRPr="00185A8B">
        <w:t xml:space="preserve">. In the context of co-employee liability, willful and wanton misconduct requires the co-employee to have 1) </w:t>
      </w:r>
      <w:r w:rsidRPr="00185A8B">
        <w:rPr>
          <w:b/>
          <w:bCs/>
        </w:rPr>
        <w:t>actual knowledge of the hazard</w:t>
      </w:r>
      <w:r w:rsidRPr="00185A8B">
        <w:t xml:space="preserve"> or serious nature of the risk involved; 2) </w:t>
      </w:r>
      <w:r w:rsidRPr="00185A8B">
        <w:rPr>
          <w:b/>
          <w:bCs/>
        </w:rPr>
        <w:t>direct responsibility for the injured employee's safety</w:t>
      </w:r>
      <w:r w:rsidRPr="00185A8B">
        <w:t xml:space="preserve"> and work conditions; and 3) </w:t>
      </w:r>
      <w:r w:rsidRPr="00185A8B">
        <w:rPr>
          <w:b/>
          <w:bCs/>
        </w:rPr>
        <w:t>willful disregard of the need to act</w:t>
      </w:r>
      <w:r w:rsidRPr="00185A8B">
        <w:t xml:space="preserve"> despite the </w:t>
      </w:r>
      <w:r w:rsidRPr="00185A8B">
        <w:lastRenderedPageBreak/>
        <w:t>awareness of the high probability that serious injury or death may result.</w:t>
      </w:r>
      <w:r w:rsidRPr="00910BB7">
        <w:rPr>
          <w:vertAlign w:val="superscript"/>
        </w:rPr>
        <w:footnoteReference w:id="981"/>
      </w:r>
    </w:p>
    <w:p w14:paraId="5A1A1E95" w14:textId="3714105F" w:rsidR="00FF7482" w:rsidRDefault="00FF7482" w:rsidP="006C4967">
      <w:pPr>
        <w:pStyle w:val="LawReview-StandardBodyText"/>
        <w:spacing w:after="0" w:line="259" w:lineRule="auto"/>
        <w:ind w:left="720" w:right="720" w:firstLine="0"/>
      </w:pPr>
    </w:p>
    <w:p w14:paraId="17C4E8FA" w14:textId="5E0F16D0" w:rsidR="00FF7482" w:rsidRDefault="00FF7482" w:rsidP="009E7314">
      <w:pPr>
        <w:pStyle w:val="LawReview-StandardBodyText"/>
        <w:spacing w:after="0" w:line="259" w:lineRule="auto"/>
        <w:ind w:firstLine="0"/>
      </w:pPr>
      <w:r>
        <w:t>Simply put, “</w:t>
      </w:r>
      <w:r w:rsidRPr="00185A8B">
        <w:t>the statute says that one employee is not liable to another if the former is only negligent.</w:t>
      </w:r>
      <w:r>
        <w:t>”</w:t>
      </w:r>
      <w:r w:rsidRPr="00910BB7">
        <w:rPr>
          <w:vertAlign w:val="superscript"/>
        </w:rPr>
        <w:footnoteReference w:id="982"/>
      </w:r>
      <w:r>
        <w:t xml:space="preserve"> This means, of course, that no third party action is available by an injured employee against a co-employee unless the criteria in the previous inset paragraph have been satisfied.</w:t>
      </w:r>
    </w:p>
    <w:p w14:paraId="4A6C55CE" w14:textId="34BCE0AE" w:rsidR="00FF7482" w:rsidRDefault="00FF7482" w:rsidP="006C4967">
      <w:pPr>
        <w:pStyle w:val="LawReview-StandardBodyText"/>
        <w:spacing w:after="0" w:line="259" w:lineRule="auto"/>
      </w:pPr>
    </w:p>
    <w:p w14:paraId="58743F03" w14:textId="7A1EC769" w:rsidR="00FF7482" w:rsidRDefault="00FF7482" w:rsidP="009E7314">
      <w:pPr>
        <w:pStyle w:val="LawReview-StandardBodyText"/>
        <w:spacing w:after="0" w:line="259" w:lineRule="auto"/>
        <w:ind w:firstLine="0"/>
        <w:rPr>
          <w:rFonts w:eastAsia="Calibri" w:cs="Times New Roman"/>
        </w:rPr>
      </w:pPr>
      <w:r w:rsidRPr="00FE02A6">
        <w:rPr>
          <w:rFonts w:cs="Times New Roman"/>
        </w:rPr>
        <w:t>A final point to make in this area is that</w:t>
      </w:r>
      <w:r>
        <w:rPr>
          <w:rFonts w:cs="Times New Roman"/>
        </w:rPr>
        <w:t xml:space="preserve"> </w:t>
      </w:r>
      <w:r w:rsidRPr="00FE02A6">
        <w:rPr>
          <w:rFonts w:cs="Times New Roman"/>
          <w:b/>
          <w:bCs/>
          <w:u w:val="single"/>
        </w:rPr>
        <w:t>it does not appear the state ordinarily has independent authority to pursue a third party action on behalf of the injured employee where the employee declines to do so</w:t>
      </w:r>
      <w:r w:rsidRPr="003374E2">
        <w:rPr>
          <w:rFonts w:cs="Times New Roman"/>
        </w:rPr>
        <w:t>.</w:t>
      </w:r>
      <w:r>
        <w:rPr>
          <w:rFonts w:cs="Times New Roman"/>
        </w:rPr>
        <w:t xml:space="preserve"> Under W.S. § </w:t>
      </w:r>
      <w:hyperlink r:id="rId135" w:history="1">
        <w:r w:rsidRPr="006615E3">
          <w:rPr>
            <w:rStyle w:val="Hyperlink"/>
            <w:rFonts w:cs="Times New Roman"/>
          </w:rPr>
          <w:t>27-14-</w:t>
        </w:r>
        <w:r w:rsidRPr="006615E3">
          <w:rPr>
            <w:rStyle w:val="Hyperlink"/>
            <w:rFonts w:eastAsia="Calibri" w:cs="Times New Roman"/>
          </w:rPr>
          <w:t>105</w:t>
        </w:r>
      </w:hyperlink>
      <w:r w:rsidRPr="00FE02A6">
        <w:rPr>
          <w:rFonts w:eastAsia="Calibri" w:cs="Times New Roman"/>
        </w:rPr>
        <w:t>(e)</w:t>
      </w:r>
      <w:r>
        <w:rPr>
          <w:rFonts w:eastAsia="Calibri" w:cs="Times New Roman"/>
        </w:rPr>
        <w:t>,</w:t>
      </w:r>
      <w:r w:rsidRPr="00FE02A6">
        <w:rPr>
          <w:rFonts w:eastAsia="Calibri" w:cs="Times New Roman"/>
        </w:rPr>
        <w:t xml:space="preserve"> the state </w:t>
      </w:r>
      <w:r>
        <w:rPr>
          <w:rFonts w:eastAsia="Calibri" w:cs="Times New Roman"/>
        </w:rPr>
        <w:t>may</w:t>
      </w:r>
      <w:r w:rsidRPr="00FE02A6">
        <w:rPr>
          <w:rFonts w:eastAsia="Calibri" w:cs="Times New Roman"/>
        </w:rPr>
        <w:t xml:space="preserve"> commence </w:t>
      </w:r>
      <w:r>
        <w:rPr>
          <w:rFonts w:eastAsia="Calibri" w:cs="Times New Roman"/>
        </w:rPr>
        <w:t>an</w:t>
      </w:r>
      <w:r w:rsidRPr="00FE02A6">
        <w:rPr>
          <w:rFonts w:eastAsia="Calibri" w:cs="Times New Roman"/>
        </w:rPr>
        <w:t xml:space="preserve"> action</w:t>
      </w:r>
      <w:r>
        <w:rPr>
          <w:rFonts w:eastAsia="Calibri" w:cs="Times New Roman"/>
        </w:rPr>
        <w:t xml:space="preserve"> only</w:t>
      </w:r>
      <w:r w:rsidRPr="00FE02A6">
        <w:rPr>
          <w:rFonts w:eastAsia="Calibri" w:cs="Times New Roman"/>
        </w:rPr>
        <w:t xml:space="preserve"> “upon the unsolicited written request of the employee or estate.” </w:t>
      </w:r>
      <w:r>
        <w:rPr>
          <w:rFonts w:eastAsia="Calibri" w:cs="Times New Roman"/>
        </w:rPr>
        <w:t xml:space="preserve">W.S. § </w:t>
      </w:r>
      <w:hyperlink r:id="rId136" w:history="1">
        <w:r w:rsidRPr="006615E3">
          <w:rPr>
            <w:rStyle w:val="Hyperlink"/>
            <w:rFonts w:eastAsia="Calibri" w:cs="Times New Roman"/>
          </w:rPr>
          <w:t>27-14-105</w:t>
        </w:r>
      </w:hyperlink>
      <w:r w:rsidRPr="00FE02A6">
        <w:rPr>
          <w:rFonts w:eastAsia="Calibri" w:cs="Times New Roman"/>
        </w:rPr>
        <w:t xml:space="preserve">(b) </w:t>
      </w:r>
      <w:r>
        <w:rPr>
          <w:rFonts w:eastAsia="Calibri" w:cs="Times New Roman"/>
        </w:rPr>
        <w:t>also says,</w:t>
      </w:r>
      <w:r w:rsidRPr="00FE02A6">
        <w:rPr>
          <w:rFonts w:eastAsia="Calibri" w:cs="Times New Roman"/>
        </w:rPr>
        <w:t xml:space="preserve"> “</w:t>
      </w:r>
      <w:r w:rsidRPr="00FE02A6">
        <w:rPr>
          <w:rFonts w:eastAsia="Calibri" w:cs="Times New Roman"/>
          <w:b/>
          <w:bCs/>
        </w:rPr>
        <w:t>[i]f notice of proposed settlement is not provided</w:t>
      </w:r>
      <w:r w:rsidRPr="00FE02A6">
        <w:rPr>
          <w:rFonts w:eastAsia="Calibri" w:cs="Times New Roman"/>
        </w:rPr>
        <w:t>, the state is entitled to initiate an independent action against the third party . . . for all payments.”</w:t>
      </w:r>
      <w:r>
        <w:rPr>
          <w:rFonts w:eastAsia="Calibri" w:cs="Times New Roman"/>
        </w:rPr>
        <w:t xml:space="preserve"> But in that instance, the state’s right to initiation depends upon the injured employee’s preliminary pursuit of a third party action settlement. </w:t>
      </w:r>
      <w:r w:rsidRPr="00137810">
        <w:rPr>
          <w:rFonts w:eastAsia="Calibri" w:cs="Times New Roman"/>
          <w:b/>
          <w:bCs/>
          <w:u w:val="single"/>
        </w:rPr>
        <w:t xml:space="preserve">In the absence of </w:t>
      </w:r>
      <w:r>
        <w:rPr>
          <w:rFonts w:eastAsia="Calibri" w:cs="Times New Roman"/>
          <w:b/>
          <w:bCs/>
          <w:u w:val="single"/>
        </w:rPr>
        <w:t xml:space="preserve">employee </w:t>
      </w:r>
      <w:r w:rsidRPr="00137810">
        <w:rPr>
          <w:rFonts w:eastAsia="Calibri" w:cs="Times New Roman"/>
          <w:b/>
          <w:bCs/>
          <w:u w:val="single"/>
        </w:rPr>
        <w:t>pursuit</w:t>
      </w:r>
      <w:r>
        <w:rPr>
          <w:rFonts w:eastAsia="Calibri" w:cs="Times New Roman"/>
          <w:b/>
          <w:bCs/>
          <w:u w:val="single"/>
        </w:rPr>
        <w:t xml:space="preserve"> of a third party action</w:t>
      </w:r>
      <w:r w:rsidRPr="00137810">
        <w:rPr>
          <w:rFonts w:eastAsia="Calibri" w:cs="Times New Roman"/>
          <w:b/>
          <w:bCs/>
          <w:u w:val="single"/>
        </w:rPr>
        <w:t xml:space="preserve"> there appears to be no statutory authority for the state to commence the action</w:t>
      </w:r>
      <w:r>
        <w:rPr>
          <w:rFonts w:eastAsia="Calibri" w:cs="Times New Roman"/>
        </w:rPr>
        <w:t xml:space="preserve">. </w:t>
      </w:r>
    </w:p>
    <w:p w14:paraId="09D50EFE" w14:textId="77777777" w:rsidR="009E7314" w:rsidRPr="00FE02A6" w:rsidRDefault="009E7314" w:rsidP="009E7314">
      <w:pPr>
        <w:pStyle w:val="LawReview-StandardBodyText"/>
        <w:spacing w:after="0" w:line="259" w:lineRule="auto"/>
        <w:ind w:firstLine="0"/>
        <w:rPr>
          <w:rFonts w:eastAsia="Calibri" w:cs="Times New Roman"/>
        </w:rPr>
      </w:pPr>
    </w:p>
    <w:p w14:paraId="2A818471" w14:textId="78EAA1EE" w:rsidR="00FF7482" w:rsidRDefault="00FF7482" w:rsidP="009E7314">
      <w:pPr>
        <w:pStyle w:val="Heading2"/>
        <w:spacing w:before="0"/>
        <w:rPr>
          <w:rFonts w:ascii="Times New Roman" w:hAnsi="Times New Roman" w:cs="Times New Roman"/>
          <w:b/>
          <w:color w:val="auto"/>
          <w:sz w:val="28"/>
          <w:szCs w:val="28"/>
        </w:rPr>
      </w:pPr>
      <w:bookmarkStart w:id="1361" w:name="_Toc75269444"/>
      <w:r w:rsidRPr="00CE62DC">
        <w:rPr>
          <w:rFonts w:ascii="Times New Roman" w:hAnsi="Times New Roman" w:cs="Times New Roman"/>
          <w:b/>
          <w:color w:val="auto"/>
          <w:sz w:val="28"/>
          <w:szCs w:val="28"/>
        </w:rPr>
        <w:t>Alternative Dispute Resolution</w:t>
      </w:r>
      <w:bookmarkEnd w:id="1361"/>
    </w:p>
    <w:p w14:paraId="0EA0D1CA" w14:textId="4A9CE81B" w:rsidR="00FF7482" w:rsidRDefault="00FF7482" w:rsidP="006C4967">
      <w:pPr>
        <w:spacing w:after="0"/>
      </w:pPr>
    </w:p>
    <w:p w14:paraId="12745217" w14:textId="1F87B2D3" w:rsidR="00FF7482" w:rsidRDefault="00FF7482" w:rsidP="009E7314">
      <w:pPr>
        <w:pStyle w:val="LawReview-StandardBodyText"/>
        <w:spacing w:after="0" w:line="259" w:lineRule="auto"/>
        <w:ind w:firstLine="0"/>
      </w:pPr>
      <w:r>
        <w:t xml:space="preserve">The Wyoming statute appears to authorize mechanisms for early resolutions of cases that forgo the need to go to formal hearing. </w:t>
      </w:r>
      <w:r>
        <w:rPr>
          <w:rFonts w:cs="Times New Roman"/>
        </w:rPr>
        <w:t>Section</w:t>
      </w:r>
      <w:r>
        <w:t xml:space="preserve"> </w:t>
      </w:r>
      <w:hyperlink r:id="rId137" w:history="1">
        <w:r w:rsidRPr="00436FB3">
          <w:rPr>
            <w:rStyle w:val="Hyperlink"/>
          </w:rPr>
          <w:t>27-14-601</w:t>
        </w:r>
      </w:hyperlink>
      <w:r>
        <w:t>(e) of the Act states:</w:t>
      </w:r>
    </w:p>
    <w:p w14:paraId="640451EA" w14:textId="77777777" w:rsidR="00FF7482" w:rsidRDefault="00FF7482" w:rsidP="006C4967">
      <w:pPr>
        <w:pStyle w:val="LawReview-StandardBodyText"/>
        <w:spacing w:after="0" w:line="259" w:lineRule="auto"/>
      </w:pPr>
    </w:p>
    <w:p w14:paraId="008136B8" w14:textId="68351F8A" w:rsidR="00FF7482" w:rsidRPr="00CE62DC" w:rsidRDefault="00FF7482" w:rsidP="006C4967">
      <w:pPr>
        <w:pStyle w:val="LawReview-StandardBodyText"/>
        <w:spacing w:after="0" w:line="259" w:lineRule="auto"/>
        <w:ind w:left="720" w:right="720" w:firstLine="0"/>
      </w:pPr>
      <w:r w:rsidRPr="00CE7DF0">
        <w:t xml:space="preserve">In accordance with this act, the division shall by rule and regulation establish necessary procedures for the review and settlement of the compensability of an injury or death resulting from injury and of claims filed under this act through interviews with employees, employers and health care personnel or through review of written reports. </w:t>
      </w:r>
      <w:bookmarkStart w:id="1362" w:name="_Hlk13562850"/>
      <w:r w:rsidRPr="0045712B">
        <w:rPr>
          <w:b/>
          <w:bCs/>
        </w:rPr>
        <w:t xml:space="preserve">Nothing in this act shall prohibit the employer or division from reaching a settlement of up to two thousand five hundred dollars under this subsection in any one case </w:t>
      </w:r>
      <w:r w:rsidRPr="00137810">
        <w:rPr>
          <w:b/>
          <w:bCs/>
          <w:u w:val="single"/>
        </w:rPr>
        <w:t>without an admission of compensability or that the injury was work related</w:t>
      </w:r>
      <w:r w:rsidRPr="00CE7DF0">
        <w:t>.</w:t>
      </w:r>
      <w:r>
        <w:t xml:space="preserve"> (emphasis supplied)</w:t>
      </w:r>
    </w:p>
    <w:bookmarkEnd w:id="1362"/>
    <w:p w14:paraId="58A4C1B8" w14:textId="201407E3" w:rsidR="00FF7482" w:rsidRDefault="00FF7482" w:rsidP="006C4967">
      <w:pPr>
        <w:pStyle w:val="LawReview-StandardBodyText"/>
        <w:spacing w:after="0" w:line="259" w:lineRule="auto"/>
      </w:pPr>
    </w:p>
    <w:p w14:paraId="5377CC15" w14:textId="77777777" w:rsidR="00FF7482" w:rsidRDefault="00FF7482" w:rsidP="001C0447">
      <w:pPr>
        <w:pStyle w:val="LawReview-StandardBodyText"/>
        <w:spacing w:after="0" w:line="259" w:lineRule="auto"/>
        <w:ind w:firstLine="0"/>
      </w:pPr>
      <w:r>
        <w:t xml:space="preserve">In addition, </w:t>
      </w:r>
      <w:bookmarkStart w:id="1363" w:name="_Hlk13563407"/>
      <w:r>
        <w:t xml:space="preserve">Chapter 10, Section 5 of the Medical Commission’s rules </w:t>
      </w:r>
      <w:bookmarkEnd w:id="1363"/>
      <w:r>
        <w:t>(</w:t>
      </w:r>
      <w:r w:rsidRPr="00CE7DF0">
        <w:t>WY Rules and Regulations 053.0019.10 § 5</w:t>
      </w:r>
      <w:r>
        <w:t>) states:</w:t>
      </w:r>
    </w:p>
    <w:p w14:paraId="7D348A9E" w14:textId="77777777" w:rsidR="00FF7482" w:rsidRDefault="00FF7482" w:rsidP="006C4967">
      <w:pPr>
        <w:pStyle w:val="LawReview-StandardBodyText"/>
        <w:spacing w:after="0" w:line="259" w:lineRule="auto"/>
      </w:pPr>
    </w:p>
    <w:p w14:paraId="3B7F5C58" w14:textId="48553DFB" w:rsidR="00FF7482" w:rsidRDefault="00FF7482" w:rsidP="003374E2">
      <w:pPr>
        <w:pStyle w:val="LawReview-StandardBodyText"/>
        <w:spacing w:after="0" w:line="259" w:lineRule="auto"/>
        <w:ind w:left="720" w:right="720" w:firstLine="0"/>
      </w:pPr>
      <w:r w:rsidRPr="00CE7DF0">
        <w:lastRenderedPageBreak/>
        <w:t>After referral to the Medical Commission, and prior to the contested case hearing, the executive secretary with consent of the parties may refer the case to the Office of Administrative Hearings for mediation. The executive secretary shall enter a written order assigning the matter for mediation and the Office of Administrative Hearings shall provide a mediator's report to the Medical Commission upon conclusion of the mediation. Thereafter, a final order shall be issued incorporating the terms and conditions of the mediation, if successful, or otherwise scheduling the matter for contested case proceedings before the Medical Commission.</w:t>
      </w:r>
    </w:p>
    <w:p w14:paraId="29AD3C4A" w14:textId="75EEB633" w:rsidR="00FF7482" w:rsidRDefault="00FF7482" w:rsidP="006C4967">
      <w:pPr>
        <w:pStyle w:val="LawReview-StandardBodyText"/>
        <w:spacing w:after="0" w:line="259" w:lineRule="auto"/>
        <w:ind w:left="720" w:right="720" w:firstLine="0"/>
      </w:pPr>
    </w:p>
    <w:p w14:paraId="61D0C221" w14:textId="77CB9534" w:rsidR="00FF7482" w:rsidRDefault="00FF7482" w:rsidP="001C0447">
      <w:pPr>
        <w:pStyle w:val="LawReview-StandardBodyText"/>
        <w:spacing w:after="0" w:line="259" w:lineRule="auto"/>
        <w:ind w:firstLine="0"/>
      </w:pPr>
      <w:r>
        <w:t xml:space="preserve">Practitioners relate informally, however, that mediation and other forms of </w:t>
      </w:r>
      <w:r w:rsidR="00F174A0">
        <w:t>alternative dispute resolution (</w:t>
      </w:r>
      <w:r>
        <w:t>ADR</w:t>
      </w:r>
      <w:r w:rsidR="00F174A0">
        <w:t>)</w:t>
      </w:r>
      <w:r>
        <w:t xml:space="preserve"> are rarely utilized. A close parsing of the statutory language reveals why. The value of most workers’ compensation claims in a litigation posture will easily exceed twenty-five hundred dollars. Because the Division or </w:t>
      </w:r>
      <w:r w:rsidR="003374E2">
        <w:t>e</w:t>
      </w:r>
      <w:r>
        <w:t>mployer would have to admit to the</w:t>
      </w:r>
      <w:r w:rsidRPr="0045712B">
        <w:t xml:space="preserve"> compensability or </w:t>
      </w:r>
      <w:r>
        <w:t>work-relatedness of an injury of greater value or liability—issues typically at the very heart of a workers’ compensation dispute—there is a disincentive for them to settle</w:t>
      </w:r>
      <w:r w:rsidRPr="0045712B">
        <w:t>.</w:t>
      </w:r>
      <w:r>
        <w:t xml:space="preserve"> Interestingly, the Medical Commission rule does not reference </w:t>
      </w:r>
      <w:bookmarkStart w:id="1364" w:name="_Hlk13670006"/>
      <w:r>
        <w:t xml:space="preserve">W.S. </w:t>
      </w:r>
      <w:r>
        <w:rPr>
          <w:rFonts w:cs="Times New Roman"/>
        </w:rPr>
        <w:t>§</w:t>
      </w:r>
      <w:r>
        <w:t xml:space="preserve"> 27-14-601(e) </w:t>
      </w:r>
      <w:bookmarkEnd w:id="1364"/>
      <w:r>
        <w:t>and it is not clear on what statutory basis the rule was promulgated other than the Medical Commission’s general rulemaking power.</w:t>
      </w:r>
    </w:p>
    <w:p w14:paraId="0DA419CA" w14:textId="6B7E1D84" w:rsidR="00FF7482" w:rsidRDefault="00FF7482" w:rsidP="006C4967">
      <w:pPr>
        <w:pStyle w:val="LawReview-StandardBodyText"/>
        <w:spacing w:after="0" w:line="259" w:lineRule="auto"/>
      </w:pPr>
    </w:p>
    <w:p w14:paraId="2287ED48" w14:textId="4003BA24" w:rsidR="00FF7482" w:rsidRDefault="00FF7482" w:rsidP="001C0447">
      <w:pPr>
        <w:pStyle w:val="LawReview-StandardBodyText"/>
        <w:spacing w:after="0" w:line="259" w:lineRule="auto"/>
        <w:ind w:firstLine="0"/>
      </w:pPr>
      <w:r>
        <w:t xml:space="preserve">It should also be mentioned that the rules of the Office of Administrative Hearings (OAH) specifically allow for ADR: “Parties to a contested case are encouraged to resolve the contested case through settlement, informal conference, mediation, arbitration, or other means throughout the duration of a contested case. If the parties choose to engage in mediation, they shall request mediation at least 30 days prior to hearing.” Again, the regulatory authority of ADR may be based solely on the OAH’s general rulemaking authority and there is no specific mention in the rule to </w:t>
      </w:r>
      <w:r w:rsidRPr="00DE3AB2">
        <w:t xml:space="preserve">§ </w:t>
      </w:r>
      <w:r>
        <w:t xml:space="preserve">W.S. </w:t>
      </w:r>
      <w:r w:rsidRPr="00DE3AB2">
        <w:t>27-14-601(e)</w:t>
      </w:r>
      <w:r>
        <w:t>. The statutory limitation embedded in the Workers’ Compensation Act, as discussed above, may explain the apparent underutilization of ADR in workers’ compensation cases under the jurisdiction of the OAH.</w:t>
      </w:r>
    </w:p>
    <w:p w14:paraId="3A936B93" w14:textId="4492B2FB" w:rsidR="00FF7482" w:rsidRDefault="00FF7482" w:rsidP="006C4967">
      <w:pPr>
        <w:pStyle w:val="LawReview-StandardBodyText"/>
        <w:spacing w:after="0" w:line="259" w:lineRule="auto"/>
      </w:pPr>
    </w:p>
    <w:p w14:paraId="4AE91316" w14:textId="5AA3C482" w:rsidR="00FF7482" w:rsidRDefault="00FF7482" w:rsidP="001C0447">
      <w:pPr>
        <w:pStyle w:val="LawReview-StandardBodyText"/>
        <w:spacing w:after="0" w:line="259" w:lineRule="auto"/>
        <w:ind w:firstLine="0"/>
      </w:pPr>
      <w:r>
        <w:t>The apparent absence of robust ADR in Wyoming is unfortunate and runs against the current (and probably efficient) trend of expanding ADR in workers</w:t>
      </w:r>
      <w:r w:rsidR="003374E2">
        <w:t>’</w:t>
      </w:r>
      <w:r>
        <w:t xml:space="preserve"> compensation systems around the country.</w:t>
      </w:r>
      <w:r w:rsidRPr="00910BB7">
        <w:rPr>
          <w:vertAlign w:val="superscript"/>
        </w:rPr>
        <w:footnoteReference w:id="983"/>
      </w:r>
    </w:p>
    <w:p w14:paraId="57B6A2FD" w14:textId="1497B61B" w:rsidR="00C94B70" w:rsidRDefault="00C94B70" w:rsidP="001C0447">
      <w:pPr>
        <w:pStyle w:val="LawReview-StandardBodyText"/>
        <w:spacing w:after="0" w:line="259" w:lineRule="auto"/>
        <w:ind w:firstLine="0"/>
      </w:pPr>
    </w:p>
    <w:p w14:paraId="1B31D665" w14:textId="77777777" w:rsidR="00C94B70" w:rsidRDefault="00C94B70" w:rsidP="001C0447">
      <w:pPr>
        <w:pStyle w:val="LawReview-StandardBodyText"/>
        <w:spacing w:after="0" w:line="259" w:lineRule="auto"/>
        <w:ind w:firstLine="0"/>
      </w:pPr>
    </w:p>
    <w:p w14:paraId="2215ADD1" w14:textId="34B9DD0E" w:rsidR="00FF7482" w:rsidRDefault="00FF7482" w:rsidP="006C4967">
      <w:pPr>
        <w:pStyle w:val="LawReview-StandardBodyText"/>
        <w:spacing w:after="0" w:line="259" w:lineRule="auto"/>
      </w:pPr>
    </w:p>
    <w:p w14:paraId="5962296B" w14:textId="0239B9C7" w:rsidR="00FF7482" w:rsidRDefault="00FF7482" w:rsidP="001C0447">
      <w:pPr>
        <w:pStyle w:val="Heading2"/>
        <w:spacing w:before="0"/>
        <w:rPr>
          <w:rFonts w:ascii="Times New Roman" w:hAnsi="Times New Roman" w:cs="Times New Roman"/>
          <w:b/>
          <w:color w:val="auto"/>
          <w:sz w:val="28"/>
          <w:szCs w:val="28"/>
        </w:rPr>
      </w:pPr>
      <w:bookmarkStart w:id="1366" w:name="_Toc75269445"/>
      <w:r w:rsidRPr="005E396D">
        <w:rPr>
          <w:rFonts w:ascii="Times New Roman" w:hAnsi="Times New Roman" w:cs="Times New Roman"/>
          <w:b/>
          <w:color w:val="auto"/>
          <w:sz w:val="28"/>
          <w:szCs w:val="28"/>
        </w:rPr>
        <w:lastRenderedPageBreak/>
        <w:t>Experience Rating</w:t>
      </w:r>
      <w:r>
        <w:rPr>
          <w:rFonts w:ascii="Times New Roman" w:hAnsi="Times New Roman" w:cs="Times New Roman"/>
          <w:b/>
          <w:color w:val="auto"/>
          <w:sz w:val="28"/>
          <w:szCs w:val="28"/>
        </w:rPr>
        <w:t xml:space="preserve"> &amp; Workers’ Compensation Account</w:t>
      </w:r>
      <w:bookmarkEnd w:id="1366"/>
    </w:p>
    <w:p w14:paraId="6F0DD4F8" w14:textId="00B01E91" w:rsidR="00FF7482" w:rsidRDefault="00FF7482" w:rsidP="006C4967">
      <w:pPr>
        <w:spacing w:after="0"/>
      </w:pPr>
    </w:p>
    <w:p w14:paraId="7F914683" w14:textId="1BA16383" w:rsidR="00FF7482" w:rsidRDefault="00FF7482" w:rsidP="001C0447">
      <w:pPr>
        <w:pStyle w:val="LawReview-StandardBodyText"/>
        <w:spacing w:after="0" w:line="259" w:lineRule="auto"/>
        <w:ind w:firstLine="0"/>
      </w:pPr>
      <w:r>
        <w:t>Outside of Wyoming, in a private workers’ compensation insurance market t</w:t>
      </w:r>
      <w:r w:rsidRPr="00D10827">
        <w:t xml:space="preserve">he basic method of pricing </w:t>
      </w:r>
      <w:r>
        <w:t xml:space="preserve">private </w:t>
      </w:r>
      <w:r w:rsidRPr="00D10827">
        <w:t>insurance is</w:t>
      </w:r>
      <w:r>
        <w:t xml:space="preserve"> to calculate</w:t>
      </w:r>
      <w:r w:rsidRPr="00D10827">
        <w:t xml:space="preserve"> a rate per hundred dollars of </w:t>
      </w:r>
      <w:r>
        <w:t xml:space="preserve">employee </w:t>
      </w:r>
      <w:r w:rsidRPr="00D10827">
        <w:t>remuneration.</w:t>
      </w:r>
      <w:r w:rsidRPr="00910BB7">
        <w:rPr>
          <w:vertAlign w:val="superscript"/>
        </w:rPr>
        <w:footnoteReference w:id="984"/>
      </w:r>
      <w:r>
        <w:t xml:space="preserve"> The inputs are payroll times an employment risk factor that is typically pegged to an industry classification code. E</w:t>
      </w:r>
      <w:r w:rsidRPr="00D10827">
        <w:t>ach classification carr</w:t>
      </w:r>
      <w:r>
        <w:t>ies</w:t>
      </w:r>
      <w:r w:rsidRPr="00D10827">
        <w:t xml:space="preserve"> its own particular rate per hundred dollars of payroll.</w:t>
      </w:r>
      <w:r>
        <w:t xml:space="preserve"> T</w:t>
      </w:r>
      <w:r w:rsidRPr="00D10827">
        <w:t xml:space="preserve">he rate </w:t>
      </w:r>
      <w:r>
        <w:t xml:space="preserve">ideally </w:t>
      </w:r>
      <w:r w:rsidRPr="00D10827">
        <w:t xml:space="preserve">should </w:t>
      </w:r>
      <w:r>
        <w:t>change</w:t>
      </w:r>
      <w:r w:rsidRPr="00D10827">
        <w:t xml:space="preserve"> to reflect the varying exposure to injury of different kinds of work.</w:t>
      </w:r>
      <w:r>
        <w:t xml:space="preserve"> The details for determining risk classification can be complex and most states use the National Council on Compensation Insurance classification system. F</w:t>
      </w:r>
      <w:r w:rsidRPr="00D10827">
        <w:t>or most employers, only a few classification codes appl</w:t>
      </w:r>
      <w:r>
        <w:t>y and the overriding</w:t>
      </w:r>
      <w:r w:rsidRPr="00D10827">
        <w:t xml:space="preserve"> classification principle is that </w:t>
      </w:r>
      <w:r w:rsidRPr="005577CD">
        <w:rPr>
          <w:b/>
          <w:bCs/>
        </w:rPr>
        <w:t>the overall business enterprise of the employer is classified, not the individual workplace exposures of employees</w:t>
      </w:r>
      <w:r w:rsidRPr="00D10827">
        <w:t>.</w:t>
      </w:r>
      <w:r>
        <w:t xml:space="preserve"> For example, even though a university may employ workers who do dangerous work the </w:t>
      </w:r>
      <w:r>
        <w:rPr>
          <w:b/>
          <w:bCs/>
          <w:u w:val="single"/>
        </w:rPr>
        <w:t>G</w:t>
      </w:r>
      <w:r w:rsidRPr="005577CD">
        <w:rPr>
          <w:b/>
          <w:bCs/>
          <w:u w:val="single"/>
        </w:rPr>
        <w:t xml:space="preserve">overning </w:t>
      </w:r>
      <w:r>
        <w:rPr>
          <w:b/>
          <w:bCs/>
          <w:u w:val="single"/>
        </w:rPr>
        <w:t>C</w:t>
      </w:r>
      <w:r w:rsidRPr="005577CD">
        <w:rPr>
          <w:b/>
          <w:bCs/>
          <w:u w:val="single"/>
        </w:rPr>
        <w:t>lassification</w:t>
      </w:r>
      <w:r>
        <w:t xml:space="preserve"> of the university may be, for example, “academic institution.” But many employers may employ employees who are routinely excepted by rate makers from the governing classification. In industry jargon, these types of employees fall under </w:t>
      </w:r>
      <w:r w:rsidRPr="005577CD">
        <w:rPr>
          <w:b/>
          <w:bCs/>
          <w:u w:val="single"/>
        </w:rPr>
        <w:t>Standard Exceptions</w:t>
      </w:r>
      <w:r>
        <w:t xml:space="preserve">. The most common examples are </w:t>
      </w:r>
      <w:r w:rsidRPr="00771773">
        <w:rPr>
          <w:b/>
          <w:bCs/>
          <w:i/>
          <w:iCs/>
        </w:rPr>
        <w:t>clerical employees</w:t>
      </w:r>
      <w:r>
        <w:t xml:space="preserve"> and </w:t>
      </w:r>
      <w:r w:rsidRPr="00771773">
        <w:rPr>
          <w:b/>
          <w:bCs/>
          <w:i/>
          <w:iCs/>
        </w:rPr>
        <w:t>outside salespersons</w:t>
      </w:r>
      <w:r>
        <w:t xml:space="preserve">. For any given employer, multiplying the employer’s rate times its total payroll (per hundred dollars) yields what is known as the </w:t>
      </w:r>
      <w:r w:rsidRPr="00771773">
        <w:rPr>
          <w:b/>
          <w:bCs/>
        </w:rPr>
        <w:t>manual premium</w:t>
      </w:r>
      <w:r>
        <w:t xml:space="preserve">. That manual premium is then subject to adjustment through use of an </w:t>
      </w:r>
      <w:r w:rsidRPr="00032FA4">
        <w:rPr>
          <w:b/>
          <w:bCs/>
        </w:rPr>
        <w:t>experience modification factor</w:t>
      </w:r>
      <w:r>
        <w:t xml:space="preserve"> based on the particular “loss experience” of a specific employer.</w:t>
      </w:r>
    </w:p>
    <w:p w14:paraId="22F3B105" w14:textId="79DACA67" w:rsidR="00FF7482" w:rsidRDefault="00FF7482" w:rsidP="006C4967">
      <w:pPr>
        <w:pStyle w:val="LawReview-StandardBodyText"/>
        <w:spacing w:after="0" w:line="259" w:lineRule="auto"/>
      </w:pPr>
    </w:p>
    <w:p w14:paraId="5993DD75" w14:textId="6FF7F49B" w:rsidR="00FF7482" w:rsidRDefault="00FF7482" w:rsidP="001C0447">
      <w:pPr>
        <w:pStyle w:val="LawReview-StandardBodyText"/>
        <w:spacing w:after="0" w:line="259" w:lineRule="auto"/>
        <w:ind w:firstLine="0"/>
      </w:pPr>
      <w:r>
        <w:t>Most states do not themselves perform the rating function very briefly described in the foregoing paragraph. Instead, they rely on sophisticated third</w:t>
      </w:r>
      <w:r w:rsidR="00F174A0">
        <w:t xml:space="preserve"> </w:t>
      </w:r>
      <w:r>
        <w:t>party advisory organizations or statistical agents—</w:t>
      </w:r>
      <w:r w:rsidRPr="00984E15">
        <w:rPr>
          <w:b/>
          <w:bCs/>
        </w:rPr>
        <w:t>the National Council on Compensation Insurance</w:t>
      </w:r>
      <w:r>
        <w:t xml:space="preserve"> is the best known of these entities—subject to examination and other oversight by state insurance regulatory officials. Wyoming’s statute allows for </w:t>
      </w:r>
      <w:r w:rsidRPr="00984E15">
        <w:rPr>
          <w:i/>
          <w:iCs/>
        </w:rPr>
        <w:t>use</w:t>
      </w:r>
      <w:r>
        <w:t xml:space="preserve"> of such organizations but </w:t>
      </w:r>
      <w:r w:rsidRPr="00984E15">
        <w:rPr>
          <w:b/>
          <w:bCs/>
        </w:rPr>
        <w:t>defines by statute</w:t>
      </w:r>
      <w:r>
        <w:t xml:space="preserve"> certain aspects of the rating structure consistent with its monopolistic workers’ compensation system. W.S. </w:t>
      </w:r>
      <w:r>
        <w:rPr>
          <w:rFonts w:cs="Times New Roman"/>
        </w:rPr>
        <w:t>§</w:t>
      </w:r>
      <w:r>
        <w:t xml:space="preserve"> </w:t>
      </w:r>
      <w:hyperlink r:id="rId138" w:history="1">
        <w:r w:rsidRPr="00320CFE">
          <w:rPr>
            <w:rStyle w:val="Hyperlink"/>
          </w:rPr>
          <w:t>27-14-201</w:t>
        </w:r>
      </w:hyperlink>
      <w:r>
        <w:t xml:space="preserve"> sets out the structure in detail. A full discussion of the provision is beyond the scope of th</w:t>
      </w:r>
      <w:r w:rsidR="003374E2">
        <w:t>is</w:t>
      </w:r>
      <w:r>
        <w:t xml:space="preserve"> Treatise, but a few key points follow. It will be noted that a number of the statutory provisions discuss explicitly the ratemaking functions mentioned in the previous paragraph.</w:t>
      </w:r>
    </w:p>
    <w:p w14:paraId="355923C0" w14:textId="37BD4A74" w:rsidR="00FF7482" w:rsidRDefault="00FF7482" w:rsidP="006C4967">
      <w:pPr>
        <w:pStyle w:val="LawReview-StandardBodyText"/>
        <w:spacing w:after="0" w:line="259" w:lineRule="auto"/>
      </w:pPr>
    </w:p>
    <w:p w14:paraId="49AE007F" w14:textId="3DA21DA6" w:rsidR="001C0447" w:rsidRPr="001C0447" w:rsidRDefault="00FF7482" w:rsidP="003374E2">
      <w:pPr>
        <w:pStyle w:val="LawReview-StandardBodyText"/>
        <w:numPr>
          <w:ilvl w:val="0"/>
          <w:numId w:val="26"/>
        </w:numPr>
        <w:spacing w:after="160" w:line="259" w:lineRule="auto"/>
        <w:ind w:left="1080" w:right="720"/>
        <w:rPr>
          <w:b/>
          <w:bCs/>
        </w:rPr>
      </w:pPr>
      <w:r w:rsidRPr="00320CFE">
        <w:rPr>
          <w:b/>
          <w:bCs/>
        </w:rPr>
        <w:t>The worker's compensation program shall be neither more nor less than self-supporting</w:t>
      </w:r>
      <w:r w:rsidR="001C0447" w:rsidRPr="003374E2">
        <w:t>.</w:t>
      </w:r>
      <w:bookmarkStart w:id="1368" w:name="_Hlk24623091"/>
    </w:p>
    <w:p w14:paraId="2C02573F" w14:textId="5BBBAB78" w:rsidR="00FF7482" w:rsidRDefault="00FF7482" w:rsidP="003374E2">
      <w:pPr>
        <w:pStyle w:val="LawReview-StandardBodyText"/>
        <w:numPr>
          <w:ilvl w:val="1"/>
          <w:numId w:val="27"/>
        </w:numPr>
        <w:spacing w:after="160" w:line="259" w:lineRule="auto"/>
        <w:ind w:left="1800" w:right="720"/>
      </w:pPr>
      <w:r w:rsidRPr="00320CFE">
        <w:rPr>
          <w:b/>
          <w:bCs/>
        </w:rPr>
        <w:t>This is not a minor point</w:t>
      </w:r>
      <w:r w:rsidRPr="00320CFE">
        <w:t>.</w:t>
      </w:r>
      <w:r>
        <w:t xml:space="preserve"> Insurance companies operate to make a profit and their conclusions regarding rates and </w:t>
      </w:r>
      <w:r>
        <w:lastRenderedPageBreak/>
        <w:t xml:space="preserve">premiums could cause the collapse of </w:t>
      </w:r>
      <w:bookmarkEnd w:id="1368"/>
      <w:r>
        <w:t xml:space="preserve">their businesses if their actuarial assumptions are wrong. Wyoming workers’ compensation is not—and was never meant to be—a profit-generating enterprise. But neither may it lose money without exerting pressure on the public fisc. </w:t>
      </w:r>
    </w:p>
    <w:p w14:paraId="1EB23D07" w14:textId="5709DE70" w:rsidR="001C0447" w:rsidRDefault="00FF7482" w:rsidP="001C0447">
      <w:pPr>
        <w:pStyle w:val="LawReview-StandardBodyText"/>
        <w:numPr>
          <w:ilvl w:val="1"/>
          <w:numId w:val="15"/>
        </w:numPr>
        <w:spacing w:after="160" w:line="259" w:lineRule="auto"/>
        <w:ind w:left="1080" w:right="720"/>
        <w:rPr>
          <w:b/>
          <w:bCs/>
        </w:rPr>
      </w:pPr>
      <w:r w:rsidRPr="00320CFE">
        <w:rPr>
          <w:b/>
          <w:bCs/>
        </w:rPr>
        <w:t xml:space="preserve">Employments affected by this act shall be divided by the division into </w:t>
      </w:r>
      <w:r w:rsidRPr="00984E15">
        <w:rPr>
          <w:b/>
          <w:bCs/>
          <w:u w:val="single"/>
        </w:rPr>
        <w:t>classes</w:t>
      </w:r>
      <w:r w:rsidRPr="00320CFE">
        <w:rPr>
          <w:b/>
          <w:bCs/>
        </w:rPr>
        <w:t xml:space="preserve">, whose </w:t>
      </w:r>
      <w:r w:rsidRPr="00984E15">
        <w:rPr>
          <w:b/>
          <w:bCs/>
          <w:u w:val="single"/>
        </w:rPr>
        <w:t>rates may be readjusted annually</w:t>
      </w:r>
      <w:r w:rsidRPr="00320CFE">
        <w:rPr>
          <w:b/>
          <w:bCs/>
        </w:rPr>
        <w:t xml:space="preserve"> as the division </w:t>
      </w:r>
      <w:r w:rsidRPr="00984E15">
        <w:rPr>
          <w:b/>
          <w:bCs/>
          <w:u w:val="single"/>
        </w:rPr>
        <w:t>actuarially</w:t>
      </w:r>
      <w:r w:rsidRPr="00320CFE">
        <w:rPr>
          <w:b/>
          <w:bCs/>
        </w:rPr>
        <w:t xml:space="preserve"> determines</w:t>
      </w:r>
      <w:r w:rsidR="001C0447" w:rsidRPr="003374E2">
        <w:t>.</w:t>
      </w:r>
    </w:p>
    <w:p w14:paraId="539D2222" w14:textId="30A7538B" w:rsidR="001C0447" w:rsidRDefault="00FF7482" w:rsidP="001C0447">
      <w:pPr>
        <w:pStyle w:val="LawReview-StandardBodyText"/>
        <w:numPr>
          <w:ilvl w:val="1"/>
          <w:numId w:val="15"/>
        </w:numPr>
        <w:spacing w:after="160" w:line="259" w:lineRule="auto"/>
        <w:ind w:left="1080" w:right="720"/>
        <w:rPr>
          <w:b/>
          <w:bCs/>
        </w:rPr>
      </w:pPr>
      <w:r w:rsidRPr="001C0447">
        <w:rPr>
          <w:b/>
          <w:bCs/>
          <w:u w:val="single"/>
        </w:rPr>
        <w:t>An employer may contest the classification</w:t>
      </w:r>
      <w:r w:rsidRPr="001C0447">
        <w:rPr>
          <w:b/>
          <w:bCs/>
        </w:rPr>
        <w:t xml:space="preserve"> as determined by the Division following the contested case provisions of the Wyoming </w:t>
      </w:r>
      <w:r w:rsidRPr="001C0447">
        <w:rPr>
          <w:b/>
          <w:bCs/>
        </w:rPr>
        <w:tab/>
        <w:t xml:space="preserve">Administrative Procedure Act except that </w:t>
      </w:r>
      <w:r w:rsidRPr="001C0447">
        <w:rPr>
          <w:b/>
          <w:bCs/>
          <w:u w:val="single"/>
        </w:rPr>
        <w:t xml:space="preserve">the Division has the </w:t>
      </w:r>
      <w:r w:rsidRPr="003374E2">
        <w:rPr>
          <w:u w:val="single"/>
        </w:rPr>
        <w:tab/>
      </w:r>
      <w:r w:rsidRPr="001C0447">
        <w:rPr>
          <w:b/>
          <w:bCs/>
          <w:u w:val="single"/>
        </w:rPr>
        <w:t>burden of proving that the classification is correct</w:t>
      </w:r>
      <w:r w:rsidR="001C0447" w:rsidRPr="003374E2">
        <w:t>.</w:t>
      </w:r>
    </w:p>
    <w:p w14:paraId="5264F8C8" w14:textId="094A8403" w:rsidR="001C0447" w:rsidRDefault="00FF7482" w:rsidP="001C0447">
      <w:pPr>
        <w:pStyle w:val="LawReview-StandardBodyText"/>
        <w:numPr>
          <w:ilvl w:val="1"/>
          <w:numId w:val="15"/>
        </w:numPr>
        <w:spacing w:after="160" w:line="259" w:lineRule="auto"/>
        <w:ind w:left="1080" w:right="720"/>
        <w:rPr>
          <w:b/>
          <w:bCs/>
        </w:rPr>
      </w:pPr>
      <w:r w:rsidRPr="001C0447">
        <w:rPr>
          <w:b/>
          <w:bCs/>
        </w:rPr>
        <w:t>The Division determines hazards of different classes of employments and sets premiums at the lowest rate consistent with an actuarially sound worker's compensation account, surplus and reserves</w:t>
      </w:r>
      <w:r w:rsidRPr="003374E2">
        <w:t xml:space="preserve">. </w:t>
      </w:r>
      <w:r w:rsidRPr="001C0447">
        <w:rPr>
          <w:b/>
          <w:bCs/>
        </w:rPr>
        <w:t xml:space="preserve">It is also </w:t>
      </w:r>
      <w:r w:rsidRPr="001C0447">
        <w:rPr>
          <w:b/>
          <w:bCs/>
        </w:rPr>
        <w:tab/>
        <w:t>tasked with adopting a rating system that considers risks based on costs to the program and may, where necessary use consultants or rating organizations</w:t>
      </w:r>
      <w:r w:rsidR="003374E2" w:rsidRPr="003374E2">
        <w:t>.</w:t>
      </w:r>
    </w:p>
    <w:p w14:paraId="0A55A086" w14:textId="0AB71300" w:rsidR="001C0447" w:rsidRDefault="00FF7482" w:rsidP="001C0447">
      <w:pPr>
        <w:pStyle w:val="LawReview-StandardBodyText"/>
        <w:numPr>
          <w:ilvl w:val="1"/>
          <w:numId w:val="15"/>
        </w:numPr>
        <w:spacing w:after="160" w:line="259" w:lineRule="auto"/>
        <w:ind w:left="1080" w:right="720"/>
        <w:rPr>
          <w:b/>
          <w:bCs/>
        </w:rPr>
      </w:pPr>
      <w:r w:rsidRPr="001C0447">
        <w:rPr>
          <w:b/>
          <w:bCs/>
          <w:u w:val="single"/>
        </w:rPr>
        <w:t>No increase in the base rate</w:t>
      </w:r>
      <w:r w:rsidRPr="001C0447">
        <w:rPr>
          <w:b/>
          <w:bCs/>
        </w:rPr>
        <w:t xml:space="preserve"> for each employment classification </w:t>
      </w:r>
      <w:r w:rsidRPr="001C0447">
        <w:rPr>
          <w:b/>
          <w:bCs/>
          <w:u w:val="single"/>
        </w:rPr>
        <w:t>may</w:t>
      </w:r>
      <w:r w:rsidRPr="003374E2">
        <w:rPr>
          <w:b/>
          <w:bCs/>
          <w:u w:val="single"/>
        </w:rPr>
        <w:t xml:space="preserve"> </w:t>
      </w:r>
      <w:r w:rsidRPr="001C0447">
        <w:rPr>
          <w:b/>
          <w:bCs/>
          <w:u w:val="single"/>
        </w:rPr>
        <w:t>exceed 50%</w:t>
      </w:r>
      <w:r w:rsidRPr="003374E2">
        <w:rPr>
          <w:b/>
          <w:bCs/>
          <w:u w:val="single"/>
        </w:rPr>
        <w:t xml:space="preserve"> </w:t>
      </w:r>
      <w:r w:rsidRPr="001C0447">
        <w:rPr>
          <w:b/>
          <w:bCs/>
          <w:u w:val="single"/>
        </w:rPr>
        <w:t>of the base rate</w:t>
      </w:r>
      <w:r w:rsidRPr="001C0447">
        <w:rPr>
          <w:b/>
          <w:bCs/>
        </w:rPr>
        <w:t xml:space="preserve"> imposed for that employment </w:t>
      </w:r>
      <w:r w:rsidRPr="001C0447">
        <w:rPr>
          <w:b/>
          <w:bCs/>
        </w:rPr>
        <w:tab/>
        <w:t>classification</w:t>
      </w:r>
      <w:r w:rsidR="001C0447">
        <w:rPr>
          <w:b/>
          <w:bCs/>
        </w:rPr>
        <w:t xml:space="preserve"> </w:t>
      </w:r>
      <w:r w:rsidRPr="001C0447">
        <w:rPr>
          <w:b/>
          <w:bCs/>
          <w:u w:val="single"/>
        </w:rPr>
        <w:t>during the immediately preceding year</w:t>
      </w:r>
      <w:r w:rsidR="003374E2" w:rsidRPr="003374E2">
        <w:t>.</w:t>
      </w:r>
    </w:p>
    <w:p w14:paraId="6253A14E" w14:textId="2C60AB69" w:rsidR="001C0447" w:rsidRDefault="00FF7482" w:rsidP="001C0447">
      <w:pPr>
        <w:pStyle w:val="LawReview-StandardBodyText"/>
        <w:numPr>
          <w:ilvl w:val="1"/>
          <w:numId w:val="15"/>
        </w:numPr>
        <w:spacing w:after="160" w:line="259" w:lineRule="auto"/>
        <w:ind w:left="1080" w:right="720"/>
        <w:rPr>
          <w:b/>
          <w:bCs/>
        </w:rPr>
      </w:pPr>
      <w:r w:rsidRPr="001C0447">
        <w:rPr>
          <w:b/>
          <w:bCs/>
          <w:u w:val="single"/>
        </w:rPr>
        <w:t>Rates are automatically adjusted to reflect reclassifications</w:t>
      </w:r>
      <w:r w:rsidRPr="001C0447">
        <w:rPr>
          <w:b/>
          <w:bCs/>
        </w:rPr>
        <w:t xml:space="preserve"> </w:t>
      </w:r>
      <w:r w:rsidRPr="001C0447">
        <w:rPr>
          <w:b/>
          <w:bCs/>
          <w:u w:val="single"/>
        </w:rPr>
        <w:t xml:space="preserve">of </w:t>
      </w:r>
      <w:r w:rsidRPr="001C0447">
        <w:rPr>
          <w:b/>
          <w:bCs/>
        </w:rPr>
        <w:tab/>
        <w:t xml:space="preserve">industry </w:t>
      </w:r>
      <w:r w:rsidRPr="001C0447">
        <w:rPr>
          <w:b/>
          <w:bCs/>
          <w:u w:val="single"/>
        </w:rPr>
        <w:t>codes</w:t>
      </w:r>
      <w:r w:rsidRPr="001C0447">
        <w:rPr>
          <w:b/>
          <w:bCs/>
        </w:rPr>
        <w:t xml:space="preserve"> in accordance with the North American Industry </w:t>
      </w:r>
      <w:r w:rsidRPr="001C0447">
        <w:rPr>
          <w:b/>
          <w:bCs/>
        </w:rPr>
        <w:tab/>
        <w:t xml:space="preserve">Classification System </w:t>
      </w:r>
      <w:r w:rsidRPr="001C0447">
        <w:rPr>
          <w:b/>
          <w:bCs/>
          <w:u w:val="single"/>
        </w:rPr>
        <w:t>(NAICS) manual</w:t>
      </w:r>
      <w:r w:rsidRPr="001C0447">
        <w:rPr>
          <w:b/>
          <w:bCs/>
        </w:rPr>
        <w:t xml:space="preserve"> (See above at Section 2.20 of </w:t>
      </w:r>
      <w:r w:rsidRPr="001C0447">
        <w:rPr>
          <w:b/>
          <w:bCs/>
        </w:rPr>
        <w:tab/>
        <w:t>this</w:t>
      </w:r>
      <w:r w:rsidR="003440DB">
        <w:rPr>
          <w:b/>
          <w:bCs/>
        </w:rPr>
        <w:t xml:space="preserve"> </w:t>
      </w:r>
      <w:r w:rsidRPr="001C0447">
        <w:rPr>
          <w:b/>
          <w:bCs/>
        </w:rPr>
        <w:t>Treatise), but any such increase is capped at 150% of the lowest base rate of any employer in that classification under the standard industrial classification manual for the preceding year</w:t>
      </w:r>
      <w:r w:rsidR="003374E2" w:rsidRPr="003374E2">
        <w:t>.</w:t>
      </w:r>
    </w:p>
    <w:p w14:paraId="56AD5836" w14:textId="477C3727" w:rsidR="001C0447" w:rsidRDefault="00FF7482" w:rsidP="001C0447">
      <w:pPr>
        <w:pStyle w:val="LawReview-StandardBodyText"/>
        <w:numPr>
          <w:ilvl w:val="1"/>
          <w:numId w:val="15"/>
        </w:numPr>
        <w:spacing w:after="160" w:line="259" w:lineRule="auto"/>
        <w:ind w:left="1080" w:right="720"/>
        <w:rPr>
          <w:b/>
          <w:bCs/>
        </w:rPr>
      </w:pPr>
      <w:r w:rsidRPr="001C0447">
        <w:rPr>
          <w:b/>
          <w:bCs/>
        </w:rPr>
        <w:t xml:space="preserve">In addition, </w:t>
      </w:r>
      <w:r w:rsidRPr="001C0447">
        <w:rPr>
          <w:b/>
          <w:bCs/>
          <w:u w:val="single"/>
        </w:rPr>
        <w:t>the rating plan must use an experience rating system</w:t>
      </w:r>
      <w:r w:rsidRPr="003374E2">
        <w:rPr>
          <w:b/>
          <w:bCs/>
          <w:u w:val="single"/>
        </w:rPr>
        <w:t xml:space="preserve"> </w:t>
      </w:r>
      <w:r w:rsidRPr="001C0447">
        <w:rPr>
          <w:b/>
          <w:bCs/>
          <w:u w:val="single"/>
        </w:rPr>
        <w:t>based on three years of claim experience</w:t>
      </w:r>
      <w:r w:rsidRPr="001C0447">
        <w:rPr>
          <w:b/>
          <w:bCs/>
        </w:rPr>
        <w:t>, or as much experience as is available, for employers enrolled under it</w:t>
      </w:r>
      <w:r w:rsidRPr="003374E2">
        <w:t>.</w:t>
      </w:r>
    </w:p>
    <w:p w14:paraId="22A687C8" w14:textId="77777777" w:rsidR="001C0447" w:rsidRDefault="00FF7482" w:rsidP="001C0447">
      <w:pPr>
        <w:pStyle w:val="LawReview-StandardBodyText"/>
        <w:numPr>
          <w:ilvl w:val="2"/>
          <w:numId w:val="29"/>
        </w:numPr>
        <w:spacing w:after="160" w:line="259" w:lineRule="auto"/>
        <w:ind w:left="1800" w:right="720" w:hanging="360"/>
        <w:rPr>
          <w:b/>
          <w:bCs/>
        </w:rPr>
      </w:pPr>
      <w:r w:rsidRPr="001C0447">
        <w:rPr>
          <w:b/>
          <w:bCs/>
        </w:rPr>
        <w:t>The system rewards employers with a better than average claim experience, penalizes employers with a worse than average claim experience</w:t>
      </w:r>
      <w:r>
        <w:t>,</w:t>
      </w:r>
      <w:r w:rsidRPr="00C435A6">
        <w:t xml:space="preserve"> and may provide for premium volume discount so long as the account remains actuarially sound.</w:t>
      </w:r>
    </w:p>
    <w:p w14:paraId="55268FD3" w14:textId="15A5348E" w:rsidR="00FF7482" w:rsidRPr="001C0447" w:rsidRDefault="00FF7482" w:rsidP="001C0447">
      <w:pPr>
        <w:pStyle w:val="LawReview-StandardBodyText"/>
        <w:numPr>
          <w:ilvl w:val="2"/>
          <w:numId w:val="29"/>
        </w:numPr>
        <w:spacing w:after="0" w:line="259" w:lineRule="auto"/>
        <w:ind w:left="1800" w:right="720" w:hanging="360"/>
        <w:rPr>
          <w:b/>
          <w:bCs/>
        </w:rPr>
      </w:pPr>
      <w:r w:rsidRPr="001C0447">
        <w:rPr>
          <w:b/>
          <w:bCs/>
        </w:rPr>
        <w:lastRenderedPageBreak/>
        <w:t>Discounts from or penalties added to base employment classification rates because of claim experience shall not exceed 65% for rates through calendar year 2016 and shall not exceed 85% for rates beginning with calendar year 2017</w:t>
      </w:r>
      <w:r w:rsidR="00E078BD" w:rsidRPr="00E078BD">
        <w:t>.</w:t>
      </w:r>
      <w:r w:rsidR="001C0447">
        <w:rPr>
          <w:b/>
          <w:bCs/>
        </w:rPr>
        <w:br/>
      </w:r>
    </w:p>
    <w:p w14:paraId="6D7B0EDE" w14:textId="211F6086" w:rsidR="00FF7482" w:rsidRDefault="00FF7482" w:rsidP="001C0447">
      <w:pPr>
        <w:pStyle w:val="LawReview-StandardBodyText"/>
        <w:spacing w:after="0" w:line="259" w:lineRule="auto"/>
        <w:ind w:firstLine="0"/>
      </w:pPr>
      <w:r>
        <w:t>Despite the centrality of rate making to the operation of the workers’ compensation system t</w:t>
      </w:r>
      <w:r w:rsidRPr="009301D5">
        <w:t>here appears to have been little litigation</w:t>
      </w:r>
      <w:r>
        <w:t xml:space="preserve"> over these provisions. In </w:t>
      </w:r>
      <w:r w:rsidRPr="009301D5">
        <w:rPr>
          <w:i/>
          <w:iCs/>
        </w:rPr>
        <w:t>Matter of Nyquist</w:t>
      </w:r>
      <w:r>
        <w:t>,</w:t>
      </w:r>
      <w:r w:rsidRPr="00910BB7">
        <w:rPr>
          <w:vertAlign w:val="superscript"/>
        </w:rPr>
        <w:footnoteReference w:id="985"/>
      </w:r>
      <w:r>
        <w:t xml:space="preserve"> an employer alleg</w:t>
      </w:r>
      <w:r w:rsidR="00036080">
        <w:t>ed</w:t>
      </w:r>
      <w:r>
        <w:t xml:space="preserve"> to have had inadequate notice of an award of workers’ compensation to its putative employee.</w:t>
      </w:r>
      <w:r w:rsidRPr="00910BB7">
        <w:rPr>
          <w:vertAlign w:val="superscript"/>
        </w:rPr>
        <w:footnoteReference w:id="986"/>
      </w:r>
      <w:r>
        <w:t xml:space="preserve"> The Division had first denied the claim, upon the employer’s objection, but then abruptly reversed itself, apparently without notifying the employer.</w:t>
      </w:r>
      <w:r w:rsidRPr="00910BB7">
        <w:rPr>
          <w:vertAlign w:val="superscript"/>
        </w:rPr>
        <w:footnoteReference w:id="987"/>
      </w:r>
      <w:r>
        <w:t xml:space="preserve"> A few months later, after learning that the employee was, in fact, receiving workers’ compensation benefits, the employer objected.</w:t>
      </w:r>
      <w:r w:rsidRPr="00910BB7">
        <w:rPr>
          <w:vertAlign w:val="superscript"/>
        </w:rPr>
        <w:footnoteReference w:id="988"/>
      </w:r>
      <w:r>
        <w:t xml:space="preserve"> The Division notified the employer that its objection was timely, and set the matter for hearing.</w:t>
      </w:r>
      <w:r w:rsidRPr="00910BB7">
        <w:rPr>
          <w:vertAlign w:val="superscript"/>
        </w:rPr>
        <w:footnoteReference w:id="989"/>
      </w:r>
      <w:r>
        <w:t xml:space="preserve"> Before the hearing, the parties settled the case, and stipulated to, among other things, that benefits paid would not be chargeable to the employer’s experience rating but rather to an entire industrial classification under </w:t>
      </w:r>
      <w:r w:rsidRPr="00036080">
        <w:t xml:space="preserve">W.S. </w:t>
      </w:r>
      <w:r w:rsidRPr="00036080">
        <w:rPr>
          <w:rFonts w:cs="Times New Roman"/>
        </w:rPr>
        <w:t xml:space="preserve">§ </w:t>
      </w:r>
      <w:hyperlink r:id="rId139" w:history="1">
        <w:r w:rsidRPr="00036080">
          <w:rPr>
            <w:rStyle w:val="Hyperlink"/>
            <w:rFonts w:cs="Times New Roman"/>
          </w:rPr>
          <w:t>27-14-603</w:t>
        </w:r>
      </w:hyperlink>
      <w:r>
        <w:rPr>
          <w:rFonts w:cs="Times New Roman"/>
        </w:rPr>
        <w:t>(e)</w:t>
      </w:r>
      <w:r>
        <w:t>.</w:t>
      </w:r>
      <w:r w:rsidRPr="00910BB7">
        <w:rPr>
          <w:vertAlign w:val="superscript"/>
        </w:rPr>
        <w:footnoteReference w:id="990"/>
      </w:r>
      <w:r>
        <w:t xml:space="preserve"> That settlement agreement was, for reasons unnecessary to explore, scuttled, but a subsequent agreement, severing the non-chargeability issue, was eventually agreed to by all parties.</w:t>
      </w:r>
      <w:r w:rsidRPr="00910BB7">
        <w:rPr>
          <w:vertAlign w:val="superscript"/>
        </w:rPr>
        <w:footnoteReference w:id="991"/>
      </w:r>
      <w:r>
        <w:t xml:space="preserve"> Eventually, OAH determined that “</w:t>
      </w:r>
      <w:r w:rsidRPr="0071669E">
        <w:t>there was not any statutory basis that provided for it to order that an employer's experience rating not be assessed for payments to an injured employee.</w:t>
      </w:r>
      <w:r>
        <w:t>”</w:t>
      </w:r>
      <w:r w:rsidRPr="00910BB7">
        <w:rPr>
          <w:vertAlign w:val="superscript"/>
        </w:rPr>
        <w:footnoteReference w:id="992"/>
      </w:r>
      <w:r>
        <w:t xml:space="preserve"> The Wyoming Supreme Court agreed, stating flatly that </w:t>
      </w:r>
      <w:r w:rsidRPr="00A5376F">
        <w:rPr>
          <w:b/>
          <w:bCs/>
          <w:u w:val="single"/>
        </w:rPr>
        <w:t>the Division and not the OAH had authority to entertain chargeability disputes</w:t>
      </w:r>
      <w:r>
        <w:t>.</w:t>
      </w:r>
      <w:r w:rsidRPr="00910BB7">
        <w:rPr>
          <w:vertAlign w:val="superscript"/>
        </w:rPr>
        <w:footnoteReference w:id="993"/>
      </w:r>
    </w:p>
    <w:p w14:paraId="446F78EF" w14:textId="77777777" w:rsidR="00FF7482" w:rsidRDefault="00FF7482" w:rsidP="006C4967">
      <w:pPr>
        <w:pStyle w:val="LawReview-StandardBodyText"/>
        <w:spacing w:after="0" w:line="259" w:lineRule="auto"/>
      </w:pPr>
    </w:p>
    <w:p w14:paraId="199FBF0D" w14:textId="148860D5" w:rsidR="00FF7482" w:rsidRDefault="00FF7482" w:rsidP="007E5096">
      <w:pPr>
        <w:pStyle w:val="LawReview-StandardBodyText"/>
        <w:spacing w:after="0" w:line="259" w:lineRule="auto"/>
        <w:ind w:firstLine="0"/>
      </w:pPr>
      <w:r w:rsidRPr="00E01190">
        <w:rPr>
          <w:i/>
          <w:iCs/>
        </w:rPr>
        <w:t>Nyquist</w:t>
      </w:r>
      <w:r>
        <w:t xml:space="preserve"> illustrates that for employers</w:t>
      </w:r>
      <w:r w:rsidR="00036080">
        <w:t>,</w:t>
      </w:r>
      <w:r>
        <w:t xml:space="preserve"> chargeability determinations are important because it determines the “premium” to which the employer will be subject. Outside the realm of chargeability, the Wyoming Supreme Court’s arguably dismissive response to the challenge to the Division’s Wal-Mart Distribution Center’s coding as non-hazardous (See this Treatise’s discussion of </w:t>
      </w:r>
      <w:r w:rsidRPr="00A5376F">
        <w:rPr>
          <w:i/>
          <w:iCs/>
        </w:rPr>
        <w:t>Araguz</w:t>
      </w:r>
      <w:r>
        <w:t xml:space="preserve"> above at Section 2.21) may have suggested to potential litigants that, in the arena of the extrahazardous classification and experience rating of employers, the Division will be afforded extraordinary deference</w:t>
      </w:r>
      <w:r w:rsidR="007E5096">
        <w:t xml:space="preserve">. </w:t>
      </w:r>
    </w:p>
    <w:p w14:paraId="3A053A09" w14:textId="75903944" w:rsidR="00FF7482" w:rsidRDefault="00FF7482" w:rsidP="006C4967">
      <w:pPr>
        <w:pStyle w:val="LawReview-StandardBodyText"/>
        <w:spacing w:after="0" w:line="259" w:lineRule="auto"/>
      </w:pPr>
    </w:p>
    <w:p w14:paraId="38F1E947" w14:textId="775D63CB" w:rsidR="00FF7482" w:rsidRDefault="00FF7482" w:rsidP="007E5096">
      <w:pPr>
        <w:pStyle w:val="LawReview-StandardBodyText"/>
        <w:spacing w:after="0" w:line="259" w:lineRule="auto"/>
        <w:ind w:firstLine="0"/>
      </w:pPr>
      <w:r w:rsidRPr="00F14798">
        <w:rPr>
          <w:b/>
          <w:bCs/>
          <w:u w:val="single"/>
        </w:rPr>
        <w:lastRenderedPageBreak/>
        <w:t>Finally, all money received, earned or collected under the Act are credited to the “worker's compensation account</w:t>
      </w:r>
      <w:r w:rsidRPr="00F14798">
        <w:rPr>
          <w:b/>
          <w:bCs/>
        </w:rPr>
        <w:t>.”</w:t>
      </w:r>
      <w:r>
        <w:t xml:space="preserve"> </w:t>
      </w:r>
      <w:r w:rsidRPr="00F14798">
        <w:t xml:space="preserve">All awards and claim determinations </w:t>
      </w:r>
      <w:r>
        <w:t xml:space="preserve">are </w:t>
      </w:r>
      <w:r w:rsidRPr="00F14798">
        <w:t>paid from th</w:t>
      </w:r>
      <w:r>
        <w:t>at</w:t>
      </w:r>
      <w:r w:rsidRPr="00F14798">
        <w:t xml:space="preserve"> account</w:t>
      </w:r>
      <w:r>
        <w:t>. M</w:t>
      </w:r>
      <w:r w:rsidRPr="00F14798">
        <w:t xml:space="preserve">oney collected </w:t>
      </w:r>
      <w:r>
        <w:t xml:space="preserve">but </w:t>
      </w:r>
      <w:r w:rsidRPr="00F14798">
        <w:t xml:space="preserve">not immediately necessary for </w:t>
      </w:r>
      <w:r>
        <w:t>operations under</w:t>
      </w:r>
      <w:r w:rsidR="00036080">
        <w:t xml:space="preserve"> the</w:t>
      </w:r>
      <w:r w:rsidRPr="00F14798">
        <w:t xml:space="preserve"> </w:t>
      </w:r>
      <w:r>
        <w:t>A</w:t>
      </w:r>
      <w:r w:rsidRPr="00F14798">
        <w:t xml:space="preserve">ct </w:t>
      </w:r>
      <w:r>
        <w:t>are required to</w:t>
      </w:r>
      <w:r w:rsidRPr="00F14798">
        <w:t xml:space="preserve"> be invested by the state treasurer in the</w:t>
      </w:r>
      <w:r>
        <w:t xml:space="preserve"> same</w:t>
      </w:r>
      <w:r w:rsidRPr="00F14798">
        <w:t xml:space="preserve"> manner </w:t>
      </w:r>
      <w:r>
        <w:t>as other</w:t>
      </w:r>
      <w:r w:rsidRPr="00F14798">
        <w:t xml:space="preserve"> permanent state funds. </w:t>
      </w:r>
    </w:p>
    <w:p w14:paraId="6870559F" w14:textId="3891A2C2" w:rsidR="00FF7482" w:rsidRDefault="00FF7482" w:rsidP="007E5096">
      <w:pPr>
        <w:pStyle w:val="LawReview-StandardBodyText"/>
        <w:spacing w:after="0" w:line="259" w:lineRule="auto"/>
        <w:ind w:firstLine="0"/>
      </w:pPr>
    </w:p>
    <w:p w14:paraId="461DC44B" w14:textId="559738DA" w:rsidR="00FF7482" w:rsidRDefault="00FF7482" w:rsidP="007E5096">
      <w:pPr>
        <w:pStyle w:val="Heading2"/>
        <w:spacing w:before="0"/>
        <w:rPr>
          <w:rFonts w:ascii="Times New Roman" w:hAnsi="Times New Roman" w:cs="Times New Roman"/>
          <w:b/>
          <w:color w:val="auto"/>
          <w:sz w:val="28"/>
          <w:szCs w:val="28"/>
        </w:rPr>
      </w:pPr>
      <w:bookmarkStart w:id="1378" w:name="_Toc75269446"/>
      <w:bookmarkStart w:id="1379" w:name="_Hlk13727891"/>
      <w:r w:rsidRPr="00EB688C">
        <w:rPr>
          <w:rFonts w:ascii="Times New Roman" w:hAnsi="Times New Roman" w:cs="Times New Roman"/>
          <w:b/>
          <w:color w:val="auto"/>
          <w:sz w:val="28"/>
          <w:szCs w:val="28"/>
        </w:rPr>
        <w:t>Penalties and Sanction</w:t>
      </w:r>
      <w:r>
        <w:rPr>
          <w:rFonts w:ascii="Times New Roman" w:hAnsi="Times New Roman" w:cs="Times New Roman"/>
          <w:b/>
          <w:color w:val="auto"/>
          <w:sz w:val="28"/>
          <w:szCs w:val="28"/>
        </w:rPr>
        <w:t>s: Employees</w:t>
      </w:r>
      <w:bookmarkEnd w:id="1378"/>
    </w:p>
    <w:bookmarkEnd w:id="1379"/>
    <w:p w14:paraId="32B6488A" w14:textId="1609A017" w:rsidR="00FF7482" w:rsidRDefault="00FF7482" w:rsidP="006C4967">
      <w:pPr>
        <w:spacing w:after="0"/>
      </w:pPr>
    </w:p>
    <w:p w14:paraId="0A4F508D" w14:textId="37815A6C" w:rsidR="00FF7482" w:rsidRDefault="00FF7482" w:rsidP="007E5096">
      <w:pPr>
        <w:pStyle w:val="LawReview-StandardBodyText"/>
        <w:spacing w:after="0" w:line="259" w:lineRule="auto"/>
        <w:ind w:firstLine="0"/>
      </w:pPr>
      <w:r>
        <w:t xml:space="preserve">Embedded within the Wyoming Workers’ Compensation Act are a variety of penalties and sanctions that may be assessed on parties for assorted forms of conduct. Discussion of some of the more notable of these penalties and sanctions follows. One of the more dramatic of these sanctions is </w:t>
      </w:r>
      <w:r w:rsidRPr="006414B9">
        <w:rPr>
          <w:b/>
          <w:bCs/>
        </w:rPr>
        <w:t xml:space="preserve">that </w:t>
      </w:r>
      <w:r w:rsidRPr="00D126E6">
        <w:rPr>
          <w:b/>
          <w:bCs/>
          <w:u w:val="single"/>
        </w:rPr>
        <w:t>an employee-claimant refusing to attend a medical examination at the direction of the Division or the employer may be subject to benefit termination</w:t>
      </w:r>
      <w:r>
        <w:t xml:space="preserve">. This is especially clear in the context of Division reviews to determine if a claimant’s continued receipt of temporary total disability benefits is warranted (a review required by statute every six months). W.S. </w:t>
      </w:r>
      <w:r>
        <w:rPr>
          <w:rFonts w:cs="Times New Roman"/>
        </w:rPr>
        <w:t>§</w:t>
      </w:r>
      <w:r>
        <w:t xml:space="preserve"> </w:t>
      </w:r>
      <w:hyperlink r:id="rId140" w:history="1">
        <w:r w:rsidRPr="005F366B">
          <w:rPr>
            <w:rStyle w:val="Hyperlink"/>
          </w:rPr>
          <w:t>27-14-609</w:t>
        </w:r>
      </w:hyperlink>
      <w:r>
        <w:t xml:space="preserve">(c) states: </w:t>
      </w:r>
      <w:r w:rsidRPr="006414B9">
        <w:rPr>
          <w:b/>
          <w:bCs/>
        </w:rPr>
        <w:t>“If an employee refuses to submit to or obstructs the examination, his right to monthly payments shall be suspended until the examination has taken place. No compensation shall be paid during the period of refusal.”</w:t>
      </w:r>
      <w:r>
        <w:rPr>
          <w:b/>
          <w:bCs/>
        </w:rPr>
        <w:t xml:space="preserve"> </w:t>
      </w:r>
      <w:r w:rsidRPr="0048218E">
        <w:t>The same point is again made</w:t>
      </w:r>
      <w:r>
        <w:t xml:space="preserve"> (with some refinements) in W.S. </w:t>
      </w:r>
      <w:r>
        <w:rPr>
          <w:rFonts w:cs="Times New Roman"/>
        </w:rPr>
        <w:t>§</w:t>
      </w:r>
      <w:r>
        <w:t xml:space="preserve"> </w:t>
      </w:r>
      <w:hyperlink r:id="rId141" w:history="1">
        <w:r w:rsidRPr="0048218E">
          <w:rPr>
            <w:rStyle w:val="Hyperlink"/>
          </w:rPr>
          <w:t>27-14-404</w:t>
        </w:r>
      </w:hyperlink>
      <w:r>
        <w:t>:</w:t>
      </w:r>
    </w:p>
    <w:p w14:paraId="6C69A136" w14:textId="2B5A7A39" w:rsidR="00FF7482" w:rsidRDefault="00FF7482" w:rsidP="006C4967">
      <w:pPr>
        <w:pStyle w:val="LawReview-StandardBodyText"/>
        <w:spacing w:after="0" w:line="259" w:lineRule="auto"/>
      </w:pPr>
    </w:p>
    <w:p w14:paraId="490F9BDF" w14:textId="5CEABF95" w:rsidR="00FF7482" w:rsidRDefault="00FF7482" w:rsidP="006C4967">
      <w:pPr>
        <w:pStyle w:val="LawReview-StandardBodyText"/>
        <w:spacing w:after="0" w:line="259" w:lineRule="auto"/>
        <w:ind w:left="720" w:right="720" w:firstLine="0"/>
      </w:pPr>
      <w:r w:rsidRPr="0048218E">
        <w:t xml:space="preserve">Payment under subsection (a) of this section </w:t>
      </w:r>
      <w:r w:rsidRPr="0048218E">
        <w:rPr>
          <w:b/>
          <w:bCs/>
        </w:rPr>
        <w:t>shall be suspended</w:t>
      </w:r>
      <w:r w:rsidRPr="0048218E">
        <w:t xml:space="preserve"> if the injured employee fails to appear at an appointment with his health care provider. Payment shall be suspended under this subsection </w:t>
      </w:r>
      <w:r w:rsidRPr="0048218E">
        <w:rPr>
          <w:b/>
          <w:bCs/>
        </w:rPr>
        <w:t>until such time as the employee appears at a subsequent rescheduled appointment</w:t>
      </w:r>
      <w:r w:rsidRPr="0048218E">
        <w:t>. Payment shall not be suspended for failing to appear at an appointment if the employee notifies the case manager or the division prior to the appointment or within twenty-four</w:t>
      </w:r>
      <w:r>
        <w:t xml:space="preserve"> </w:t>
      </w:r>
      <w:r w:rsidRPr="0048218E">
        <w:t>hours after missing the appointment and the division determines, after recommendation by the case manager, that the employee made all reasonable efforts to appear at the appointment.</w:t>
      </w:r>
    </w:p>
    <w:p w14:paraId="77129370" w14:textId="1EAF1F09" w:rsidR="00FF7482" w:rsidRDefault="00FF7482" w:rsidP="006C4967">
      <w:pPr>
        <w:pStyle w:val="LawReview-StandardBodyText"/>
        <w:spacing w:after="0" w:line="259" w:lineRule="auto"/>
      </w:pPr>
    </w:p>
    <w:p w14:paraId="3F464CC0" w14:textId="1EFA1A89" w:rsidR="00FF7482" w:rsidRDefault="00FF7482" w:rsidP="007E5096">
      <w:pPr>
        <w:pStyle w:val="LawReview-StandardBodyText"/>
        <w:spacing w:after="0" w:line="259" w:lineRule="auto"/>
        <w:ind w:firstLine="0"/>
      </w:pPr>
      <w:r w:rsidRPr="00120AED">
        <w:rPr>
          <w:b/>
          <w:bCs/>
          <w:u w:val="single"/>
        </w:rPr>
        <w:t>As is the case under many workers’ compensation statutes, and also under general principles of tort law,</w:t>
      </w:r>
      <w:r w:rsidRPr="00910BB7">
        <w:rPr>
          <w:vertAlign w:val="superscript"/>
        </w:rPr>
        <w:footnoteReference w:id="994"/>
      </w:r>
      <w:r w:rsidRPr="00120AED">
        <w:rPr>
          <w:b/>
          <w:bCs/>
          <w:u w:val="single"/>
        </w:rPr>
        <w:t xml:space="preserve"> an injured worker may not deliberately make her physical injury worse</w:t>
      </w:r>
      <w:r>
        <w:t xml:space="preserve">. Under W.S. </w:t>
      </w:r>
      <w:r>
        <w:rPr>
          <w:rFonts w:cs="Times New Roman"/>
        </w:rPr>
        <w:t>§</w:t>
      </w:r>
      <w:r>
        <w:t xml:space="preserve"> </w:t>
      </w:r>
      <w:hyperlink r:id="rId142" w:history="1">
        <w:r w:rsidRPr="00DC0299">
          <w:rPr>
            <w:rStyle w:val="Hyperlink"/>
          </w:rPr>
          <w:t>27-14-407</w:t>
        </w:r>
      </w:hyperlink>
      <w:r>
        <w:t>:</w:t>
      </w:r>
    </w:p>
    <w:p w14:paraId="48B57CCE" w14:textId="7581D7DB" w:rsidR="00FF7482" w:rsidRDefault="00FF7482" w:rsidP="006C4967">
      <w:pPr>
        <w:pStyle w:val="LawReview-StandardBodyText"/>
        <w:spacing w:after="0" w:line="259" w:lineRule="auto"/>
      </w:pPr>
    </w:p>
    <w:p w14:paraId="1142D16A" w14:textId="1EBC0ECB" w:rsidR="00FF7482" w:rsidRDefault="00FF7482" w:rsidP="006C4967">
      <w:pPr>
        <w:pStyle w:val="LawReview-StandardBodyText"/>
        <w:spacing w:after="0" w:line="259" w:lineRule="auto"/>
        <w:ind w:left="720" w:right="720" w:firstLine="0"/>
      </w:pPr>
      <w:r w:rsidRPr="003C4925">
        <w:lastRenderedPageBreak/>
        <w:t xml:space="preserve">If an injured employee </w:t>
      </w:r>
      <w:r w:rsidRPr="003C4925">
        <w:rPr>
          <w:b/>
          <w:bCs/>
        </w:rPr>
        <w:t>knowingly engages or persists in an unsanitary or injurious practice which tends to imperil or retard his recovery, or if he refuses to submit to medical or surgical treatment reasonably essential to promote his recovery, he forfeits all right to compensation under this act</w:t>
      </w:r>
      <w:r w:rsidRPr="003C4925">
        <w:t>. Forfeiture shall be determined by the hearing examiner upon application by the division or employer.</w:t>
      </w:r>
    </w:p>
    <w:p w14:paraId="2F904EB3" w14:textId="4E27F168" w:rsidR="00FF7482" w:rsidRDefault="00FF7482" w:rsidP="006C4967">
      <w:pPr>
        <w:pStyle w:val="LawReview-StandardBodyText"/>
        <w:spacing w:after="0" w:line="259" w:lineRule="auto"/>
        <w:ind w:left="720" w:right="720" w:firstLine="0"/>
      </w:pPr>
    </w:p>
    <w:p w14:paraId="6942B083" w14:textId="6A9DCE62" w:rsidR="00FF7482" w:rsidRDefault="00FF7482" w:rsidP="007E5096">
      <w:pPr>
        <w:pStyle w:val="LawReview-StandardBodyText"/>
        <w:spacing w:after="0" w:line="259" w:lineRule="auto"/>
        <w:ind w:firstLine="0"/>
      </w:pPr>
      <w:r>
        <w:t>The burden of establishing such a practice is on the employer,</w:t>
      </w:r>
      <w:r w:rsidRPr="00910BB7">
        <w:rPr>
          <w:vertAlign w:val="superscript"/>
        </w:rPr>
        <w:footnoteReference w:id="995"/>
      </w:r>
      <w:r>
        <w:t xml:space="preserve"> or the Division.</w:t>
      </w:r>
      <w:r w:rsidRPr="00910BB7">
        <w:rPr>
          <w:vertAlign w:val="superscript"/>
        </w:rPr>
        <w:footnoteReference w:id="996"/>
      </w:r>
      <w:r>
        <w:t xml:space="preserve"> The Wyoming courts have limited this longstanding provision of the Wyoming Act. In </w:t>
      </w:r>
      <w:r w:rsidRPr="00DC0299">
        <w:rPr>
          <w:i/>
          <w:iCs/>
        </w:rPr>
        <w:t>In Re Williams</w:t>
      </w:r>
      <w:r>
        <w:t>,</w:t>
      </w:r>
      <w:r w:rsidRPr="00910BB7">
        <w:rPr>
          <w:vertAlign w:val="superscript"/>
        </w:rPr>
        <w:footnoteReference w:id="997"/>
      </w:r>
      <w:r>
        <w:t xml:space="preserve"> for example, an employee died from a work-related automobile crash after refusing on religious grounds to accept blood products during treatment for his injuries. In the ensuing death benefit claim, the Division denied payment on the basis of </w:t>
      </w:r>
      <w:bookmarkStart w:id="1384" w:name="_Hlk13675320"/>
      <w:r>
        <w:t xml:space="preserve">W.S. </w:t>
      </w:r>
      <w:r>
        <w:rPr>
          <w:rFonts w:cs="Times New Roman"/>
        </w:rPr>
        <w:t>§</w:t>
      </w:r>
      <w:r>
        <w:t xml:space="preserve"> 27-14-407</w:t>
      </w:r>
      <w:bookmarkEnd w:id="1384"/>
      <w:r>
        <w:t>. In addition to problems of proof that the refusal of the treatment caused the death,</w:t>
      </w:r>
      <w:r w:rsidRPr="00910BB7">
        <w:rPr>
          <w:vertAlign w:val="superscript"/>
        </w:rPr>
        <w:footnoteReference w:id="998"/>
      </w:r>
      <w:r>
        <w:t xml:space="preserve"> the Wyoming Supreme Court emphasized the law’s traditional caution when entertaining arguments for denying workers’ compensation claims on “injurious practice” grounds. The Court, quoting earlier Wyoming authority, said, </w:t>
      </w:r>
    </w:p>
    <w:p w14:paraId="3640067C" w14:textId="77777777" w:rsidR="00FF7482" w:rsidRDefault="00FF7482" w:rsidP="006C4967">
      <w:pPr>
        <w:pStyle w:val="LawReview-StandardBodyText"/>
        <w:spacing w:after="0" w:line="259" w:lineRule="auto"/>
      </w:pPr>
    </w:p>
    <w:p w14:paraId="6B82D14B" w14:textId="32E2C725" w:rsidR="00FF7482" w:rsidRPr="00F13332" w:rsidRDefault="00FF7482" w:rsidP="000806C2">
      <w:pPr>
        <w:pStyle w:val="LawReview-StandardBodyText"/>
        <w:spacing w:after="0" w:line="259" w:lineRule="auto"/>
        <w:ind w:left="720" w:right="720" w:firstLine="0"/>
        <w:rPr>
          <w:b/>
          <w:bCs/>
        </w:rPr>
      </w:pPr>
      <w:r>
        <w:t xml:space="preserve">In order to work a forfeiture of benefits for engaging or persisting in an unsanitary or injurious practice which tends to imperil or retard his recovery . . . ‘proof of more than a mere possibility is required . . . We caution that </w:t>
      </w:r>
      <w:r w:rsidRPr="00F13332">
        <w:rPr>
          <w:b/>
          <w:bCs/>
        </w:rPr>
        <w:t>more is required than proof of a mere potential for harm or a possibility of harm; there must be proof that the worker's acts were not benign, but did, in some way, contribute to recovery problems</w:t>
      </w:r>
      <w:r w:rsidRPr="000806C2">
        <w:t>.</w:t>
      </w:r>
      <w:r w:rsidRPr="00910BB7">
        <w:rPr>
          <w:vertAlign w:val="superscript"/>
        </w:rPr>
        <w:footnoteReference w:id="999"/>
      </w:r>
    </w:p>
    <w:p w14:paraId="776AF88E" w14:textId="217C2EC4" w:rsidR="00FF7482" w:rsidRDefault="00FF7482" w:rsidP="006C4967">
      <w:pPr>
        <w:pStyle w:val="LawReview-StandardBodyText"/>
        <w:spacing w:after="0" w:line="259" w:lineRule="auto"/>
      </w:pPr>
    </w:p>
    <w:p w14:paraId="341AEC45" w14:textId="76AC0BB0" w:rsidR="00FF7482" w:rsidRDefault="00FF7482" w:rsidP="007E5096">
      <w:pPr>
        <w:pStyle w:val="LawReview-StandardBodyText"/>
        <w:spacing w:after="0" w:line="259" w:lineRule="auto"/>
        <w:ind w:firstLine="0"/>
      </w:pPr>
      <w:r>
        <w:t>The Wyoming Court has said that, “[w]</w:t>
      </w:r>
      <w:r w:rsidRPr="00F13332">
        <w:t>e construe the forfeiture mandate strictly due to its harshness</w:t>
      </w:r>
      <w:r>
        <w:t>.”</w:t>
      </w:r>
      <w:r w:rsidRPr="00910BB7">
        <w:rPr>
          <w:vertAlign w:val="superscript"/>
        </w:rPr>
        <w:footnoteReference w:id="1000"/>
      </w:r>
      <w:r>
        <w:t xml:space="preserve"> The policy of restraint makes good sense when it is remembered that one of the major reasons for enacting workers’ compensation statutes in the first place is that tort claims were too easily defeated through the affirmative defenses contributory negligence and assumption of the risk. Too generous a reading of  </w:t>
      </w:r>
      <w:r w:rsidRPr="00EB5A23">
        <w:t>W.S. § 27-14-407</w:t>
      </w:r>
      <w:r>
        <w:t xml:space="preserve"> could rekindle that problem.</w:t>
      </w:r>
    </w:p>
    <w:p w14:paraId="08EBDCAC" w14:textId="5B7D7A44" w:rsidR="00FF7482" w:rsidRDefault="00FF7482" w:rsidP="006C4967">
      <w:pPr>
        <w:pStyle w:val="LawReview-StandardBodyText"/>
        <w:spacing w:after="0" w:line="259" w:lineRule="auto"/>
      </w:pPr>
    </w:p>
    <w:p w14:paraId="262A4432" w14:textId="5AC54E42" w:rsidR="00FF7482" w:rsidRDefault="00FF7482" w:rsidP="00CE3678">
      <w:pPr>
        <w:pStyle w:val="LawReview-StandardBodyText"/>
        <w:spacing w:after="0" w:line="259" w:lineRule="auto"/>
        <w:ind w:firstLine="0"/>
      </w:pPr>
      <w:r w:rsidRPr="00D126E6">
        <w:rPr>
          <w:b/>
          <w:bCs/>
          <w:u w:val="single"/>
        </w:rPr>
        <w:t xml:space="preserve">Employees are subject to </w:t>
      </w:r>
      <w:r>
        <w:rPr>
          <w:b/>
          <w:bCs/>
          <w:u w:val="single"/>
        </w:rPr>
        <w:t xml:space="preserve">legal </w:t>
      </w:r>
      <w:r w:rsidRPr="00D126E6">
        <w:rPr>
          <w:b/>
          <w:bCs/>
          <w:u w:val="single"/>
        </w:rPr>
        <w:t>sanction for making misrepresentations in connection with a workers’ compensation claim</w:t>
      </w:r>
      <w:r>
        <w:t xml:space="preserve">. Under W.S. </w:t>
      </w:r>
      <w:r>
        <w:rPr>
          <w:rFonts w:cs="Times New Roman"/>
        </w:rPr>
        <w:t>§</w:t>
      </w:r>
      <w:r>
        <w:t xml:space="preserve"> </w:t>
      </w:r>
      <w:r w:rsidRPr="00910BB7">
        <w:t>27-14-510</w:t>
      </w:r>
      <w:r>
        <w:t>(a), “[a]</w:t>
      </w:r>
      <w:r w:rsidRPr="00D126E6">
        <w:t xml:space="preserve">ny person who knowingly makes, authorizes or permits any misrepresentation </w:t>
      </w:r>
      <w:r w:rsidRPr="00D126E6">
        <w:lastRenderedPageBreak/>
        <w:t>or false statement to be made for the purpose of him or another person receiving payment of any kind under this act is guilty of</w:t>
      </w:r>
      <w:r w:rsidR="000806C2">
        <w:t>”</w:t>
      </w:r>
      <w:r>
        <w:t xml:space="preserve"> a misdemeanor, if the value of the payment is less than $500; or a felony if the value of the payment is $500 or more. Such a misdemeanor </w:t>
      </w:r>
      <w:r w:rsidR="001911B1">
        <w:t xml:space="preserve">is </w:t>
      </w:r>
      <w:r w:rsidRPr="009700E1">
        <w:t>punishable by a fine of not more than seven hundred fifty dollars, imprisonment for not more than six months, or both</w:t>
      </w:r>
      <w:r>
        <w:t xml:space="preserve">. The felony defined in this provision is </w:t>
      </w:r>
      <w:r w:rsidRPr="009700E1">
        <w:t>punishable by a fine of not more than ten thousand dollars, imprisonment for not more than ten years, or both</w:t>
      </w:r>
      <w:r>
        <w:t>. There are few reported cases discussing this provision but two issues are worthy of mention.</w:t>
      </w:r>
    </w:p>
    <w:p w14:paraId="1AF75408" w14:textId="1D5F71A7" w:rsidR="00FF7482" w:rsidRDefault="00FF7482" w:rsidP="006C4967">
      <w:pPr>
        <w:pStyle w:val="LawReview-StandardBodyText"/>
        <w:spacing w:after="0" w:line="259" w:lineRule="auto"/>
      </w:pPr>
    </w:p>
    <w:p w14:paraId="7197D6BA" w14:textId="233D774B" w:rsidR="00FF7482" w:rsidRDefault="00FF7482" w:rsidP="00CE3678">
      <w:pPr>
        <w:pStyle w:val="LawReview-StandardBodyText"/>
        <w:spacing w:after="0" w:line="259" w:lineRule="auto"/>
        <w:ind w:firstLine="0"/>
      </w:pPr>
      <w:r>
        <w:t xml:space="preserve">First, the criminalization of workers’ compensation misrepresentations can create constitutional issues. In </w:t>
      </w:r>
      <w:r w:rsidRPr="004F49FC">
        <w:rPr>
          <w:i/>
          <w:iCs/>
        </w:rPr>
        <w:t>Debyah v. Department of Workforce Services</w:t>
      </w:r>
      <w:r>
        <w:t>,</w:t>
      </w:r>
      <w:r w:rsidRPr="00910BB7">
        <w:rPr>
          <w:vertAlign w:val="superscript"/>
        </w:rPr>
        <w:footnoteReference w:id="1001"/>
      </w:r>
      <w:r>
        <w:t xml:space="preserve"> an employee asserted his Fifth Amendment right (and right under Article I, section 11 of the Wyoming Constitution) against self-incrimination in response to Division interrogatories in advance of a contested case hearing.</w:t>
      </w:r>
      <w:r w:rsidRPr="00910BB7">
        <w:rPr>
          <w:vertAlign w:val="superscript"/>
        </w:rPr>
        <w:footnoteReference w:id="1002"/>
      </w:r>
      <w:r>
        <w:t xml:space="preserve"> </w:t>
      </w:r>
      <w:r w:rsidRPr="004F49FC">
        <w:t xml:space="preserve">The hearing examiner dismissed the contested case as a sanction for </w:t>
      </w:r>
      <w:r>
        <w:t xml:space="preserve">the claimant’s </w:t>
      </w:r>
      <w:r w:rsidRPr="004F49FC">
        <w:t>fail</w:t>
      </w:r>
      <w:r>
        <w:t>ure</w:t>
      </w:r>
      <w:r w:rsidRPr="004F49FC">
        <w:t xml:space="preserve"> to comply with discovery.</w:t>
      </w:r>
      <w:r w:rsidRPr="00910BB7">
        <w:rPr>
          <w:vertAlign w:val="superscript"/>
        </w:rPr>
        <w:footnoteReference w:id="1003"/>
      </w:r>
      <w:r>
        <w:t xml:space="preserve"> The Supreme Court remanded after setting out a standard to be employed when the Fifth Amendment privilege is invoked. First, quoting federal precedent, the Court acknowledged that </w:t>
      </w:r>
      <w:r w:rsidRPr="00056C0E">
        <w:t>“</w:t>
      </w:r>
      <w:r>
        <w:t>[t]</w:t>
      </w:r>
      <w:r w:rsidRPr="00056C0E">
        <w:t>o sustain the privilege, it need only be evident from the implications of the question, in the setting in which it is asked, that a responsive answer to the question or an explanation of why it cannot be answered might be dangerous because injurious disclosure could result.”</w:t>
      </w:r>
      <w:r w:rsidRPr="00910BB7">
        <w:rPr>
          <w:vertAlign w:val="superscript"/>
        </w:rPr>
        <w:footnoteReference w:id="1004"/>
      </w:r>
      <w:r>
        <w:t xml:space="preserve"> The Wyoming Supreme Court concluded that the claimant </w:t>
      </w:r>
      <w:r w:rsidRPr="00056C0E">
        <w:t xml:space="preserve">gave a reasoned explanation for invoking the privilege, considering the criminal penalties for false statements in </w:t>
      </w:r>
      <w:r>
        <w:t xml:space="preserve">the Act, </w:t>
      </w:r>
      <w:r w:rsidRPr="00056C0E">
        <w:t>reasonably believed that his responses to the Division's discovery requests could be used in a later criminal prosecution</w:t>
      </w:r>
      <w:r>
        <w:t xml:space="preserve">, and thus </w:t>
      </w:r>
      <w:r w:rsidRPr="00056C0E">
        <w:t>properly invoked his Fifth Amendment privilege.</w:t>
      </w:r>
      <w:r w:rsidRPr="00910BB7">
        <w:rPr>
          <w:vertAlign w:val="superscript"/>
        </w:rPr>
        <w:footnoteReference w:id="1005"/>
      </w:r>
      <w:r>
        <w:t xml:space="preserve"> But even assuming claimant’s invocation of the Fifth Amendment privilege was reasonably invoked, the question remained as to whether his case was nevertheless subject to dismissal as a discovery sanction (under Rule 37 of the Wyoming Rules of Civil Procedure). The Court confirmed that </w:t>
      </w:r>
      <w:r w:rsidRPr="006C7287">
        <w:t>in the face of a valid Fifth Amendment assertion</w:t>
      </w:r>
      <w:r>
        <w:t xml:space="preserve"> an </w:t>
      </w:r>
      <w:r w:rsidRPr="006C7287">
        <w:t>adjudicator must balance the right of a party to assert the privilege against any unfairness that may cause to the opposing party.</w:t>
      </w:r>
      <w:r w:rsidRPr="00910BB7">
        <w:rPr>
          <w:vertAlign w:val="superscript"/>
        </w:rPr>
        <w:footnoteReference w:id="1006"/>
      </w:r>
      <w:r>
        <w:t xml:space="preserve"> Finding that the hearing officer had not balanced the Fifth Amendment privilege against the unfairness imposed on the Division—unfairness rendering it inevitable that the case would be dismissed as a discovery sanction—the Court remanded the case for the proper balancing test to be applied.</w:t>
      </w:r>
      <w:r w:rsidRPr="00910BB7">
        <w:rPr>
          <w:vertAlign w:val="superscript"/>
        </w:rPr>
        <w:footnoteReference w:id="1007"/>
      </w:r>
      <w:r>
        <w:t xml:space="preserve"> </w:t>
      </w:r>
    </w:p>
    <w:p w14:paraId="3E65ECD9" w14:textId="673C1234" w:rsidR="00FF7482" w:rsidRDefault="00FF7482" w:rsidP="006C4967">
      <w:pPr>
        <w:pStyle w:val="LawReview-StandardBodyText"/>
        <w:spacing w:after="0" w:line="259" w:lineRule="auto"/>
      </w:pPr>
    </w:p>
    <w:p w14:paraId="77C85CFD" w14:textId="31D5573A" w:rsidR="00FF7482" w:rsidRDefault="00FF7482" w:rsidP="00CE3678">
      <w:pPr>
        <w:pStyle w:val="LawReview-StandardBodyText"/>
        <w:spacing w:after="0" w:line="259" w:lineRule="auto"/>
        <w:ind w:firstLine="0"/>
      </w:pPr>
      <w:r>
        <w:lastRenderedPageBreak/>
        <w:t xml:space="preserve">In a second case involving W.S. </w:t>
      </w:r>
      <w:r>
        <w:rPr>
          <w:rFonts w:cs="Times New Roman"/>
        </w:rPr>
        <w:t>§</w:t>
      </w:r>
      <w:r>
        <w:t xml:space="preserve"> </w:t>
      </w:r>
      <w:hyperlink r:id="rId143" w:history="1">
        <w:r w:rsidRPr="00547E10">
          <w:rPr>
            <w:rStyle w:val="Hyperlink"/>
          </w:rPr>
          <w:t>27-14-510</w:t>
        </w:r>
      </w:hyperlink>
      <w:r>
        <w:t xml:space="preserve">(a), </w:t>
      </w:r>
      <w:r w:rsidRPr="009700E1">
        <w:rPr>
          <w:i/>
          <w:iCs/>
        </w:rPr>
        <w:t>In re Arellano</w:t>
      </w:r>
      <w:r>
        <w:t>, the Wyoming Supreme Court reversed a decision of the OAH, which had applied the provision to an undocumented worker.</w:t>
      </w:r>
      <w:r w:rsidRPr="00910BB7">
        <w:rPr>
          <w:vertAlign w:val="superscript"/>
        </w:rPr>
        <w:footnoteReference w:id="1008"/>
      </w:r>
      <w:r>
        <w:t xml:space="preserve"> As the Wyoming Supreme Court stated, even assuming that the involved employee had tendered fraudulent documents to obtain employment (and there was no evidence he misrepresented the facts of his injury):</w:t>
      </w:r>
    </w:p>
    <w:p w14:paraId="226446A7" w14:textId="7BF7273E" w:rsidR="00FF7482" w:rsidRDefault="00FF7482" w:rsidP="006C4967">
      <w:pPr>
        <w:pStyle w:val="LawReview-StandardBodyText"/>
        <w:spacing w:after="0" w:line="259" w:lineRule="auto"/>
      </w:pPr>
    </w:p>
    <w:p w14:paraId="53A966AA" w14:textId="7673A10F" w:rsidR="00FF7482" w:rsidRDefault="00FF7482" w:rsidP="00653F1A">
      <w:pPr>
        <w:pStyle w:val="LawReview-StandardBodyText"/>
        <w:spacing w:after="0" w:line="259" w:lineRule="auto"/>
        <w:ind w:left="720" w:right="720" w:firstLine="0"/>
      </w:pPr>
      <w:r w:rsidRPr="005C1A24">
        <w:t>There is a distinction between making a misrepresentation or false statement in obtaining employment and doing the same to obtain benefits under the Act. As one commentator explains, “it has been held that employment which has been obtained by the making of false statements—even criminally</w:t>
      </w:r>
      <w:r>
        <w:t xml:space="preserve"> </w:t>
      </w:r>
      <w:r w:rsidRPr="005C1A24">
        <w:t>false statements—whether by a minor or an adult, is still employment; that is, the technical illegality will not of itself destroy compensation coverage.” 5 Larson, supra, § 66.04 (“False Statements at Hiring”). The majority of courts in this country are in agreement with this position, and with a few exceptions, illegal aliens are considered covered employees. Id., § 66.03.</w:t>
      </w:r>
      <w:r w:rsidRPr="00910BB7">
        <w:rPr>
          <w:vertAlign w:val="superscript"/>
        </w:rPr>
        <w:footnoteReference w:id="1009"/>
      </w:r>
    </w:p>
    <w:p w14:paraId="182A1529" w14:textId="630EF2BC" w:rsidR="00FF7482" w:rsidRDefault="00FF7482" w:rsidP="006C4967">
      <w:pPr>
        <w:pStyle w:val="LawReview-StandardBodyText"/>
        <w:spacing w:after="0" w:line="259" w:lineRule="auto"/>
      </w:pPr>
    </w:p>
    <w:p w14:paraId="4F82FFF2" w14:textId="38057B97" w:rsidR="00FF7482" w:rsidRDefault="00FF7482" w:rsidP="00CE3678">
      <w:pPr>
        <w:pStyle w:val="LawReview-StandardBodyText"/>
        <w:spacing w:after="0" w:line="259" w:lineRule="auto"/>
        <w:ind w:firstLine="0"/>
      </w:pPr>
      <w:r>
        <w:t>This Treatise covers the issue of undocumented workers in greater detail above at Section 2.3.</w:t>
      </w:r>
    </w:p>
    <w:p w14:paraId="5BEED322" w14:textId="77777777" w:rsidR="00FF7482" w:rsidRDefault="00FF7482" w:rsidP="006C4967">
      <w:pPr>
        <w:pStyle w:val="LawReview-StandardBodyText"/>
        <w:spacing w:after="0" w:line="259" w:lineRule="auto"/>
      </w:pPr>
    </w:p>
    <w:p w14:paraId="42615A1F" w14:textId="48FEBD8B" w:rsidR="00FF7482" w:rsidRDefault="00FF7482" w:rsidP="00CE3678">
      <w:pPr>
        <w:pStyle w:val="Heading2"/>
        <w:spacing w:before="0"/>
        <w:rPr>
          <w:rFonts w:ascii="Times New Roman" w:hAnsi="Times New Roman" w:cs="Times New Roman"/>
          <w:b/>
          <w:color w:val="auto"/>
          <w:sz w:val="28"/>
          <w:szCs w:val="28"/>
        </w:rPr>
      </w:pPr>
      <w:bookmarkStart w:id="1397" w:name="_Toc75269447"/>
      <w:r w:rsidRPr="00D126E6">
        <w:rPr>
          <w:rFonts w:ascii="Times New Roman" w:hAnsi="Times New Roman" w:cs="Times New Roman"/>
          <w:b/>
          <w:color w:val="auto"/>
          <w:sz w:val="28"/>
          <w:szCs w:val="28"/>
        </w:rPr>
        <w:t>Penalties and Sanctions: Employers</w:t>
      </w:r>
      <w:bookmarkEnd w:id="1397"/>
    </w:p>
    <w:p w14:paraId="09CF6775" w14:textId="737F3D74" w:rsidR="00FF7482" w:rsidRDefault="00FF7482" w:rsidP="006C4967">
      <w:pPr>
        <w:pStyle w:val="LawReview-StandardBodyText"/>
        <w:spacing w:after="0" w:line="259" w:lineRule="auto"/>
      </w:pPr>
    </w:p>
    <w:p w14:paraId="13087B5C" w14:textId="0074436D" w:rsidR="00FF7482" w:rsidRDefault="00FF7482" w:rsidP="00CE3678">
      <w:pPr>
        <w:pStyle w:val="LawReview-StandardBodyText"/>
        <w:spacing w:after="0" w:line="259" w:lineRule="auto"/>
        <w:ind w:firstLine="0"/>
      </w:pPr>
      <w:r>
        <w:t xml:space="preserve">One of the primary sanctions against employers under the Act involves </w:t>
      </w:r>
      <w:r w:rsidRPr="00A244A2">
        <w:rPr>
          <w:b/>
          <w:bCs/>
          <w:u w:val="single"/>
        </w:rPr>
        <w:t>suspension of civil legal immunity</w:t>
      </w:r>
      <w:r>
        <w:t xml:space="preserve"> in carefully described circumstances. W.S. </w:t>
      </w:r>
      <w:r>
        <w:rPr>
          <w:rFonts w:cs="Times New Roman"/>
        </w:rPr>
        <w:t>§</w:t>
      </w:r>
      <w:r>
        <w:t xml:space="preserve"> </w:t>
      </w:r>
      <w:hyperlink r:id="rId144" w:history="1">
        <w:r w:rsidRPr="00D511A2">
          <w:rPr>
            <w:rStyle w:val="Hyperlink"/>
          </w:rPr>
          <w:t>27-14-104</w:t>
        </w:r>
      </w:hyperlink>
      <w:r>
        <w:t>(c) states:</w:t>
      </w:r>
    </w:p>
    <w:p w14:paraId="736579E2" w14:textId="47712B99" w:rsidR="00FF7482" w:rsidRDefault="00FF7482" w:rsidP="006C4967">
      <w:pPr>
        <w:pStyle w:val="LawReview-StandardBodyText"/>
        <w:spacing w:after="0" w:line="259" w:lineRule="auto"/>
      </w:pPr>
      <w:r>
        <w:t xml:space="preserve"> </w:t>
      </w:r>
    </w:p>
    <w:p w14:paraId="1D0F45A7" w14:textId="37EB5701" w:rsidR="00FF7482" w:rsidRPr="00D511A2" w:rsidRDefault="00FF7482" w:rsidP="006C4967">
      <w:pPr>
        <w:pStyle w:val="LawReview-StandardBodyText"/>
        <w:spacing w:after="0" w:line="259" w:lineRule="auto"/>
        <w:ind w:left="720" w:right="720" w:firstLine="0"/>
      </w:pPr>
      <w:r w:rsidRPr="00D511A2">
        <w:rPr>
          <w:b/>
          <w:bCs/>
        </w:rPr>
        <w:t>This act does not limit or affect any right or action by any employee</w:t>
      </w:r>
      <w:r w:rsidRPr="00D511A2">
        <w:t xml:space="preserve"> and his dependents against an employer for injuries received while employed by the employer </w:t>
      </w:r>
      <w:r w:rsidRPr="00D511A2">
        <w:rPr>
          <w:b/>
          <w:bCs/>
        </w:rPr>
        <w:t>when the employer at the time of the injuries has not qualified under this act for the coverage of his eligible employees, or having qualified, has not paid the required premium on an injured employee's earnings within thirty days of the date due</w:t>
      </w:r>
      <w:r w:rsidRPr="00D511A2">
        <w:t>. When an employee's employment starts within the same month as the injury, the status of delinquency or not contributing shall not apply until after the regular payroll reporting date.</w:t>
      </w:r>
    </w:p>
    <w:p w14:paraId="2E2A387B" w14:textId="074B524A" w:rsidR="00FF7482" w:rsidRDefault="00FF7482" w:rsidP="006C4967">
      <w:pPr>
        <w:pStyle w:val="LawReview-StandardBodyText"/>
        <w:spacing w:after="0" w:line="259" w:lineRule="auto"/>
      </w:pPr>
    </w:p>
    <w:p w14:paraId="6FA0A25E" w14:textId="3B2464AD" w:rsidR="00FF7482" w:rsidRDefault="00FF7482" w:rsidP="00CE3678">
      <w:pPr>
        <w:pStyle w:val="LawReview-StandardBodyText"/>
        <w:spacing w:after="0" w:line="259" w:lineRule="auto"/>
        <w:ind w:firstLine="0"/>
      </w:pPr>
      <w:r w:rsidRPr="00D511A2">
        <w:rPr>
          <w:b/>
          <w:bCs/>
          <w:u w:val="single"/>
        </w:rPr>
        <w:t>Thus, an employer who has not qualified for coverage under the Act is subject to a tort action</w:t>
      </w:r>
      <w:r>
        <w:t>.</w:t>
      </w:r>
    </w:p>
    <w:p w14:paraId="7E370554" w14:textId="77777777" w:rsidR="00FF7482" w:rsidRDefault="00FF7482" w:rsidP="006C4967">
      <w:pPr>
        <w:pStyle w:val="LawReview-StandardBodyText"/>
        <w:spacing w:after="0" w:line="259" w:lineRule="auto"/>
      </w:pPr>
    </w:p>
    <w:p w14:paraId="0252CC8E" w14:textId="5F56205E" w:rsidR="00FF7482" w:rsidRDefault="00FF7482" w:rsidP="00CE3678">
      <w:pPr>
        <w:pStyle w:val="LawReview-StandardBodyText"/>
        <w:spacing w:after="0" w:line="259" w:lineRule="auto"/>
        <w:ind w:firstLine="0"/>
      </w:pPr>
      <w:r>
        <w:t xml:space="preserve">Under W.S. </w:t>
      </w:r>
      <w:r>
        <w:rPr>
          <w:rFonts w:cs="Times New Roman"/>
        </w:rPr>
        <w:t>§</w:t>
      </w:r>
      <w:r>
        <w:t xml:space="preserve"> </w:t>
      </w:r>
      <w:hyperlink r:id="rId145" w:history="1">
        <w:r w:rsidRPr="001B2271">
          <w:rPr>
            <w:rStyle w:val="Hyperlink"/>
          </w:rPr>
          <w:t>27-14-510</w:t>
        </w:r>
      </w:hyperlink>
      <w:r>
        <w:t xml:space="preserve">(b), an employer </w:t>
      </w:r>
      <w:r w:rsidRPr="00A244A2">
        <w:rPr>
          <w:b/>
          <w:bCs/>
          <w:u w:val="single"/>
        </w:rPr>
        <w:t>making a false statement in a payroll report</w:t>
      </w:r>
      <w:r w:rsidRPr="00A244A2">
        <w:rPr>
          <w:u w:val="single"/>
        </w:rPr>
        <w:t xml:space="preserve"> </w:t>
      </w:r>
      <w:r w:rsidRPr="00A244A2">
        <w:rPr>
          <w:b/>
          <w:bCs/>
          <w:u w:val="single"/>
        </w:rPr>
        <w:t>that results in the avoidance or reduction of the employer’s workers’ compensation premium obligation</w:t>
      </w:r>
      <w:r w:rsidRPr="00880F5A">
        <w:rPr>
          <w:b/>
          <w:bCs/>
        </w:rPr>
        <w:t xml:space="preserve"> </w:t>
      </w:r>
      <w:r>
        <w:t xml:space="preserve">is guilty of either a felony or misdemeanor depending on the magnitude of the avoided obligation. An avoided obligation of $500 or more is a felony, </w:t>
      </w:r>
      <w:bookmarkStart w:id="1398" w:name="_Hlk13739027"/>
      <w:r>
        <w:t>potentially subjecting an employer to a fine of not more than $10,000 or imprisonment of not more than 10 years, or both</w:t>
      </w:r>
      <w:bookmarkEnd w:id="1398"/>
      <w:r>
        <w:t xml:space="preserve">. An avoided obligation of less than $500 is a misdemeanor, </w:t>
      </w:r>
      <w:r w:rsidRPr="001B2271">
        <w:t>potentially subjecting an employer to a fine of not more than $</w:t>
      </w:r>
      <w:r>
        <w:t>750</w:t>
      </w:r>
      <w:r w:rsidRPr="001B2271">
        <w:t xml:space="preserve"> or imprisonment of not more than </w:t>
      </w:r>
      <w:r>
        <w:t>6</w:t>
      </w:r>
      <w:r w:rsidRPr="001B2271">
        <w:t xml:space="preserve"> months, or both</w:t>
      </w:r>
      <w:r>
        <w:t xml:space="preserve">. Under identical penalties for a variety of offenses (W.S. </w:t>
      </w:r>
      <w:r>
        <w:rPr>
          <w:rFonts w:cs="Times New Roman"/>
        </w:rPr>
        <w:t>§</w:t>
      </w:r>
      <w:r>
        <w:t xml:space="preserve"> </w:t>
      </w:r>
      <w:hyperlink r:id="rId146" w:history="1">
        <w:r w:rsidRPr="00880F5A">
          <w:rPr>
            <w:rStyle w:val="Hyperlink"/>
          </w:rPr>
          <w:t>27-14-510</w:t>
        </w:r>
      </w:hyperlink>
      <w:r>
        <w:t xml:space="preserve">(c) and (d)) employers may be similarly liable: for </w:t>
      </w:r>
      <w:r w:rsidRPr="00A244A2">
        <w:rPr>
          <w:b/>
          <w:bCs/>
          <w:u w:val="single"/>
        </w:rPr>
        <w:t>knowingly making a false statement in an injury report</w:t>
      </w:r>
      <w:r w:rsidRPr="001B2271">
        <w:t xml:space="preserve"> with the intention of denying a worker benefits due under th</w:t>
      </w:r>
      <w:r>
        <w:t>e</w:t>
      </w:r>
      <w:r w:rsidRPr="001B2271">
        <w:t xml:space="preserve"> </w:t>
      </w:r>
      <w:r>
        <w:t>A</w:t>
      </w:r>
      <w:r w:rsidRPr="001B2271">
        <w:t>ct</w:t>
      </w:r>
      <w:r>
        <w:t xml:space="preserve"> (a misdemeanor if the value of benefits is less than $500; a felony otherwise); </w:t>
      </w:r>
      <w:r w:rsidR="00A233BE">
        <w:t xml:space="preserve">or </w:t>
      </w:r>
      <w:r>
        <w:t xml:space="preserve">for </w:t>
      </w:r>
      <w:r w:rsidRPr="00A244A2">
        <w:rPr>
          <w:b/>
          <w:bCs/>
          <w:u w:val="single"/>
        </w:rPr>
        <w:t>knowingly failing to establish a workers’ compensation account or furnish a payroll report</w:t>
      </w:r>
      <w:r w:rsidRPr="00A244A2">
        <w:t xml:space="preserve"> </w:t>
      </w:r>
      <w:r>
        <w:t>required under the Act (a first conviction is a misdemeanor; subsequent convictions are felonies).</w:t>
      </w:r>
    </w:p>
    <w:p w14:paraId="7C27AE43" w14:textId="19554770" w:rsidR="00FF7482" w:rsidRDefault="00FF7482" w:rsidP="006C4967">
      <w:pPr>
        <w:pStyle w:val="LawReview-StandardBodyText"/>
        <w:spacing w:after="0" w:line="259" w:lineRule="auto"/>
      </w:pPr>
    </w:p>
    <w:p w14:paraId="77A25A58" w14:textId="6DA93968" w:rsidR="00FF7482" w:rsidRDefault="00FF7482" w:rsidP="00CE3678">
      <w:pPr>
        <w:pStyle w:val="LawReview-StandardBodyText"/>
        <w:spacing w:after="0" w:line="259" w:lineRule="auto"/>
        <w:ind w:firstLine="0"/>
      </w:pPr>
      <w:r>
        <w:t xml:space="preserve">Under W.S. </w:t>
      </w:r>
      <w:r>
        <w:rPr>
          <w:rFonts w:cs="Times New Roman"/>
        </w:rPr>
        <w:t>§</w:t>
      </w:r>
      <w:r>
        <w:t xml:space="preserve"> </w:t>
      </w:r>
      <w:hyperlink r:id="rId147" w:history="1">
        <w:r w:rsidRPr="00C815E9">
          <w:rPr>
            <w:rStyle w:val="Hyperlink"/>
          </w:rPr>
          <w:t>27-14-506</w:t>
        </w:r>
      </w:hyperlink>
      <w:r>
        <w:t xml:space="preserve">(c), an employer’s </w:t>
      </w:r>
      <w:r w:rsidRPr="00A244A2">
        <w:rPr>
          <w:b/>
          <w:bCs/>
          <w:u w:val="single"/>
        </w:rPr>
        <w:t>willful failure or gross negligence to report occurrences causing injury to any of his employees is a misdemeanor</w:t>
      </w:r>
      <w:r w:rsidRPr="00880F5A">
        <w:t xml:space="preserve">, punishable by a fine of not more than $750, imprisonment for not more than </w:t>
      </w:r>
      <w:r>
        <w:t xml:space="preserve">6 </w:t>
      </w:r>
      <w:r w:rsidRPr="00880F5A">
        <w:t>months, or both.</w:t>
      </w:r>
    </w:p>
    <w:p w14:paraId="62DD6EA7" w14:textId="63EAD7B4" w:rsidR="00FF7482" w:rsidRDefault="00FF7482" w:rsidP="006C4967">
      <w:pPr>
        <w:pStyle w:val="LawReview-StandardBodyText"/>
        <w:spacing w:after="0" w:line="259" w:lineRule="auto"/>
      </w:pPr>
    </w:p>
    <w:p w14:paraId="79EB3617" w14:textId="100C2AEB" w:rsidR="00FF7482" w:rsidRDefault="00FF7482" w:rsidP="009B6F0C">
      <w:pPr>
        <w:pStyle w:val="LawReview-StandardBodyText"/>
        <w:spacing w:after="0" w:line="259" w:lineRule="auto"/>
        <w:ind w:firstLine="0"/>
        <w:rPr>
          <w:rFonts w:cs="Times New Roman"/>
        </w:rPr>
      </w:pPr>
      <w:r>
        <w:t xml:space="preserve">As mentioned in this Treatise’s section on </w:t>
      </w:r>
      <w:r w:rsidRPr="00F41A84">
        <w:rPr>
          <w:i/>
          <w:iCs/>
        </w:rPr>
        <w:t>Extraterritoriality</w:t>
      </w:r>
      <w:r>
        <w:t xml:space="preserve">, the Wyoming Act applies to </w:t>
      </w:r>
      <w:r w:rsidRPr="00A244A2">
        <w:t>employees of nonresident employers only if the workers</w:t>
      </w:r>
      <w:r>
        <w:t>’</w:t>
      </w:r>
      <w:r w:rsidRPr="00A244A2">
        <w:t xml:space="preserve"> compensation or similar law of the nonresident employer's home state applies to all injuries and deaths occurring in that state</w:t>
      </w:r>
      <w:r>
        <w:t>;</w:t>
      </w:r>
      <w:r w:rsidRPr="00A244A2">
        <w:t xml:space="preserve"> or the nonresident employer's home state and Wyoming have an active agreement under W.S. 27-14-306(d).</w:t>
      </w:r>
      <w:r>
        <w:t xml:space="preserve"> In that event, t</w:t>
      </w:r>
      <w:r w:rsidRPr="00F41A84">
        <w:t>h</w:t>
      </w:r>
      <w:r>
        <w:t>e</w:t>
      </w:r>
      <w:r w:rsidRPr="00F41A84">
        <w:t xml:space="preserve"> </w:t>
      </w:r>
      <w:r w:rsidR="003B05CA">
        <w:t>A</w:t>
      </w:r>
      <w:r w:rsidRPr="00F41A84">
        <w:t>ct applies to all injuries and deaths occurring outside of Wyoming in employment</w:t>
      </w:r>
      <w:r>
        <w:t xml:space="preserve"> under certain specified circumstances. One of the requirements applicable to nonresident employers, under W.S. </w:t>
      </w:r>
      <w:r>
        <w:rPr>
          <w:rFonts w:cs="Times New Roman"/>
        </w:rPr>
        <w:t xml:space="preserve">§ </w:t>
      </w:r>
      <w:hyperlink r:id="rId148" w:history="1">
        <w:r w:rsidRPr="00F41A84">
          <w:rPr>
            <w:rStyle w:val="Hyperlink"/>
            <w:rFonts w:cs="Times New Roman"/>
          </w:rPr>
          <w:t>27-1-106</w:t>
        </w:r>
      </w:hyperlink>
      <w:r>
        <w:rPr>
          <w:rFonts w:cs="Times New Roman"/>
        </w:rPr>
        <w:t xml:space="preserve">, is the posting of a bond. Under W.S. § </w:t>
      </w:r>
      <w:hyperlink r:id="rId149" w:history="1">
        <w:r w:rsidRPr="001445BC">
          <w:rPr>
            <w:rStyle w:val="Hyperlink"/>
            <w:rFonts w:cs="Times New Roman"/>
          </w:rPr>
          <w:t>27-14-307</w:t>
        </w:r>
      </w:hyperlink>
      <w:r>
        <w:rPr>
          <w:rFonts w:cs="Times New Roman"/>
        </w:rPr>
        <w:t xml:space="preserve">, </w:t>
      </w:r>
      <w:r w:rsidRPr="00F41A84">
        <w:rPr>
          <w:rFonts w:cs="Times New Roman"/>
          <w:b/>
          <w:bCs/>
          <w:u w:val="single"/>
        </w:rPr>
        <w:t>“[t]he willful failure of any nonresident employer in a covered employment to give bond or other security required by this act constitutes a misdemeanor, punishable by a fine of not more than $5,000.00), imprisonment for not more than 1 year, or both</w:t>
      </w:r>
      <w:r w:rsidRPr="009B6F0C">
        <w:rPr>
          <w:rFonts w:cs="Times New Roman"/>
          <w:b/>
          <w:bCs/>
          <w:u w:val="single"/>
        </w:rPr>
        <w:t>.”</w:t>
      </w:r>
    </w:p>
    <w:p w14:paraId="0C8764A2" w14:textId="77777777" w:rsidR="00FF7482" w:rsidRDefault="00FF7482" w:rsidP="006C4967">
      <w:pPr>
        <w:pStyle w:val="LawReview-StandardBodyText"/>
        <w:spacing w:after="0" w:line="259" w:lineRule="auto"/>
      </w:pPr>
    </w:p>
    <w:p w14:paraId="32B88E4C" w14:textId="6F839266" w:rsidR="00FF7482" w:rsidRDefault="00FF7482" w:rsidP="00CE3678">
      <w:pPr>
        <w:pStyle w:val="Heading2"/>
        <w:spacing w:before="0"/>
        <w:rPr>
          <w:rFonts w:ascii="Times New Roman" w:hAnsi="Times New Roman" w:cs="Times New Roman"/>
          <w:b/>
          <w:color w:val="auto"/>
          <w:sz w:val="28"/>
          <w:szCs w:val="28"/>
        </w:rPr>
      </w:pPr>
      <w:bookmarkStart w:id="1399" w:name="_Toc75269448"/>
      <w:r w:rsidRPr="001445BC">
        <w:rPr>
          <w:rFonts w:ascii="Times New Roman" w:hAnsi="Times New Roman" w:cs="Times New Roman"/>
          <w:b/>
          <w:color w:val="auto"/>
          <w:sz w:val="28"/>
          <w:szCs w:val="28"/>
        </w:rPr>
        <w:t>Employee Anti-Retaliation Protections</w:t>
      </w:r>
      <w:bookmarkEnd w:id="1399"/>
    </w:p>
    <w:p w14:paraId="7BCF4DC1" w14:textId="402A07B1" w:rsidR="00FF7482" w:rsidRDefault="00FF7482" w:rsidP="006C4967">
      <w:pPr>
        <w:spacing w:after="0"/>
      </w:pPr>
    </w:p>
    <w:p w14:paraId="0AC852C7" w14:textId="2AB4C170" w:rsidR="00FF7482" w:rsidRDefault="00FF7482" w:rsidP="00CE3678">
      <w:pPr>
        <w:pStyle w:val="LawReview-StandardBodyText"/>
        <w:spacing w:after="0" w:line="259" w:lineRule="auto"/>
        <w:ind w:firstLine="0"/>
        <w:rPr>
          <w:rFonts w:cs="Times New Roman"/>
        </w:rPr>
      </w:pPr>
      <w:r w:rsidRPr="00920613">
        <w:rPr>
          <w:rFonts w:cs="Times New Roman"/>
        </w:rPr>
        <w:t xml:space="preserve">In </w:t>
      </w:r>
      <w:r w:rsidRPr="00920613">
        <w:rPr>
          <w:rFonts w:cs="Times New Roman"/>
          <w:i/>
          <w:iCs/>
        </w:rPr>
        <w:t>Griess v. Consolidated Freightways Corp. of Delaware</w:t>
      </w:r>
      <w:r w:rsidRPr="00920613">
        <w:rPr>
          <w:rFonts w:cs="Times New Roman"/>
        </w:rPr>
        <w:t>,</w:t>
      </w:r>
      <w:r w:rsidRPr="00910BB7">
        <w:rPr>
          <w:rFonts w:cs="Times New Roman"/>
          <w:vertAlign w:val="superscript"/>
        </w:rPr>
        <w:footnoteReference w:id="1010"/>
      </w:r>
      <w:r w:rsidRPr="00920613">
        <w:rPr>
          <w:rFonts w:cs="Times New Roman"/>
        </w:rPr>
        <w:t xml:space="preserve"> </w:t>
      </w:r>
      <w:r>
        <w:rPr>
          <w:rFonts w:cs="Times New Roman"/>
        </w:rPr>
        <w:t xml:space="preserve">the Wyoming Supreme Court held that </w:t>
      </w:r>
      <w:r w:rsidRPr="00920613">
        <w:rPr>
          <w:rFonts w:cs="Times New Roman"/>
          <w:b/>
          <w:bCs/>
        </w:rPr>
        <w:t>a person whose employment is terminated for exercising rights under the workers</w:t>
      </w:r>
      <w:r w:rsidR="00EC40F7">
        <w:rPr>
          <w:rFonts w:cs="Times New Roman"/>
          <w:b/>
          <w:bCs/>
        </w:rPr>
        <w:t>’</w:t>
      </w:r>
      <w:r w:rsidRPr="00920613">
        <w:rPr>
          <w:rFonts w:cs="Times New Roman"/>
          <w:b/>
          <w:bCs/>
        </w:rPr>
        <w:t xml:space="preserve"> compensation statutes and who is not covered by the terms of a collective bargaining agreement has a cause of action </w:t>
      </w:r>
      <w:r w:rsidRPr="00920613">
        <w:rPr>
          <w:rFonts w:cs="Times New Roman"/>
          <w:b/>
          <w:bCs/>
        </w:rPr>
        <w:lastRenderedPageBreak/>
        <w:t>in tort against the employer for damages</w:t>
      </w:r>
      <w:r w:rsidRPr="00920613">
        <w:rPr>
          <w:rFonts w:cs="Times New Roman"/>
        </w:rPr>
        <w:t>.</w:t>
      </w:r>
      <w:r>
        <w:rPr>
          <w:rFonts w:cs="Times New Roman"/>
        </w:rPr>
        <w:t xml:space="preserve"> Noting protective public policy itself embedded in, among other places, W.S. § </w:t>
      </w:r>
      <w:hyperlink r:id="rId150" w:history="1">
        <w:r w:rsidRPr="0044265A">
          <w:rPr>
            <w:rStyle w:val="Hyperlink"/>
            <w:rFonts w:cs="Times New Roman"/>
          </w:rPr>
          <w:t>27-14-104</w:t>
        </w:r>
      </w:hyperlink>
      <w:r>
        <w:rPr>
          <w:rFonts w:cs="Times New Roman"/>
        </w:rPr>
        <w:t>(b) of the Act—</w:t>
      </w:r>
      <w:r w:rsidRPr="0044265A">
        <w:rPr>
          <w:rFonts w:cs="Times New Roman"/>
        </w:rPr>
        <w:t>“No contract, rule, regulation or device shall operate to relieve an employer from any liability created by this act except as otherwise provided by this act”</w:t>
      </w:r>
      <w:r>
        <w:rPr>
          <w:rFonts w:cs="Times New Roman"/>
        </w:rPr>
        <w:t>—the Court explained the public policy rationale for allowing such an anti-retaliatory action as follows:</w:t>
      </w:r>
    </w:p>
    <w:p w14:paraId="0DD1B7DC" w14:textId="41873E4D" w:rsidR="00FF7482" w:rsidRDefault="00FF7482" w:rsidP="006C4967">
      <w:pPr>
        <w:pStyle w:val="LawReview-StandardBodyText"/>
        <w:spacing w:after="0" w:line="259" w:lineRule="auto"/>
        <w:rPr>
          <w:rFonts w:cs="Times New Roman"/>
        </w:rPr>
      </w:pPr>
    </w:p>
    <w:p w14:paraId="7C6DF679" w14:textId="281DC84A" w:rsidR="00FF7482" w:rsidRDefault="00FF7482" w:rsidP="006C4967">
      <w:pPr>
        <w:pStyle w:val="LawReview-StandardBodyText"/>
        <w:spacing w:after="0" w:line="259" w:lineRule="auto"/>
        <w:ind w:left="720" w:right="720" w:firstLine="0"/>
        <w:rPr>
          <w:rFonts w:cs="Times New Roman"/>
        </w:rPr>
      </w:pPr>
      <w:r w:rsidRPr="0044265A">
        <w:rPr>
          <w:rFonts w:cs="Times New Roman"/>
        </w:rPr>
        <w:t xml:space="preserve">While these provisions do not directly address retaliatory discharge, they do evidence </w:t>
      </w:r>
      <w:bookmarkStart w:id="1401" w:name="_Hlk13767609"/>
      <w:r w:rsidRPr="0044265A">
        <w:rPr>
          <w:rFonts w:cs="Times New Roman"/>
        </w:rPr>
        <w:t>a strong public policy favoring unfettered exercise of the right to compensation for work-related injuries through the worker's compensation system</w:t>
      </w:r>
      <w:bookmarkEnd w:id="1401"/>
      <w:r w:rsidRPr="0044265A">
        <w:rPr>
          <w:rFonts w:cs="Times New Roman"/>
        </w:rPr>
        <w:t xml:space="preserve">. If employers could penalize employees for exercising statutory rights to compensation, this public policy would be defeated. </w:t>
      </w:r>
      <w:r w:rsidRPr="0044265A">
        <w:rPr>
          <w:rFonts w:cs="Times New Roman"/>
          <w:b/>
          <w:bCs/>
        </w:rPr>
        <w:t>Fear of discharge would chill the exercise of a statutory right. Faced with a choice between receiving compensation and continuing their employment, many employees might choose the latter, thus reducing the number of claims filed. This reduction would directly affect the liability of the employer for premium payments, since under the Wyoming statutory scheme premium calculation is based in part on the number of claims paid</w:t>
      </w:r>
      <w:r w:rsidRPr="00EC40F7">
        <w:rPr>
          <w:rFonts w:cs="Times New Roman"/>
        </w:rPr>
        <w:t xml:space="preserve">. </w:t>
      </w:r>
      <w:r w:rsidRPr="0044265A">
        <w:rPr>
          <w:rFonts w:cs="Times New Roman"/>
        </w:rPr>
        <w:t>W.S. 27–14–201. Actions by an employer which are intended to discourage valid compensation claims in order to reduce the employer's liability for premiums violate the public policy expressed by W.S. 27–14–104(b), quoted above.</w:t>
      </w:r>
      <w:r w:rsidRPr="00A0443B">
        <w:rPr>
          <w:rFonts w:cs="Times New Roman"/>
          <w:vertAlign w:val="superscript"/>
        </w:rPr>
        <w:footnoteReference w:id="1011"/>
      </w:r>
    </w:p>
    <w:p w14:paraId="5152BF94" w14:textId="4C3997E9" w:rsidR="00FF7482" w:rsidRDefault="00FF7482" w:rsidP="006C4967">
      <w:pPr>
        <w:pStyle w:val="LawReview-StandardBodyText"/>
        <w:spacing w:after="0" w:line="259" w:lineRule="auto"/>
        <w:rPr>
          <w:rFonts w:cs="Times New Roman"/>
        </w:rPr>
      </w:pPr>
    </w:p>
    <w:p w14:paraId="5885A208" w14:textId="246011FC" w:rsidR="00FF7482" w:rsidRDefault="00FF7482" w:rsidP="00CE3678">
      <w:pPr>
        <w:pStyle w:val="LawReview-StandardBodyText"/>
        <w:spacing w:after="0" w:line="259" w:lineRule="auto"/>
        <w:ind w:firstLine="0"/>
        <w:rPr>
          <w:rFonts w:cs="Times New Roman"/>
        </w:rPr>
      </w:pPr>
      <w:r>
        <w:rPr>
          <w:rFonts w:cs="Times New Roman"/>
        </w:rPr>
        <w:t xml:space="preserve">The Court also noted that under Art. 19, Section 7 of the Wyoming Constitution it is unlawful for an employer to require an employee to waive personal injury liability as a condition of employment, suggesting </w:t>
      </w:r>
      <w:r w:rsidRPr="00573826">
        <w:rPr>
          <w:rFonts w:cs="Times New Roman"/>
        </w:rPr>
        <w:t>a strong public policy favoring unfettered exercise of the right to compensation for work-related injuries through the workers</w:t>
      </w:r>
      <w:r w:rsidR="00EC40F7">
        <w:rPr>
          <w:rFonts w:cs="Times New Roman"/>
        </w:rPr>
        <w:t>’</w:t>
      </w:r>
      <w:r w:rsidRPr="00573826">
        <w:rPr>
          <w:rFonts w:cs="Times New Roman"/>
        </w:rPr>
        <w:t xml:space="preserve"> compensation system</w:t>
      </w:r>
      <w:r>
        <w:rPr>
          <w:rFonts w:cs="Times New Roman"/>
        </w:rPr>
        <w:t xml:space="preserve"> (which is the only constitutionally authorized substitute for a tort remedy).</w:t>
      </w:r>
      <w:r w:rsidRPr="00A0443B">
        <w:rPr>
          <w:rFonts w:cs="Times New Roman"/>
          <w:vertAlign w:val="superscript"/>
        </w:rPr>
        <w:footnoteReference w:id="1012"/>
      </w:r>
    </w:p>
    <w:p w14:paraId="79B242B2" w14:textId="46B59F39" w:rsidR="00FF7482" w:rsidRDefault="00FF7482" w:rsidP="006C4967">
      <w:pPr>
        <w:pStyle w:val="LawReview-StandardBodyText"/>
        <w:spacing w:after="0" w:line="259" w:lineRule="auto"/>
        <w:rPr>
          <w:rFonts w:cs="Times New Roman"/>
        </w:rPr>
      </w:pPr>
    </w:p>
    <w:p w14:paraId="40AA3196" w14:textId="7148887E" w:rsidR="00FF7482" w:rsidRDefault="00FF7482" w:rsidP="00CE3678">
      <w:pPr>
        <w:pStyle w:val="LawReview-StandardBodyText"/>
        <w:spacing w:after="0" w:line="259" w:lineRule="auto"/>
        <w:ind w:firstLine="0"/>
        <w:rPr>
          <w:rFonts w:cs="Times New Roman"/>
        </w:rPr>
      </w:pPr>
      <w:r>
        <w:rPr>
          <w:rFonts w:cs="Times New Roman"/>
        </w:rPr>
        <w:t xml:space="preserve">However, once establishing the theoretical availability of a cause of action in tort for retaliatory discharge, it remained unclear for several years how such a case could be proven when the employer defended an adverse employment action by asserting a different, non-retaliatory motive. The Court clarified the burden shifting mechanism to be used in such cases in </w:t>
      </w:r>
      <w:bookmarkStart w:id="1404" w:name="_Hlk13768859"/>
      <w:r w:rsidRPr="00EC151B">
        <w:rPr>
          <w:rFonts w:cs="Times New Roman"/>
          <w:i/>
          <w:iCs/>
        </w:rPr>
        <w:t>King v. Cowboy Dodge, Inc</w:t>
      </w:r>
      <w:r>
        <w:rPr>
          <w:rFonts w:cs="Times New Roman"/>
        </w:rPr>
        <w:t>.</w:t>
      </w:r>
      <w:bookmarkEnd w:id="1404"/>
      <w:r w:rsidRPr="00A0443B">
        <w:rPr>
          <w:rFonts w:cs="Times New Roman"/>
          <w:vertAlign w:val="superscript"/>
        </w:rPr>
        <w:footnoteReference w:id="1013"/>
      </w:r>
      <w:r>
        <w:rPr>
          <w:rFonts w:cs="Times New Roman"/>
        </w:rPr>
        <w:t xml:space="preserve"> In that case, the Wyoming Supreme Court first noted that “[t]</w:t>
      </w:r>
      <w:r w:rsidRPr="00EC151B">
        <w:rPr>
          <w:rFonts w:cs="Times New Roman"/>
        </w:rPr>
        <w:t xml:space="preserve">he great majority of jurisdictions have recognized by statute or judicial decision that employees may recover in tort when they are discharged in retaliation for filing a worker's compensation </w:t>
      </w:r>
      <w:r w:rsidRPr="00EC151B">
        <w:rPr>
          <w:rFonts w:cs="Times New Roman"/>
        </w:rPr>
        <w:lastRenderedPageBreak/>
        <w:t>claim.</w:t>
      </w:r>
      <w:r>
        <w:rPr>
          <w:rFonts w:cs="Times New Roman"/>
        </w:rPr>
        <w:t>”</w:t>
      </w:r>
      <w:r w:rsidRPr="00A0443B">
        <w:rPr>
          <w:rFonts w:cs="Times New Roman"/>
          <w:vertAlign w:val="superscript"/>
        </w:rPr>
        <w:footnoteReference w:id="1014"/>
      </w:r>
      <w:r>
        <w:rPr>
          <w:rFonts w:cs="Times New Roman"/>
        </w:rPr>
        <w:t xml:space="preserve"> The Court added that </w:t>
      </w:r>
      <w:r w:rsidRPr="00EC151B">
        <w:rPr>
          <w:rFonts w:cs="Times New Roman"/>
          <w:i/>
          <w:iCs/>
        </w:rPr>
        <w:t>Griess</w:t>
      </w:r>
      <w:r>
        <w:rPr>
          <w:rFonts w:cs="Times New Roman"/>
          <w:i/>
          <w:iCs/>
        </w:rPr>
        <w:t xml:space="preserve"> </w:t>
      </w:r>
      <w:r>
        <w:rPr>
          <w:rFonts w:cs="Times New Roman"/>
        </w:rPr>
        <w:t>had not answered the question of “</w:t>
      </w:r>
      <w:r w:rsidRPr="00EC151B">
        <w:rPr>
          <w:rFonts w:cs="Times New Roman"/>
        </w:rPr>
        <w:t>what proof must there be to avoid summary judgment and allow a jury to decide if a particular discharge was in retaliation for filing a claim when the employer has not admitted a retaliatory basis for it?</w:t>
      </w:r>
      <w:r>
        <w:rPr>
          <w:rFonts w:cs="Times New Roman"/>
        </w:rPr>
        <w:t>”</w:t>
      </w:r>
      <w:r w:rsidRPr="00A0443B">
        <w:rPr>
          <w:rFonts w:cs="Times New Roman"/>
          <w:vertAlign w:val="superscript"/>
        </w:rPr>
        <w:footnoteReference w:id="1015"/>
      </w:r>
      <w:r>
        <w:rPr>
          <w:rFonts w:cs="Times New Roman"/>
        </w:rPr>
        <w:t xml:space="preserve"> The Court discussed one of its earlier decisions,</w:t>
      </w:r>
      <w:r w:rsidRPr="00A0443B">
        <w:rPr>
          <w:rFonts w:cs="Times New Roman"/>
          <w:vertAlign w:val="superscript"/>
        </w:rPr>
        <w:footnoteReference w:id="1016"/>
      </w:r>
      <w:r>
        <w:rPr>
          <w:rFonts w:cs="Times New Roman"/>
        </w:rPr>
        <w:t xml:space="preserve"> which in turn had quoted the </w:t>
      </w:r>
      <w:r w:rsidRPr="00B27191">
        <w:rPr>
          <w:rFonts w:cs="Times New Roman"/>
          <w:i/>
          <w:iCs/>
        </w:rPr>
        <w:t>Larson</w:t>
      </w:r>
      <w:r>
        <w:rPr>
          <w:rFonts w:cs="Times New Roman"/>
        </w:rPr>
        <w:t>’s treatise:</w:t>
      </w:r>
    </w:p>
    <w:p w14:paraId="75161436" w14:textId="6B12548D" w:rsidR="00FF7482" w:rsidRDefault="00FF7482" w:rsidP="006C4967">
      <w:pPr>
        <w:pStyle w:val="LawReview-StandardBodyText"/>
        <w:spacing w:after="0" w:line="259" w:lineRule="auto"/>
        <w:rPr>
          <w:rFonts w:cs="Times New Roman"/>
        </w:rPr>
      </w:pPr>
    </w:p>
    <w:p w14:paraId="394285A8" w14:textId="07C652F5" w:rsidR="00FF7482" w:rsidRPr="00EC151B" w:rsidRDefault="00FF7482" w:rsidP="006C4967">
      <w:pPr>
        <w:pStyle w:val="LawReview-StandardBodyText"/>
        <w:spacing w:after="0" w:line="259" w:lineRule="auto"/>
        <w:ind w:left="720" w:right="720" w:firstLine="0"/>
        <w:rPr>
          <w:rFonts w:cs="Times New Roman"/>
        </w:rPr>
      </w:pPr>
      <w:r w:rsidRPr="00B27191">
        <w:rPr>
          <w:rFonts w:cs="Times New Roman"/>
        </w:rPr>
        <w:t xml:space="preserve">Ordinarily the prima facie case must, in the nature of things, be shown by circumstantial evidence, since </w:t>
      </w:r>
      <w:r w:rsidRPr="00B27191">
        <w:rPr>
          <w:rFonts w:cs="Times New Roman"/>
          <w:b/>
          <w:bCs/>
        </w:rPr>
        <w:t>the employer is not apt to announce retaliation as his motive</w:t>
      </w:r>
      <w:r w:rsidRPr="00B27191">
        <w:rPr>
          <w:rFonts w:cs="Times New Roman"/>
        </w:rPr>
        <w:t xml:space="preserve">. </w:t>
      </w:r>
      <w:r w:rsidRPr="00B27191">
        <w:rPr>
          <w:rFonts w:cs="Times New Roman"/>
          <w:b/>
          <w:bCs/>
        </w:rPr>
        <w:t>Proximity in time between the claim and the firing is a typical beginning-point, coupled with evidence of satisfactory work performance and supervisory evaluations</w:t>
      </w:r>
      <w:r w:rsidRPr="00A11A37">
        <w:rPr>
          <w:rFonts w:cs="Times New Roman"/>
        </w:rPr>
        <w:t>.</w:t>
      </w:r>
      <w:r w:rsidRPr="00B27191">
        <w:rPr>
          <w:rFonts w:cs="Times New Roman"/>
          <w:b/>
          <w:bCs/>
        </w:rPr>
        <w:t xml:space="preserve"> Any evidence of an actual pattern of retaliatory conduct is, of course, very persuasive</w:t>
      </w:r>
      <w:r w:rsidRPr="00B27191">
        <w:rPr>
          <w:rFonts w:cs="Times New Roman"/>
        </w:rPr>
        <w:t>.</w:t>
      </w:r>
      <w:r w:rsidRPr="00A0443B">
        <w:rPr>
          <w:rFonts w:cs="Times New Roman"/>
          <w:vertAlign w:val="superscript"/>
        </w:rPr>
        <w:footnoteReference w:id="1017"/>
      </w:r>
    </w:p>
    <w:p w14:paraId="2775D69C" w14:textId="421C4368" w:rsidR="00FF7482" w:rsidRPr="00920613" w:rsidRDefault="00FF7482" w:rsidP="006C4967">
      <w:pPr>
        <w:pStyle w:val="LawReview-StandardBodyText"/>
        <w:spacing w:after="0" w:line="259" w:lineRule="auto"/>
        <w:rPr>
          <w:rFonts w:cs="Times New Roman"/>
        </w:rPr>
      </w:pPr>
      <w:r>
        <w:rPr>
          <w:rFonts w:cs="Times New Roman"/>
        </w:rPr>
        <w:t xml:space="preserve"> </w:t>
      </w:r>
    </w:p>
    <w:p w14:paraId="1C05E9BA" w14:textId="3AE8CB05" w:rsidR="00FF7482" w:rsidRDefault="00FF7482" w:rsidP="00CE3678">
      <w:pPr>
        <w:pStyle w:val="LawReview-StandardBodyText"/>
        <w:spacing w:after="0" w:line="259" w:lineRule="auto"/>
        <w:ind w:firstLine="0"/>
        <w:rPr>
          <w:rFonts w:cs="Times New Roman"/>
        </w:rPr>
      </w:pPr>
      <w:r w:rsidRPr="00DC4D49">
        <w:rPr>
          <w:rFonts w:cs="Times New Roman"/>
        </w:rPr>
        <w:t>In the case before the Court, the summary judgment facts were that the claimant had been fired eight days after the Division determined his injury to be compensable.</w:t>
      </w:r>
      <w:r w:rsidRPr="00A0443B">
        <w:rPr>
          <w:rFonts w:cs="Times New Roman"/>
          <w:vertAlign w:val="superscript"/>
        </w:rPr>
        <w:footnoteReference w:id="1018"/>
      </w:r>
      <w:r w:rsidRPr="00DC4D49">
        <w:rPr>
          <w:rFonts w:cs="Times New Roman"/>
        </w:rPr>
        <w:t xml:space="preserve"> At the </w:t>
      </w:r>
      <w:r>
        <w:rPr>
          <w:rFonts w:cs="Times New Roman"/>
        </w:rPr>
        <w:t xml:space="preserve">subsequent workers’ compensation </w:t>
      </w:r>
      <w:r w:rsidRPr="00DC4D49">
        <w:rPr>
          <w:rFonts w:cs="Times New Roman"/>
        </w:rPr>
        <w:t>hearing</w:t>
      </w:r>
      <w:r>
        <w:rPr>
          <w:rFonts w:cs="Times New Roman"/>
        </w:rPr>
        <w:t>:</w:t>
      </w:r>
      <w:r w:rsidRPr="00DC4D49">
        <w:rPr>
          <w:rFonts w:cs="Times New Roman"/>
        </w:rPr>
        <w:t xml:space="preserve"> </w:t>
      </w:r>
    </w:p>
    <w:p w14:paraId="6441782A" w14:textId="77777777" w:rsidR="00CE3678" w:rsidRDefault="00CE3678" w:rsidP="00CE3678">
      <w:pPr>
        <w:pStyle w:val="LawReview-StandardBodyText"/>
        <w:spacing w:after="0" w:line="259" w:lineRule="auto"/>
        <w:ind w:firstLine="0"/>
        <w:rPr>
          <w:rFonts w:cs="Times New Roman"/>
        </w:rPr>
      </w:pPr>
    </w:p>
    <w:p w14:paraId="64A800D0" w14:textId="3EABD6DF" w:rsidR="00FF7482" w:rsidRDefault="00FF7482" w:rsidP="006C4967">
      <w:pPr>
        <w:pStyle w:val="LawReview-StandardBodyText"/>
        <w:spacing w:after="0" w:line="259" w:lineRule="auto"/>
        <w:ind w:left="720" w:right="720" w:firstLine="0"/>
        <w:rPr>
          <w:rFonts w:cs="Times New Roman"/>
        </w:rPr>
      </w:pPr>
      <w:r>
        <w:rPr>
          <w:rFonts w:cs="Times New Roman"/>
        </w:rPr>
        <w:t>[T]he employer</w:t>
      </w:r>
      <w:r w:rsidRPr="00DC4D49">
        <w:rPr>
          <w:rFonts w:cs="Times New Roman"/>
        </w:rPr>
        <w:t xml:space="preserve"> presented documents critical of </w:t>
      </w:r>
      <w:r>
        <w:rPr>
          <w:rFonts w:cs="Times New Roman"/>
        </w:rPr>
        <w:t>the claimant</w:t>
      </w:r>
      <w:r w:rsidRPr="00DC4D49">
        <w:rPr>
          <w:rFonts w:cs="Times New Roman"/>
        </w:rPr>
        <w:t>'s job performance because he failed to properly match the paint on two vehicles. There was evidently tension between King and his employer concerning blend time—the time required to match paint. In the first instance, the paint did not match, and the customer insisted on taking the vehicle to another body shop to redo the work. Cowboy Dodge had to refund the money it was paid by the insurance carrier. However, Gardner knew the paint did not match when he turned the vehicle over to the customer. A disciplinary action form related to this event was dated January 7, 2011, but it was not signed by King in a block for “employee signature,” nor was there any indication that King refused to sign.</w:t>
      </w:r>
    </w:p>
    <w:p w14:paraId="14B9BB5B" w14:textId="34554310" w:rsidR="00FF7482" w:rsidRDefault="00FF7482" w:rsidP="006C4967">
      <w:pPr>
        <w:pStyle w:val="LawReview-StandardBodyText"/>
        <w:spacing w:after="0" w:line="259" w:lineRule="auto"/>
        <w:ind w:left="720" w:right="720" w:firstLine="0"/>
        <w:rPr>
          <w:rFonts w:cs="Times New Roman"/>
        </w:rPr>
      </w:pPr>
    </w:p>
    <w:p w14:paraId="65523B60" w14:textId="47A136D1" w:rsidR="00FF7482" w:rsidRDefault="00FF7482" w:rsidP="00CE3678">
      <w:pPr>
        <w:pStyle w:val="LawReview-StandardBodyText"/>
        <w:spacing w:after="0" w:line="259" w:lineRule="auto"/>
        <w:ind w:left="720" w:right="720" w:firstLine="0"/>
        <w:rPr>
          <w:rFonts w:cs="Times New Roman"/>
        </w:rPr>
      </w:pPr>
      <w:r w:rsidRPr="00DC4D49">
        <w:rPr>
          <w:rFonts w:cs="Times New Roman"/>
        </w:rPr>
        <w:t>The second vehicle also had to be repainted because the paint did not match. There is another written disciplinary action form dated February 18, 2011. In the place for “employee signature,” the words “Brian King” were printed, misspelling “Bryan.”</w:t>
      </w:r>
    </w:p>
    <w:p w14:paraId="0EC0BF34" w14:textId="77777777" w:rsidR="00FF7482" w:rsidRPr="00DC4D49" w:rsidRDefault="00FF7482" w:rsidP="006C4967">
      <w:pPr>
        <w:pStyle w:val="LawReview-StandardBodyText"/>
        <w:spacing w:after="0" w:line="259" w:lineRule="auto"/>
        <w:ind w:left="720" w:right="720"/>
        <w:rPr>
          <w:rFonts w:cs="Times New Roman"/>
        </w:rPr>
      </w:pPr>
    </w:p>
    <w:p w14:paraId="45FA8EB6" w14:textId="0A2B2879" w:rsidR="00FF7482" w:rsidRDefault="00FF7482" w:rsidP="006C4967">
      <w:pPr>
        <w:pStyle w:val="LawReview-StandardBodyText"/>
        <w:spacing w:after="0" w:line="259" w:lineRule="auto"/>
        <w:ind w:left="720" w:right="720" w:firstLine="0"/>
        <w:rPr>
          <w:rFonts w:cs="Times New Roman"/>
        </w:rPr>
      </w:pPr>
      <w:r w:rsidRPr="00DC4D49">
        <w:rPr>
          <w:rFonts w:cs="Times New Roman"/>
        </w:rPr>
        <w:lastRenderedPageBreak/>
        <w:t>Gardner claimed to have discussed these problems with King when the forms were completed. King unequivocally denied that Gardner or anyone else ever complained or counseled him about these incidents or any other aspect of his job performance, and that he had ever seen those documents before the OAH hearing. He pointed out that his name is spelled “Bryan” and not “Brian,” as it appears in the signature block on the form relating to the second paint job. Confronted with this seeming inconsistency, Gardner explained that he just needed to write the employee's name somewhere on the form to indicate whose file it was to be placed in. Why he chose to write it in the place for the employee signature rather than somewhere else on the form is not clear.</w:t>
      </w:r>
      <w:r w:rsidRPr="00A0443B">
        <w:rPr>
          <w:rFonts w:cs="Times New Roman"/>
          <w:vertAlign w:val="superscript"/>
        </w:rPr>
        <w:footnoteReference w:id="1019"/>
      </w:r>
    </w:p>
    <w:p w14:paraId="6A849879" w14:textId="7BDA3837" w:rsidR="00FF7482" w:rsidRDefault="00FF7482" w:rsidP="006C4967">
      <w:pPr>
        <w:pStyle w:val="LawReview-StandardBodyText"/>
        <w:spacing w:after="0" w:line="259" w:lineRule="auto"/>
        <w:ind w:left="720" w:right="720" w:firstLine="0"/>
        <w:rPr>
          <w:rFonts w:cs="Times New Roman"/>
        </w:rPr>
      </w:pPr>
    </w:p>
    <w:p w14:paraId="7DAB8326" w14:textId="0C2420A2" w:rsidR="00FF7482" w:rsidRDefault="00FF7482" w:rsidP="00CE3678">
      <w:pPr>
        <w:pStyle w:val="LawReview-StandardBodyText"/>
        <w:spacing w:after="0" w:line="259" w:lineRule="auto"/>
        <w:ind w:firstLine="0"/>
        <w:rPr>
          <w:rFonts w:cs="Times New Roman"/>
        </w:rPr>
      </w:pPr>
      <w:r>
        <w:rPr>
          <w:rFonts w:cs="Times New Roman"/>
        </w:rPr>
        <w:t xml:space="preserve">After surveying prior law on burden shifting, the Court quoted a burden shifting analysis drawn substantially from </w:t>
      </w:r>
      <w:r w:rsidRPr="0037423A">
        <w:rPr>
          <w:rFonts w:cs="Times New Roman"/>
          <w:i/>
          <w:iCs/>
        </w:rPr>
        <w:t>Cardwell v. American Linen Supply</w:t>
      </w:r>
      <w:r>
        <w:rPr>
          <w:rFonts w:cs="Times New Roman"/>
        </w:rPr>
        <w:t>:</w:t>
      </w:r>
      <w:r w:rsidRPr="00A0443B">
        <w:rPr>
          <w:rFonts w:cs="Times New Roman"/>
          <w:vertAlign w:val="superscript"/>
        </w:rPr>
        <w:footnoteReference w:id="1020"/>
      </w:r>
    </w:p>
    <w:p w14:paraId="782114FC" w14:textId="282EF89E" w:rsidR="00FF7482" w:rsidRDefault="00FF7482" w:rsidP="006C4967">
      <w:pPr>
        <w:pStyle w:val="LawReview-StandardBodyText"/>
        <w:spacing w:after="0" w:line="259" w:lineRule="auto"/>
        <w:rPr>
          <w:rFonts w:cs="Times New Roman"/>
        </w:rPr>
      </w:pPr>
    </w:p>
    <w:p w14:paraId="016FD0F4" w14:textId="5462A868" w:rsidR="00FF7482" w:rsidRPr="00C94B70" w:rsidRDefault="00FF7482" w:rsidP="00C94B70">
      <w:pPr>
        <w:pStyle w:val="LawReview-StandardBodyText"/>
        <w:numPr>
          <w:ilvl w:val="0"/>
          <w:numId w:val="22"/>
        </w:numPr>
        <w:spacing w:after="160" w:line="259" w:lineRule="auto"/>
        <w:ind w:right="720"/>
        <w:rPr>
          <w:rFonts w:cs="Times New Roman"/>
        </w:rPr>
      </w:pPr>
      <w:r w:rsidRPr="0037423A">
        <w:rPr>
          <w:rFonts w:cs="Times New Roman"/>
        </w:rPr>
        <w:t xml:space="preserve">The </w:t>
      </w:r>
      <w:r w:rsidRPr="0037423A">
        <w:rPr>
          <w:rFonts w:cs="Times New Roman"/>
          <w:b/>
          <w:bCs/>
        </w:rPr>
        <w:t>employee must make a prima facie case showing employment, on-the-job injury, treatment that put the employer on notice that treatment had been rendered for a work-related injury, or that the employee had instituted, or caused to be instituted, procedures under the Wyoming Worker's Compensation Act, and consequent termination of employment</w:t>
      </w:r>
      <w:r w:rsidRPr="0037423A">
        <w:rPr>
          <w:rFonts w:cs="Times New Roman"/>
        </w:rPr>
        <w:t>.</w:t>
      </w:r>
    </w:p>
    <w:p w14:paraId="6FEB1703" w14:textId="1D6D9F1F" w:rsidR="00F278F3" w:rsidRPr="00C94B70" w:rsidRDefault="00FF7482" w:rsidP="00C94B70">
      <w:pPr>
        <w:pStyle w:val="LawReview-StandardBodyText"/>
        <w:numPr>
          <w:ilvl w:val="0"/>
          <w:numId w:val="22"/>
        </w:numPr>
        <w:spacing w:after="160" w:line="259" w:lineRule="auto"/>
        <w:ind w:right="720"/>
        <w:rPr>
          <w:rFonts w:cs="Times New Roman"/>
        </w:rPr>
      </w:pPr>
      <w:r w:rsidRPr="0037423A">
        <w:rPr>
          <w:rFonts w:cs="Times New Roman"/>
          <w:b/>
          <w:bCs/>
        </w:rPr>
        <w:t>After a prima facie case is established, the burden shifts to the employer to rebut the inference that its motives were retaliatory by articulating a legitimate non-retaliatory reason. Two such reasons may include the employee's inability to perform assigned duties, or bad faith pursuit of a compensation claim</w:t>
      </w:r>
      <w:r w:rsidRPr="00A11A37">
        <w:rPr>
          <w:rFonts w:cs="Times New Roman"/>
        </w:rPr>
        <w:t>.</w:t>
      </w:r>
      <w:r w:rsidRPr="0037423A">
        <w:rPr>
          <w:rFonts w:cs="Times New Roman"/>
        </w:rPr>
        <w:t xml:space="preserve"> The employer need not persuade the court that it was actually motivated by the proffered reasons. </w:t>
      </w:r>
      <w:r w:rsidRPr="0037423A">
        <w:rPr>
          <w:rFonts w:cs="Times New Roman"/>
          <w:b/>
          <w:bCs/>
        </w:rPr>
        <w:t>The burden is one of production</w:t>
      </w:r>
      <w:r w:rsidRPr="0037423A">
        <w:rPr>
          <w:rFonts w:cs="Times New Roman"/>
        </w:rPr>
        <w:t>—the employer must raise a genuine issue of fact as to whether it retaliatorily discharged the employee.</w:t>
      </w:r>
    </w:p>
    <w:p w14:paraId="12448E1E" w14:textId="44C6FF02" w:rsidR="00FF7482" w:rsidRDefault="00FF7482" w:rsidP="00C94B70">
      <w:pPr>
        <w:pStyle w:val="LawReview-StandardBodyText"/>
        <w:numPr>
          <w:ilvl w:val="0"/>
          <w:numId w:val="22"/>
        </w:numPr>
        <w:spacing w:after="0" w:line="259" w:lineRule="auto"/>
        <w:ind w:right="720"/>
        <w:rPr>
          <w:rFonts w:cs="Times New Roman"/>
        </w:rPr>
      </w:pPr>
      <w:r w:rsidRPr="0037423A">
        <w:rPr>
          <w:rFonts w:cs="Times New Roman"/>
          <w:b/>
          <w:bCs/>
        </w:rPr>
        <w:t>The employee may then meet its ultimate burden of persuasion by proving</w:t>
      </w:r>
      <w:r w:rsidRPr="0037423A">
        <w:rPr>
          <w:rFonts w:cs="Times New Roman"/>
        </w:rPr>
        <w:t xml:space="preserve"> </w:t>
      </w:r>
      <w:r w:rsidRPr="0037423A">
        <w:rPr>
          <w:rFonts w:cs="Times New Roman"/>
          <w:b/>
          <w:bCs/>
        </w:rPr>
        <w:t>directly that the discharge was motivated by the exercise of his rights under the Act or by showing that the employer's proffered explanation is not worthy of credence, i.e., that it is a pretext</w:t>
      </w:r>
      <w:r w:rsidRPr="00A11A37">
        <w:rPr>
          <w:rFonts w:cs="Times New Roman"/>
        </w:rPr>
        <w:t>.</w:t>
      </w:r>
    </w:p>
    <w:p w14:paraId="2131CCF1" w14:textId="77777777" w:rsidR="00C94B70" w:rsidRPr="00C94B70" w:rsidRDefault="00C94B70" w:rsidP="00C94B70">
      <w:pPr>
        <w:pStyle w:val="LawReview-StandardBodyText"/>
        <w:spacing w:after="0" w:line="259" w:lineRule="auto"/>
        <w:ind w:left="1080" w:right="720" w:firstLine="0"/>
        <w:rPr>
          <w:rFonts w:cs="Times New Roman"/>
        </w:rPr>
      </w:pPr>
    </w:p>
    <w:p w14:paraId="18D8E6E3" w14:textId="61FA1D15" w:rsidR="00FF7482" w:rsidRDefault="00FF7482" w:rsidP="00C94B70">
      <w:pPr>
        <w:pStyle w:val="LawReview-StandardBodyText"/>
        <w:spacing w:after="0" w:line="259" w:lineRule="auto"/>
        <w:ind w:firstLine="0"/>
      </w:pPr>
      <w:r>
        <w:lastRenderedPageBreak/>
        <w:t xml:space="preserve">As the Court explained, the term “consequent” at step one of the </w:t>
      </w:r>
      <w:r w:rsidRPr="00C80BED">
        <w:rPr>
          <w:i/>
          <w:iCs/>
        </w:rPr>
        <w:t>Cardwell</w:t>
      </w:r>
      <w:r>
        <w:t xml:space="preserve"> analysis was in turn derived from an older Oklahoma case “</w:t>
      </w:r>
      <w:r w:rsidRPr="00C80BED">
        <w:t>to describe the required causal connection between seeking worker's compensation benefits and the termination</w:t>
      </w:r>
      <w:r>
        <w:t>.”</w:t>
      </w:r>
      <w:r w:rsidRPr="00A0443B">
        <w:rPr>
          <w:vertAlign w:val="superscript"/>
        </w:rPr>
        <w:footnoteReference w:id="1021"/>
      </w:r>
      <w:r>
        <w:t xml:space="preserve"> Ultimately, however, the Court concluded:</w:t>
      </w:r>
    </w:p>
    <w:p w14:paraId="4A382E02" w14:textId="6849E58E" w:rsidR="00FF7482" w:rsidRDefault="00FF7482" w:rsidP="006C4967">
      <w:pPr>
        <w:pStyle w:val="LawReview-StandardBodyText"/>
        <w:spacing w:after="0" w:line="259" w:lineRule="auto"/>
      </w:pPr>
    </w:p>
    <w:p w14:paraId="75F868D3" w14:textId="7B3837B4" w:rsidR="00FF7482" w:rsidRDefault="00FF7482" w:rsidP="006C4967">
      <w:pPr>
        <w:pStyle w:val="LawReview-StandardBodyText"/>
        <w:spacing w:after="0" w:line="259" w:lineRule="auto"/>
        <w:ind w:left="720" w:right="720" w:firstLine="0"/>
      </w:pPr>
      <w:r w:rsidRPr="00E4371B">
        <w:t xml:space="preserve">We believe that </w:t>
      </w:r>
      <w:r w:rsidRPr="00E4371B">
        <w:rPr>
          <w:b/>
          <w:bCs/>
          <w:u w:val="single"/>
        </w:rPr>
        <w:t>the “substantial and motivating factor” test is the appropriate one to be used in determining whether a plaintiff has proven the required causal connection between a compensation claim and discharge</w:t>
      </w:r>
      <w:r w:rsidRPr="00A11A37">
        <w:t>.</w:t>
      </w:r>
      <w:r w:rsidRPr="00E4371B">
        <w:t xml:space="preserve"> It protects workers' rights to make a compensation claim, and it recognizes that it may often be difficult to determine whether the filing of the claim was coincidental, the straw that broke the camel's back, or a motivation that led the employer to manufacture grounds for termination. These are questions that jurors, the majority of whom will either be employers or employees, are particularly well-suited to answer.</w:t>
      </w:r>
    </w:p>
    <w:p w14:paraId="36BDED7A" w14:textId="2F4C292E" w:rsidR="00FF7482" w:rsidRDefault="00FF7482" w:rsidP="006C4967">
      <w:pPr>
        <w:pStyle w:val="LawReview-StandardBodyText"/>
        <w:spacing w:after="0" w:line="259" w:lineRule="auto"/>
        <w:ind w:left="720" w:right="720" w:firstLine="0"/>
      </w:pPr>
    </w:p>
    <w:p w14:paraId="17D4849B" w14:textId="7B4CB0BF" w:rsidR="00FF7482" w:rsidRDefault="00FF7482" w:rsidP="00F278F3">
      <w:pPr>
        <w:pStyle w:val="LawReview-StandardBodyText"/>
        <w:spacing w:after="0" w:line="259" w:lineRule="auto"/>
        <w:ind w:firstLine="0"/>
      </w:pPr>
      <w:r>
        <w:t xml:space="preserve">Where this seems to leave the law is that the “substantial and motivating factor” test is inserted at step one of the former </w:t>
      </w:r>
      <w:r w:rsidRPr="00E4371B">
        <w:rPr>
          <w:i/>
          <w:iCs/>
        </w:rPr>
        <w:t>Cardell</w:t>
      </w:r>
      <w:r>
        <w:t xml:space="preserve"> factors.</w:t>
      </w:r>
      <w:r w:rsidRPr="00A0443B">
        <w:rPr>
          <w:vertAlign w:val="superscript"/>
        </w:rPr>
        <w:footnoteReference w:id="1022"/>
      </w:r>
      <w:r>
        <w:t xml:space="preserve"> As the 10</w:t>
      </w:r>
      <w:r w:rsidRPr="001F7A3B">
        <w:rPr>
          <w:vertAlign w:val="superscript"/>
        </w:rPr>
        <w:t>th</w:t>
      </w:r>
      <w:r>
        <w:t xml:space="preserve"> Circuit has noted, </w:t>
      </w:r>
      <w:r w:rsidRPr="001F7A3B">
        <w:rPr>
          <w:b/>
          <w:bCs/>
          <w:i/>
          <w:iCs/>
        </w:rPr>
        <w:t>what constitutes a substantial motivating factor evades precise definition</w:t>
      </w:r>
      <w:r>
        <w:t>, but it is evident that under such a standard</w:t>
      </w:r>
      <w:r w:rsidRPr="001F7A3B">
        <w:t xml:space="preserve"> </w:t>
      </w:r>
      <w:r w:rsidRPr="001F7A3B">
        <w:rPr>
          <w:b/>
          <w:bCs/>
        </w:rPr>
        <w:t xml:space="preserve">an employee </w:t>
      </w:r>
      <w:r w:rsidRPr="0081228B">
        <w:rPr>
          <w:b/>
          <w:bCs/>
          <w:u w:val="single"/>
        </w:rPr>
        <w:t>need not prove that protected activity is the sole reason for an adverse action</w:t>
      </w:r>
      <w:r w:rsidRPr="001F7A3B">
        <w:t>.</w:t>
      </w:r>
      <w:r w:rsidRPr="00A0443B">
        <w:rPr>
          <w:vertAlign w:val="superscript"/>
        </w:rPr>
        <w:footnoteReference w:id="1023"/>
      </w:r>
      <w:r>
        <w:t xml:space="preserve"> In </w:t>
      </w:r>
      <w:r w:rsidRPr="00A11A37">
        <w:rPr>
          <w:i/>
          <w:iCs/>
        </w:rPr>
        <w:t>King v. Cowboy Dodge</w:t>
      </w:r>
      <w:r>
        <w:t xml:space="preserve">, the Wyoming Supreme Court emphasized this point by </w:t>
      </w:r>
      <w:r w:rsidRPr="0081228B">
        <w:rPr>
          <w:b/>
          <w:bCs/>
          <w:u w:val="single"/>
        </w:rPr>
        <w:t>explicitly rejecting the U.S. Supreme Court’s “but for” causation standard recently imported into Title VII cases</w:t>
      </w:r>
      <w:r>
        <w:t>.</w:t>
      </w:r>
      <w:r w:rsidRPr="00A0443B">
        <w:rPr>
          <w:vertAlign w:val="superscript"/>
        </w:rPr>
        <w:footnoteReference w:id="1024"/>
      </w:r>
      <w:r>
        <w:t xml:space="preserve"> </w:t>
      </w:r>
    </w:p>
    <w:p w14:paraId="47CD61E0" w14:textId="2D30B720" w:rsidR="00FF7482" w:rsidRDefault="00FF7482" w:rsidP="006C4967">
      <w:pPr>
        <w:pStyle w:val="LawReview-StandardBodyText"/>
        <w:spacing w:after="0" w:line="259" w:lineRule="auto"/>
      </w:pPr>
    </w:p>
    <w:p w14:paraId="40EE1DEB" w14:textId="3C952482" w:rsidR="00FF7482" w:rsidRDefault="00FF7482" w:rsidP="00F278F3">
      <w:pPr>
        <w:pStyle w:val="LawReview-StandardBodyText"/>
        <w:spacing w:after="0" w:line="259" w:lineRule="auto"/>
        <w:ind w:firstLine="0"/>
      </w:pPr>
      <w:r>
        <w:t>One final point on the burden shifting mechanism is that s</w:t>
      </w:r>
      <w:r w:rsidRPr="0081228B">
        <w:t>ometimes employer</w:t>
      </w:r>
      <w:r>
        <w:t>s</w:t>
      </w:r>
      <w:r w:rsidRPr="0081228B">
        <w:t xml:space="preserve"> seek to defend retaliatory discharge action</w:t>
      </w:r>
      <w:r>
        <w:t>s</w:t>
      </w:r>
      <w:r w:rsidRPr="0081228B">
        <w:t xml:space="preserve"> with negative information about </w:t>
      </w:r>
      <w:r>
        <w:t>an</w:t>
      </w:r>
      <w:r w:rsidRPr="0081228B">
        <w:t xml:space="preserve"> employee that it discovered only after the employment was terminated.</w:t>
      </w:r>
      <w:r w:rsidRPr="00A0443B">
        <w:rPr>
          <w:vertAlign w:val="superscript"/>
        </w:rPr>
        <w:footnoteReference w:id="1025"/>
      </w:r>
      <w:r>
        <w:t xml:space="preserve"> The better rule in these kinds of circumstances is that </w:t>
      </w:r>
      <w:r w:rsidRPr="002A5F62">
        <w:t>after-acquired evidence may not be a total bar to a claim of wrongful termination in retaliation for the filing of a workers’ compensation claim</w:t>
      </w:r>
      <w:r>
        <w:t xml:space="preserve"> but may go </w:t>
      </w:r>
      <w:r w:rsidR="00A11A37">
        <w:t xml:space="preserve">to </w:t>
      </w:r>
      <w:r>
        <w:t>the question of damages.</w:t>
      </w:r>
      <w:r w:rsidRPr="00A0443B">
        <w:rPr>
          <w:vertAlign w:val="superscript"/>
        </w:rPr>
        <w:footnoteReference w:id="1026"/>
      </w:r>
    </w:p>
    <w:p w14:paraId="292870B9" w14:textId="0F79320A" w:rsidR="00FF7482" w:rsidRDefault="00FF7482" w:rsidP="006C4967">
      <w:pPr>
        <w:pStyle w:val="LawReview-StandardBodyText"/>
        <w:spacing w:after="0" w:line="259" w:lineRule="auto"/>
      </w:pPr>
    </w:p>
    <w:p w14:paraId="37817264" w14:textId="10D8CFA5" w:rsidR="00FF7482" w:rsidRDefault="00FF7482" w:rsidP="00F278F3">
      <w:pPr>
        <w:pStyle w:val="LawReview-StandardBodyText"/>
        <w:spacing w:after="0" w:line="259" w:lineRule="auto"/>
        <w:ind w:firstLine="0"/>
      </w:pPr>
      <w:r>
        <w:t xml:space="preserve">For purposes of the </w:t>
      </w:r>
      <w:r w:rsidRPr="00B64889">
        <w:rPr>
          <w:b/>
          <w:bCs/>
        </w:rPr>
        <w:t>evaluation of a prima facie case</w:t>
      </w:r>
      <w:r>
        <w:t>, prima facie evidence is:</w:t>
      </w:r>
    </w:p>
    <w:p w14:paraId="68A2963A" w14:textId="406A0C22" w:rsidR="00FF7482" w:rsidRDefault="00FF7482" w:rsidP="006C4967">
      <w:pPr>
        <w:pStyle w:val="LawReview-StandardBodyText"/>
        <w:spacing w:after="0" w:line="259" w:lineRule="auto"/>
      </w:pPr>
    </w:p>
    <w:p w14:paraId="3F603EC1" w14:textId="29598ED7" w:rsidR="00FF7482" w:rsidRDefault="00FF7482" w:rsidP="006C4967">
      <w:pPr>
        <w:pStyle w:val="LawReview-StandardBodyText"/>
        <w:spacing w:after="0" w:line="259" w:lineRule="auto"/>
        <w:ind w:left="720" w:right="720" w:firstLine="0"/>
      </w:pPr>
      <w:r>
        <w:t>E</w:t>
      </w:r>
      <w:r w:rsidRPr="00B64889">
        <w:t>vidence good and sufficient on its face. Such evidence as, in the judgment of the law, is sufficient to establish a given fact, or the group or chain of facts constituting the party</w:t>
      </w:r>
      <w:r>
        <w:t>’</w:t>
      </w:r>
      <w:r w:rsidRPr="00B64889">
        <w:t xml:space="preserve">s claim or defense, and </w:t>
      </w:r>
      <w:r w:rsidRPr="00B64889">
        <w:lastRenderedPageBreak/>
        <w:t>which if not rebutted or contradicted, will remain sufficient. Evidence which, if unexplained or uncontradicted, is sufficient to sustain a judgment in favor of the issue which it supports, but which may be contradicted by other evidence.</w:t>
      </w:r>
      <w:r w:rsidRPr="00A0443B">
        <w:rPr>
          <w:vertAlign w:val="superscript"/>
        </w:rPr>
        <w:footnoteReference w:id="1027"/>
      </w:r>
    </w:p>
    <w:p w14:paraId="7276442C" w14:textId="3E2239E8" w:rsidR="00FF7482" w:rsidRDefault="00FF7482" w:rsidP="006C4967">
      <w:pPr>
        <w:pStyle w:val="LawReview-StandardBodyText"/>
        <w:spacing w:after="0" w:line="259" w:lineRule="auto"/>
      </w:pPr>
    </w:p>
    <w:p w14:paraId="42143EBD" w14:textId="1F2BDCCA" w:rsidR="00FF7482" w:rsidRDefault="00FF7482" w:rsidP="00F278F3">
      <w:pPr>
        <w:pStyle w:val="LawReview-StandardBodyText"/>
        <w:spacing w:after="0" w:line="259" w:lineRule="auto"/>
        <w:ind w:firstLine="0"/>
      </w:pPr>
      <w:r>
        <w:t>At the summary judgment stage, the Wyoming Court has stated often that,</w:t>
      </w:r>
    </w:p>
    <w:p w14:paraId="70C1FB56" w14:textId="5CD3F6CB" w:rsidR="00FF7482" w:rsidRDefault="00FF7482" w:rsidP="006C4967">
      <w:pPr>
        <w:pStyle w:val="LawReview-StandardBodyText"/>
        <w:spacing w:after="0" w:line="259" w:lineRule="auto"/>
      </w:pPr>
    </w:p>
    <w:p w14:paraId="4AAFC0F5" w14:textId="6F4548B5" w:rsidR="00B26EC2" w:rsidRDefault="00FF7482" w:rsidP="006C4967">
      <w:pPr>
        <w:pStyle w:val="LawReview-StandardBodyText"/>
        <w:spacing w:after="0" w:line="259" w:lineRule="auto"/>
        <w:ind w:left="720" w:right="720" w:firstLine="0"/>
      </w:pPr>
      <w:r w:rsidRPr="00B26EC2">
        <w:t>We examine the record from the vantage point most favorable to the party opposing the motion, and we give that party the benefit of all favorable inferences that may fairly be drawn from the record. A material fact is one which, if proved, would have the effect of establishing or refuting an essential element of the cause of action or defense asserted by the parties. If the moving party presents supporting summary judgment materials demonstrating no genuine issue of material fact exists, the burden is shifted to the nonmoving party to present appropriate supporting materials posing a genuine issue of a material fact for trial</w:t>
      </w:r>
      <w:r>
        <w:t>.</w:t>
      </w:r>
      <w:r w:rsidRPr="00A0443B">
        <w:rPr>
          <w:vertAlign w:val="superscript"/>
        </w:rPr>
        <w:footnoteReference w:id="1028"/>
      </w:r>
    </w:p>
    <w:p w14:paraId="4AEECC9F" w14:textId="462CBE36" w:rsidR="00B26EC2" w:rsidRDefault="00B26EC2" w:rsidP="006C4967">
      <w:pPr>
        <w:pStyle w:val="LawReview-StandardBodyText"/>
        <w:spacing w:after="0" w:line="259" w:lineRule="auto"/>
      </w:pPr>
    </w:p>
    <w:p w14:paraId="3D89FE46" w14:textId="77777777" w:rsidR="00B26EC2" w:rsidRDefault="00B26EC2" w:rsidP="006C4967">
      <w:pPr>
        <w:pStyle w:val="LawReview-StandardBodyText"/>
        <w:spacing w:after="0" w:line="259" w:lineRule="auto"/>
      </w:pPr>
    </w:p>
    <w:p w14:paraId="0E488C0A" w14:textId="10311F99" w:rsidR="00B26EC2" w:rsidRDefault="00B26EC2" w:rsidP="006C4967">
      <w:pPr>
        <w:pStyle w:val="LawReview-StandardBodyText"/>
        <w:spacing w:after="0" w:line="259" w:lineRule="auto"/>
      </w:pPr>
    </w:p>
    <w:p w14:paraId="4795DA64" w14:textId="77777777" w:rsidR="00B26EC2" w:rsidRDefault="00B26EC2" w:rsidP="006C4967">
      <w:pPr>
        <w:pStyle w:val="LawReview-StandardBodyText"/>
        <w:spacing w:after="0" w:line="259" w:lineRule="auto"/>
      </w:pPr>
    </w:p>
    <w:p w14:paraId="1EA74BDA" w14:textId="5BFB28F5" w:rsidR="00B64889" w:rsidRDefault="00B64889" w:rsidP="00F278F3">
      <w:pPr>
        <w:rPr>
          <w:rFonts w:ascii="Times New Roman" w:hAnsi="Times New Roman"/>
          <w:sz w:val="24"/>
          <w:szCs w:val="24"/>
        </w:rPr>
      </w:pPr>
    </w:p>
    <w:p w14:paraId="4D5F1505" w14:textId="16457D7B" w:rsidR="00674CB0" w:rsidRDefault="00674CB0" w:rsidP="00F278F3">
      <w:pPr>
        <w:rPr>
          <w:rFonts w:ascii="Times New Roman" w:hAnsi="Times New Roman"/>
          <w:sz w:val="24"/>
          <w:szCs w:val="24"/>
        </w:rPr>
      </w:pPr>
    </w:p>
    <w:p w14:paraId="02EB973A" w14:textId="231540BF" w:rsidR="00674CB0" w:rsidRDefault="00674CB0" w:rsidP="00F278F3">
      <w:pPr>
        <w:rPr>
          <w:rFonts w:ascii="Times New Roman" w:hAnsi="Times New Roman"/>
          <w:sz w:val="24"/>
          <w:szCs w:val="24"/>
        </w:rPr>
      </w:pPr>
    </w:p>
    <w:p w14:paraId="0161AD78" w14:textId="1B48830D" w:rsidR="00674CB0" w:rsidRDefault="00674CB0" w:rsidP="00F278F3">
      <w:pPr>
        <w:rPr>
          <w:rFonts w:ascii="Times New Roman" w:hAnsi="Times New Roman"/>
          <w:sz w:val="24"/>
          <w:szCs w:val="24"/>
        </w:rPr>
      </w:pPr>
    </w:p>
    <w:p w14:paraId="47D854E0" w14:textId="513D01D5" w:rsidR="00674CB0" w:rsidRDefault="00674CB0" w:rsidP="00F278F3">
      <w:pPr>
        <w:rPr>
          <w:rFonts w:ascii="Times New Roman" w:hAnsi="Times New Roman"/>
          <w:sz w:val="24"/>
          <w:szCs w:val="24"/>
        </w:rPr>
      </w:pPr>
    </w:p>
    <w:p w14:paraId="2C7C327B" w14:textId="33A953F4" w:rsidR="00674CB0" w:rsidRDefault="00674CB0" w:rsidP="00F278F3">
      <w:pPr>
        <w:rPr>
          <w:rFonts w:ascii="Times New Roman" w:hAnsi="Times New Roman"/>
          <w:sz w:val="24"/>
          <w:szCs w:val="24"/>
        </w:rPr>
      </w:pPr>
    </w:p>
    <w:p w14:paraId="0206851F" w14:textId="5BA451F3" w:rsidR="00674CB0" w:rsidRDefault="00674CB0" w:rsidP="00F278F3">
      <w:pPr>
        <w:rPr>
          <w:rFonts w:ascii="Times New Roman" w:hAnsi="Times New Roman"/>
          <w:sz w:val="24"/>
          <w:szCs w:val="24"/>
        </w:rPr>
      </w:pPr>
    </w:p>
    <w:p w14:paraId="49E8C353" w14:textId="019A1E26" w:rsidR="00674CB0" w:rsidRDefault="00674CB0" w:rsidP="00F278F3">
      <w:pPr>
        <w:rPr>
          <w:rFonts w:ascii="Times New Roman" w:hAnsi="Times New Roman"/>
          <w:sz w:val="24"/>
          <w:szCs w:val="24"/>
        </w:rPr>
      </w:pPr>
    </w:p>
    <w:p w14:paraId="108346DD" w14:textId="17424276" w:rsidR="00674CB0" w:rsidRDefault="00674CB0" w:rsidP="00F278F3">
      <w:pPr>
        <w:rPr>
          <w:rFonts w:ascii="Times New Roman" w:hAnsi="Times New Roman"/>
          <w:sz w:val="24"/>
          <w:szCs w:val="24"/>
        </w:rPr>
      </w:pPr>
    </w:p>
    <w:p w14:paraId="63FC745B" w14:textId="6708B431" w:rsidR="00674CB0" w:rsidRDefault="00674CB0" w:rsidP="00F278F3">
      <w:pPr>
        <w:rPr>
          <w:rFonts w:ascii="Times New Roman" w:hAnsi="Times New Roman"/>
          <w:sz w:val="24"/>
          <w:szCs w:val="24"/>
        </w:rPr>
      </w:pPr>
    </w:p>
    <w:p w14:paraId="53F597F6" w14:textId="4F029AAA" w:rsidR="00674CB0" w:rsidRDefault="00674CB0" w:rsidP="00F278F3">
      <w:pPr>
        <w:rPr>
          <w:rFonts w:ascii="Times New Roman" w:hAnsi="Times New Roman"/>
          <w:sz w:val="24"/>
          <w:szCs w:val="24"/>
        </w:rPr>
      </w:pPr>
    </w:p>
    <w:p w14:paraId="31F4429A" w14:textId="02ABD56E" w:rsidR="000259F1" w:rsidRDefault="000259F1" w:rsidP="00F278F3">
      <w:pPr>
        <w:rPr>
          <w:rFonts w:ascii="Times New Roman" w:hAnsi="Times New Roman"/>
          <w:sz w:val="24"/>
          <w:szCs w:val="24"/>
        </w:rPr>
      </w:pPr>
    </w:p>
    <w:p w14:paraId="15279B61" w14:textId="2B80977B" w:rsidR="000259F1" w:rsidRDefault="000259F1" w:rsidP="00F278F3">
      <w:pPr>
        <w:rPr>
          <w:rFonts w:ascii="Times New Roman" w:hAnsi="Times New Roman"/>
          <w:sz w:val="24"/>
          <w:szCs w:val="24"/>
        </w:rPr>
      </w:pPr>
    </w:p>
    <w:p w14:paraId="5BE9FACD" w14:textId="77777777" w:rsidR="00177606" w:rsidRDefault="00177606" w:rsidP="00CD3276">
      <w:pPr>
        <w:pStyle w:val="Heading1"/>
        <w:spacing w:before="0" w:line="240" w:lineRule="auto"/>
        <w:contextualSpacing/>
        <w:rPr>
          <w:rFonts w:ascii="Times New Roman" w:hAnsi="Times New Roman" w:cs="Times New Roman"/>
          <w:b/>
          <w:color w:val="auto"/>
        </w:rPr>
        <w:sectPr w:rsidR="00177606" w:rsidSect="007E46A5">
          <w:footerReference w:type="default" r:id="rId151"/>
          <w:endnotePr>
            <w:numFmt w:val="decimal"/>
          </w:endnotePr>
          <w:type w:val="continuous"/>
          <w:pgSz w:w="12240" w:h="15840"/>
          <w:pgMar w:top="1440" w:right="2160" w:bottom="1440" w:left="2160" w:header="720" w:footer="720" w:gutter="0"/>
          <w:pgNumType w:start="1"/>
          <w:cols w:space="720"/>
          <w:docGrid w:linePitch="360"/>
        </w:sectPr>
      </w:pPr>
      <w:bookmarkStart w:id="1425" w:name="_Toc75269449"/>
    </w:p>
    <w:p w14:paraId="3F89865B" w14:textId="12D6F7B8" w:rsidR="00CD3276" w:rsidRDefault="00674CB0" w:rsidP="00CD3276">
      <w:pPr>
        <w:pStyle w:val="Heading1"/>
        <w:spacing w:before="0" w:line="240" w:lineRule="auto"/>
        <w:contextualSpacing/>
        <w:rPr>
          <w:rFonts w:ascii="Times New Roman" w:hAnsi="Times New Roman" w:cs="Times New Roman"/>
          <w:b/>
          <w:color w:val="auto"/>
        </w:rPr>
      </w:pPr>
      <w:r>
        <w:rPr>
          <w:rFonts w:ascii="Times New Roman" w:hAnsi="Times New Roman" w:cs="Times New Roman"/>
          <w:b/>
          <w:color w:val="auto"/>
        </w:rPr>
        <w:lastRenderedPageBreak/>
        <w:t xml:space="preserve">Appendix: </w:t>
      </w:r>
      <w:r w:rsidRPr="00674CB0">
        <w:rPr>
          <w:rFonts w:ascii="Times New Roman" w:hAnsi="Times New Roman" w:cs="Times New Roman"/>
          <w:b/>
          <w:color w:val="auto"/>
        </w:rPr>
        <w:t>Assorted Wyoming Workers’</w:t>
      </w:r>
      <w:r w:rsidR="00DC204C">
        <w:rPr>
          <w:rFonts w:ascii="Times New Roman" w:hAnsi="Times New Roman" w:cs="Times New Roman"/>
          <w:b/>
          <w:color w:val="auto"/>
        </w:rPr>
        <w:t xml:space="preserve"> </w:t>
      </w:r>
      <w:r w:rsidRPr="00674CB0">
        <w:rPr>
          <w:rFonts w:ascii="Times New Roman" w:hAnsi="Times New Roman" w:cs="Times New Roman"/>
          <w:b/>
          <w:color w:val="auto"/>
        </w:rPr>
        <w:t>Compensation Administrative Rules</w:t>
      </w:r>
      <w:bookmarkEnd w:id="1425"/>
    </w:p>
    <w:p w14:paraId="6024A2DB" w14:textId="77777777" w:rsidR="00CD3276" w:rsidRPr="00CD3276" w:rsidRDefault="00CD3276" w:rsidP="00CD3276">
      <w:pPr>
        <w:spacing w:after="0" w:line="240" w:lineRule="auto"/>
        <w:contextualSpacing/>
      </w:pPr>
    </w:p>
    <w:p w14:paraId="286C9CB2" w14:textId="0FBDCC2A" w:rsidR="00CD3276" w:rsidRPr="00472B61" w:rsidRDefault="00CD3276" w:rsidP="00CD3276">
      <w:pPr>
        <w:spacing w:after="0" w:line="240" w:lineRule="auto"/>
        <w:contextualSpacing/>
        <w:rPr>
          <w:rFonts w:ascii="Times New Roman" w:hAnsi="Times New Roman" w:cs="Times New Roman"/>
          <w:sz w:val="24"/>
          <w:szCs w:val="24"/>
        </w:rPr>
      </w:pPr>
      <w:r w:rsidRPr="00472B61">
        <w:rPr>
          <w:rFonts w:ascii="Times New Roman" w:hAnsi="Times New Roman" w:cs="Times New Roman"/>
          <w:sz w:val="24"/>
          <w:szCs w:val="24"/>
        </w:rPr>
        <w:t xml:space="preserve">For a collection of Wyoming Workers’ Compensation Administrative Rules, visit </w:t>
      </w:r>
      <w:hyperlink r:id="rId152" w:history="1">
        <w:r w:rsidR="00472B61" w:rsidRPr="00472B61">
          <w:rPr>
            <w:rStyle w:val="Hyperlink"/>
            <w:sz w:val="24"/>
            <w:szCs w:val="24"/>
          </w:rPr>
          <w:t>https://www.cali.org/sites/default/files/Wyoming%20Treatise%20Rules%20Appendix.pdf</w:t>
        </w:r>
      </w:hyperlink>
      <w:r w:rsidR="00472B61" w:rsidRPr="00472B61">
        <w:rPr>
          <w:sz w:val="24"/>
          <w:szCs w:val="24"/>
        </w:rPr>
        <w:t xml:space="preserve">. </w:t>
      </w:r>
    </w:p>
    <w:p w14:paraId="3E1B2A0D" w14:textId="77777777" w:rsidR="00674CB0" w:rsidRPr="00CD3276" w:rsidRDefault="00674CB0" w:rsidP="00CD3276">
      <w:pPr>
        <w:spacing w:after="0" w:line="240" w:lineRule="auto"/>
        <w:contextualSpacing/>
        <w:rPr>
          <w:rFonts w:ascii="Times New Roman" w:hAnsi="Times New Roman" w:cs="Times New Roman"/>
          <w:sz w:val="24"/>
          <w:szCs w:val="24"/>
        </w:rPr>
      </w:pPr>
    </w:p>
    <w:sectPr w:rsidR="00674CB0" w:rsidRPr="00CD3276" w:rsidSect="00177606">
      <w:footerReference w:type="default" r:id="rId153"/>
      <w:endnotePr>
        <w:numFmt w:val="decimal"/>
      </w:endnotePr>
      <w:pgSz w:w="12240" w:h="15840"/>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E06D9" w14:textId="77777777" w:rsidR="00E655A9" w:rsidRDefault="00E655A9" w:rsidP="00A74437">
      <w:pPr>
        <w:spacing w:after="0" w:line="240" w:lineRule="auto"/>
      </w:pPr>
      <w:r>
        <w:separator/>
      </w:r>
    </w:p>
  </w:endnote>
  <w:endnote w:type="continuationSeparator" w:id="0">
    <w:p w14:paraId="726A9966" w14:textId="77777777" w:rsidR="00E655A9" w:rsidRDefault="00E655A9" w:rsidP="00A7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037662"/>
      <w:docPartObj>
        <w:docPartGallery w:val="Page Numbers (Bottom of Page)"/>
        <w:docPartUnique/>
      </w:docPartObj>
    </w:sdtPr>
    <w:sdtEndPr>
      <w:rPr>
        <w:noProof/>
      </w:rPr>
    </w:sdtEndPr>
    <w:sdtContent>
      <w:p w14:paraId="0A5F1346" w14:textId="64F341C3" w:rsidR="00336EDF" w:rsidRDefault="00336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1895C" w14:textId="77777777" w:rsidR="00336EDF" w:rsidRDefault="00336E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996233"/>
      <w:docPartObj>
        <w:docPartGallery w:val="Page Numbers (Bottom of Page)"/>
        <w:docPartUnique/>
      </w:docPartObj>
    </w:sdtPr>
    <w:sdtEndPr>
      <w:rPr>
        <w:noProof/>
      </w:rPr>
    </w:sdtEndPr>
    <w:sdtContent>
      <w:p w14:paraId="3582768B" w14:textId="7208C1EE" w:rsidR="00B20237" w:rsidRDefault="00B20237">
        <w:pPr>
          <w:pStyle w:val="Footer"/>
          <w:jc w:val="center"/>
        </w:pPr>
        <w:r>
          <w:fldChar w:fldCharType="begin"/>
        </w:r>
        <w:r>
          <w:instrText xml:space="preserve"> PAGE   \* MERGEFORMAT </w:instrText>
        </w:r>
        <w:r>
          <w:fldChar w:fldCharType="separate"/>
        </w:r>
        <w:r w:rsidR="003016DE">
          <w:rPr>
            <w:noProof/>
          </w:rPr>
          <w:t>2</w:t>
        </w:r>
        <w:r>
          <w:rPr>
            <w:noProof/>
          </w:rPr>
          <w:fldChar w:fldCharType="end"/>
        </w:r>
      </w:p>
    </w:sdtContent>
  </w:sdt>
  <w:p w14:paraId="16461F1C" w14:textId="77777777" w:rsidR="00B20237" w:rsidRDefault="00B20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0658"/>
      <w:docPartObj>
        <w:docPartGallery w:val="Page Numbers (Bottom of Page)"/>
        <w:docPartUnique/>
      </w:docPartObj>
    </w:sdtPr>
    <w:sdtEndPr>
      <w:rPr>
        <w:noProof/>
      </w:rPr>
    </w:sdtEndPr>
    <w:sdtContent>
      <w:p w14:paraId="1E3BC0B0" w14:textId="62C6CD44" w:rsidR="00336EDF" w:rsidRDefault="00336E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23711C" w14:textId="77777777" w:rsidR="00336EDF" w:rsidRDefault="00336E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035524"/>
      <w:docPartObj>
        <w:docPartGallery w:val="Page Numbers (Bottom of Page)"/>
        <w:docPartUnique/>
      </w:docPartObj>
    </w:sdtPr>
    <w:sdtEndPr>
      <w:rPr>
        <w:noProof/>
      </w:rPr>
    </w:sdtEndPr>
    <w:sdtContent>
      <w:p w14:paraId="5B983BA6" w14:textId="77777777" w:rsidR="00177606" w:rsidRDefault="00177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5367A" w14:textId="77777777" w:rsidR="00177606" w:rsidRDefault="001776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767469"/>
      <w:docPartObj>
        <w:docPartGallery w:val="Page Numbers (Bottom of Page)"/>
        <w:docPartUnique/>
      </w:docPartObj>
    </w:sdtPr>
    <w:sdtEndPr>
      <w:rPr>
        <w:noProof/>
      </w:rPr>
    </w:sdtEndPr>
    <w:sdtContent>
      <w:p w14:paraId="1EB55D62" w14:textId="42CEBF4C" w:rsidR="00177606" w:rsidRDefault="00177606">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14:paraId="2ECC4900" w14:textId="77777777" w:rsidR="00177606" w:rsidRDefault="0017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1A71" w14:textId="77777777" w:rsidR="00E655A9" w:rsidRDefault="00E655A9" w:rsidP="00A74437">
      <w:pPr>
        <w:spacing w:after="0" w:line="240" w:lineRule="auto"/>
      </w:pPr>
      <w:r>
        <w:separator/>
      </w:r>
    </w:p>
  </w:footnote>
  <w:footnote w:type="continuationSeparator" w:id="0">
    <w:p w14:paraId="25CDB444" w14:textId="77777777" w:rsidR="00E655A9" w:rsidRDefault="00E655A9" w:rsidP="00A74437">
      <w:pPr>
        <w:spacing w:after="0" w:line="240" w:lineRule="auto"/>
      </w:pPr>
      <w:r>
        <w:continuationSeparator/>
      </w:r>
    </w:p>
  </w:footnote>
  <w:footnote w:id="1">
    <w:p w14:paraId="1F39F212" w14:textId="71768BA9" w:rsidR="00336EDF" w:rsidRPr="00666211" w:rsidRDefault="00336EDF" w:rsidP="00F438E3">
      <w:pPr>
        <w:pStyle w:val="FootnoteText"/>
        <w:jc w:val="both"/>
        <w:rPr>
          <w:rFonts w:ascii="Times New Roman" w:hAnsi="Times New Roman" w:cs="Times New Roman"/>
        </w:rPr>
      </w:pPr>
      <w:r w:rsidRPr="00863C10">
        <w:rPr>
          <w:rStyle w:val="FootnoteReference"/>
          <w:rFonts w:ascii="Times New Roman" w:hAnsi="Times New Roman" w:cs="Times New Roman"/>
        </w:rPr>
        <w:footnoteRef/>
      </w:r>
      <w:r w:rsidRPr="00863C10">
        <w:rPr>
          <w:rFonts w:ascii="Times New Roman" w:hAnsi="Times New Roman" w:cs="Times New Roman"/>
        </w:rPr>
        <w:t xml:space="preserve"> </w:t>
      </w:r>
      <w:bookmarkStart w:id="7" w:name="f1"/>
      <w:r>
        <w:rPr>
          <w:rFonts w:ascii="Times New Roman" w:hAnsi="Times New Roman" w:cs="Times New Roman"/>
        </w:rPr>
        <w:t>1 B</w:t>
      </w:r>
      <w:r w:rsidRPr="00863C10">
        <w:rPr>
          <w:rFonts w:ascii="Times New Roman" w:hAnsi="Times New Roman" w:cs="Times New Roman"/>
          <w:smallCaps/>
        </w:rPr>
        <w:t>radbury</w:t>
      </w:r>
      <w:r>
        <w:rPr>
          <w:rFonts w:ascii="Times New Roman" w:hAnsi="Times New Roman" w:cs="Times New Roman"/>
        </w:rPr>
        <w:t>’s W</w:t>
      </w:r>
      <w:r w:rsidRPr="00863C10">
        <w:rPr>
          <w:rFonts w:ascii="Times New Roman" w:hAnsi="Times New Roman" w:cs="Times New Roman"/>
          <w:smallCaps/>
        </w:rPr>
        <w:t>orkmen</w:t>
      </w:r>
      <w:r>
        <w:rPr>
          <w:rFonts w:ascii="Times New Roman" w:hAnsi="Times New Roman" w:cs="Times New Roman"/>
        </w:rPr>
        <w:t>’s C</w:t>
      </w:r>
      <w:r w:rsidRPr="00863C10">
        <w:rPr>
          <w:rFonts w:ascii="Times New Roman" w:hAnsi="Times New Roman" w:cs="Times New Roman"/>
          <w:smallCaps/>
        </w:rPr>
        <w:t>ompensation</w:t>
      </w:r>
      <w:r>
        <w:rPr>
          <w:rFonts w:ascii="Times New Roman" w:hAnsi="Times New Roman" w:cs="Times New Roman"/>
        </w:rPr>
        <w:t xml:space="preserve"> </w:t>
      </w:r>
      <w:r w:rsidRPr="00863C10">
        <w:rPr>
          <w:rFonts w:ascii="Times New Roman" w:hAnsi="Times New Roman" w:cs="Times New Roman"/>
          <w:smallCaps/>
        </w:rPr>
        <w:t>and</w:t>
      </w:r>
      <w:r>
        <w:rPr>
          <w:rFonts w:ascii="Times New Roman" w:hAnsi="Times New Roman" w:cs="Times New Roman"/>
        </w:rPr>
        <w:t xml:space="preserve"> S</w:t>
      </w:r>
      <w:r w:rsidRPr="00863C10">
        <w:rPr>
          <w:rFonts w:ascii="Times New Roman" w:hAnsi="Times New Roman" w:cs="Times New Roman"/>
          <w:smallCaps/>
        </w:rPr>
        <w:t>tate</w:t>
      </w:r>
      <w:r>
        <w:rPr>
          <w:rFonts w:ascii="Times New Roman" w:hAnsi="Times New Roman" w:cs="Times New Roman"/>
        </w:rPr>
        <w:t xml:space="preserve"> I</w:t>
      </w:r>
      <w:r w:rsidRPr="00863C10">
        <w:rPr>
          <w:rFonts w:ascii="Times New Roman" w:hAnsi="Times New Roman" w:cs="Times New Roman"/>
          <w:smallCaps/>
        </w:rPr>
        <w:t>nsurance</w:t>
      </w:r>
      <w:r>
        <w:rPr>
          <w:rFonts w:ascii="Times New Roman" w:hAnsi="Times New Roman" w:cs="Times New Roman"/>
        </w:rPr>
        <w:t xml:space="preserve"> L</w:t>
      </w:r>
      <w:r w:rsidRPr="00863C10">
        <w:rPr>
          <w:rFonts w:ascii="Times New Roman" w:hAnsi="Times New Roman" w:cs="Times New Roman"/>
          <w:smallCaps/>
        </w:rPr>
        <w:t>aw</w:t>
      </w:r>
      <w:r>
        <w:rPr>
          <w:rFonts w:ascii="Times New Roman" w:hAnsi="Times New Roman" w:cs="Times New Roman"/>
        </w:rPr>
        <w:t xml:space="preserve"> (hereinafter “B</w:t>
      </w:r>
      <w:r w:rsidRPr="00863C10">
        <w:rPr>
          <w:rFonts w:ascii="Times New Roman" w:hAnsi="Times New Roman" w:cs="Times New Roman"/>
          <w:smallCaps/>
        </w:rPr>
        <w:t>radbury</w:t>
      </w:r>
      <w:r>
        <w:rPr>
          <w:rFonts w:ascii="Times New Roman" w:hAnsi="Times New Roman" w:cs="Times New Roman"/>
        </w:rPr>
        <w:t>’s W</w:t>
      </w:r>
      <w:r w:rsidRPr="00BD56B2">
        <w:rPr>
          <w:rFonts w:ascii="Times New Roman" w:hAnsi="Times New Roman" w:cs="Times New Roman"/>
          <w:smallCaps/>
        </w:rPr>
        <w:t>orkmen</w:t>
      </w:r>
      <w:r>
        <w:rPr>
          <w:rFonts w:ascii="Times New Roman" w:hAnsi="Times New Roman" w:cs="Times New Roman"/>
        </w:rPr>
        <w:t>’</w:t>
      </w:r>
      <w:r w:rsidRPr="00F02994">
        <w:rPr>
          <w:rFonts w:ascii="Times New Roman" w:hAnsi="Times New Roman" w:cs="Times New Roman"/>
          <w:smallCaps/>
        </w:rPr>
        <w:t>s</w:t>
      </w:r>
      <w:r>
        <w:rPr>
          <w:rFonts w:ascii="Times New Roman" w:hAnsi="Times New Roman" w:cs="Times New Roman"/>
        </w:rPr>
        <w:t xml:space="preserve"> C</w:t>
      </w:r>
      <w:r w:rsidRPr="00BD56B2">
        <w:rPr>
          <w:rFonts w:ascii="Times New Roman" w:hAnsi="Times New Roman" w:cs="Times New Roman"/>
          <w:smallCaps/>
        </w:rPr>
        <w:t>ompensation</w:t>
      </w:r>
      <w:r>
        <w:rPr>
          <w:rFonts w:ascii="Times New Roman" w:hAnsi="Times New Roman" w:cs="Times New Roman"/>
          <w:smallCaps/>
        </w:rPr>
        <w:t xml:space="preserve"> I</w:t>
      </w:r>
      <w:r>
        <w:rPr>
          <w:rFonts w:ascii="Times New Roman" w:hAnsi="Times New Roman" w:cs="Times New Roman"/>
        </w:rPr>
        <w:t>”) xviii (1912)</w:t>
      </w:r>
    </w:p>
    <w:bookmarkEnd w:id="7"/>
  </w:footnote>
  <w:footnote w:id="2">
    <w:p w14:paraId="6342EB63" w14:textId="39CB89BA" w:rsidR="00336EDF" w:rsidRPr="00666211" w:rsidRDefault="00336EDF" w:rsidP="00F438E3">
      <w:pPr>
        <w:pStyle w:val="FootnoteText"/>
        <w:jc w:val="both"/>
        <w:rPr>
          <w:rFonts w:ascii="Times New Roman" w:hAnsi="Times New Roman" w:cs="Times New Roman"/>
        </w:rPr>
      </w:pPr>
      <w:r w:rsidRPr="006E5447">
        <w:rPr>
          <w:rStyle w:val="FootnoteReference"/>
          <w:rFonts w:ascii="Times New Roman" w:hAnsi="Times New Roman" w:cs="Times New Roman"/>
        </w:rPr>
        <w:footnoteRef/>
      </w:r>
      <w:r w:rsidRPr="006E5447">
        <w:rPr>
          <w:rFonts w:ascii="Times New Roman" w:hAnsi="Times New Roman" w:cs="Times New Roman"/>
        </w:rPr>
        <w:t xml:space="preserve"> </w:t>
      </w:r>
      <w:bookmarkStart w:id="8" w:name="f2"/>
      <w:bookmarkEnd w:id="8"/>
      <w:r>
        <w:rPr>
          <w:rFonts w:ascii="Times New Roman" w:hAnsi="Times New Roman" w:cs="Times New Roman"/>
        </w:rPr>
        <w:t>B</w:t>
      </w:r>
      <w:r w:rsidRPr="0006408E">
        <w:rPr>
          <w:rFonts w:ascii="Times New Roman" w:hAnsi="Times New Roman" w:cs="Times New Roman"/>
          <w:smallCaps/>
        </w:rPr>
        <w:t>ulletin</w:t>
      </w:r>
      <w:r>
        <w:rPr>
          <w:rFonts w:ascii="Times New Roman" w:hAnsi="Times New Roman" w:cs="Times New Roman"/>
        </w:rPr>
        <w:t xml:space="preserve"> </w:t>
      </w:r>
      <w:r w:rsidRPr="0006408E">
        <w:rPr>
          <w:rFonts w:ascii="Times New Roman" w:hAnsi="Times New Roman" w:cs="Times New Roman"/>
          <w:smallCaps/>
        </w:rPr>
        <w:t>of the</w:t>
      </w:r>
      <w:r>
        <w:rPr>
          <w:rFonts w:ascii="Times New Roman" w:hAnsi="Times New Roman" w:cs="Times New Roman"/>
        </w:rPr>
        <w:t xml:space="preserve"> U</w:t>
      </w:r>
      <w:r w:rsidRPr="0006408E">
        <w:rPr>
          <w:rFonts w:ascii="Times New Roman" w:hAnsi="Times New Roman" w:cs="Times New Roman"/>
          <w:smallCaps/>
        </w:rPr>
        <w:t>nited</w:t>
      </w:r>
      <w:r>
        <w:rPr>
          <w:rFonts w:ascii="Times New Roman" w:hAnsi="Times New Roman" w:cs="Times New Roman"/>
        </w:rPr>
        <w:t xml:space="preserve"> S</w:t>
      </w:r>
      <w:r w:rsidRPr="0006408E">
        <w:rPr>
          <w:rFonts w:ascii="Times New Roman" w:hAnsi="Times New Roman" w:cs="Times New Roman"/>
          <w:smallCaps/>
        </w:rPr>
        <w:t>tates</w:t>
      </w:r>
      <w:r>
        <w:rPr>
          <w:rFonts w:ascii="Times New Roman" w:hAnsi="Times New Roman" w:cs="Times New Roman"/>
        </w:rPr>
        <w:t xml:space="preserve"> B</w:t>
      </w:r>
      <w:r w:rsidRPr="0006408E">
        <w:rPr>
          <w:rFonts w:ascii="Times New Roman" w:hAnsi="Times New Roman" w:cs="Times New Roman"/>
          <w:smallCaps/>
        </w:rPr>
        <w:t>ureau</w:t>
      </w:r>
      <w:r>
        <w:rPr>
          <w:rFonts w:ascii="Times New Roman" w:hAnsi="Times New Roman" w:cs="Times New Roman"/>
        </w:rPr>
        <w:t xml:space="preserve"> </w:t>
      </w:r>
      <w:r w:rsidRPr="0006408E">
        <w:rPr>
          <w:rFonts w:ascii="Times New Roman" w:hAnsi="Times New Roman" w:cs="Times New Roman"/>
          <w:smallCaps/>
        </w:rPr>
        <w:t>of</w:t>
      </w:r>
      <w:r>
        <w:rPr>
          <w:rFonts w:ascii="Times New Roman" w:hAnsi="Times New Roman" w:cs="Times New Roman"/>
        </w:rPr>
        <w:t xml:space="preserve"> L</w:t>
      </w:r>
      <w:r w:rsidRPr="0006408E">
        <w:rPr>
          <w:rFonts w:ascii="Times New Roman" w:hAnsi="Times New Roman" w:cs="Times New Roman"/>
          <w:smallCaps/>
        </w:rPr>
        <w:t>abor</w:t>
      </w:r>
      <w:r>
        <w:rPr>
          <w:rFonts w:ascii="Times New Roman" w:hAnsi="Times New Roman" w:cs="Times New Roman"/>
        </w:rPr>
        <w:t xml:space="preserve"> S</w:t>
      </w:r>
      <w:r w:rsidRPr="0006408E">
        <w:rPr>
          <w:rFonts w:ascii="Times New Roman" w:hAnsi="Times New Roman" w:cs="Times New Roman"/>
          <w:smallCaps/>
        </w:rPr>
        <w:t>tatistics</w:t>
      </w:r>
      <w:r>
        <w:rPr>
          <w:rFonts w:ascii="Times New Roman" w:hAnsi="Times New Roman" w:cs="Times New Roman"/>
        </w:rPr>
        <w:t>, W</w:t>
      </w:r>
      <w:r w:rsidRPr="0006408E">
        <w:rPr>
          <w:rFonts w:ascii="Times New Roman" w:hAnsi="Times New Roman" w:cs="Times New Roman"/>
          <w:smallCaps/>
        </w:rPr>
        <w:t>orkmen</w:t>
      </w:r>
      <w:r>
        <w:rPr>
          <w:rFonts w:ascii="Times New Roman" w:hAnsi="Times New Roman" w:cs="Times New Roman"/>
        </w:rPr>
        <w:t>’s C</w:t>
      </w:r>
      <w:r w:rsidRPr="0006408E">
        <w:rPr>
          <w:rFonts w:ascii="Times New Roman" w:hAnsi="Times New Roman" w:cs="Times New Roman"/>
          <w:smallCaps/>
        </w:rPr>
        <w:t>ompensation</w:t>
      </w:r>
      <w:r>
        <w:rPr>
          <w:rFonts w:ascii="Times New Roman" w:hAnsi="Times New Roman" w:cs="Times New Roman"/>
        </w:rPr>
        <w:t xml:space="preserve"> L</w:t>
      </w:r>
      <w:r w:rsidRPr="0006408E">
        <w:rPr>
          <w:rFonts w:ascii="Times New Roman" w:hAnsi="Times New Roman" w:cs="Times New Roman"/>
          <w:smallCaps/>
        </w:rPr>
        <w:t>aws</w:t>
      </w:r>
      <w:r>
        <w:rPr>
          <w:rFonts w:ascii="Times New Roman" w:hAnsi="Times New Roman" w:cs="Times New Roman"/>
        </w:rPr>
        <w:t xml:space="preserve"> </w:t>
      </w:r>
      <w:r w:rsidRPr="0006408E">
        <w:rPr>
          <w:rFonts w:ascii="Times New Roman" w:hAnsi="Times New Roman" w:cs="Times New Roman"/>
          <w:smallCaps/>
        </w:rPr>
        <w:t xml:space="preserve">of the </w:t>
      </w:r>
      <w:r>
        <w:rPr>
          <w:rFonts w:ascii="Times New Roman" w:hAnsi="Times New Roman" w:cs="Times New Roman"/>
        </w:rPr>
        <w:t>U</w:t>
      </w:r>
      <w:r w:rsidRPr="0006408E">
        <w:rPr>
          <w:rFonts w:ascii="Times New Roman" w:hAnsi="Times New Roman" w:cs="Times New Roman"/>
          <w:smallCaps/>
        </w:rPr>
        <w:t>nited</w:t>
      </w:r>
      <w:r>
        <w:rPr>
          <w:rFonts w:ascii="Times New Roman" w:hAnsi="Times New Roman" w:cs="Times New Roman"/>
        </w:rPr>
        <w:t xml:space="preserve"> S</w:t>
      </w:r>
      <w:r w:rsidRPr="0006408E">
        <w:rPr>
          <w:rFonts w:ascii="Times New Roman" w:hAnsi="Times New Roman" w:cs="Times New Roman"/>
          <w:smallCaps/>
        </w:rPr>
        <w:t>tates</w:t>
      </w:r>
      <w:r>
        <w:rPr>
          <w:rFonts w:ascii="Times New Roman" w:hAnsi="Times New Roman" w:cs="Times New Roman"/>
        </w:rPr>
        <w:t xml:space="preserve"> </w:t>
      </w:r>
      <w:r w:rsidRPr="0006408E">
        <w:rPr>
          <w:rFonts w:ascii="Times New Roman" w:hAnsi="Times New Roman" w:cs="Times New Roman"/>
          <w:smallCaps/>
        </w:rPr>
        <w:t>and</w:t>
      </w:r>
      <w:r>
        <w:rPr>
          <w:rFonts w:ascii="Times New Roman" w:hAnsi="Times New Roman" w:cs="Times New Roman"/>
        </w:rPr>
        <w:t xml:space="preserve"> F</w:t>
      </w:r>
      <w:r w:rsidRPr="0006408E">
        <w:rPr>
          <w:rFonts w:ascii="Times New Roman" w:hAnsi="Times New Roman" w:cs="Times New Roman"/>
          <w:smallCaps/>
        </w:rPr>
        <w:t>oreign</w:t>
      </w:r>
      <w:r>
        <w:rPr>
          <w:rFonts w:ascii="Times New Roman" w:hAnsi="Times New Roman" w:cs="Times New Roman"/>
        </w:rPr>
        <w:t xml:space="preserve"> C</w:t>
      </w:r>
      <w:r w:rsidRPr="0006408E">
        <w:rPr>
          <w:rFonts w:ascii="Times New Roman" w:hAnsi="Times New Roman" w:cs="Times New Roman"/>
          <w:smallCaps/>
        </w:rPr>
        <w:t>ountries</w:t>
      </w:r>
      <w:r>
        <w:rPr>
          <w:rFonts w:ascii="Times New Roman" w:hAnsi="Times New Roman" w:cs="Times New Roman"/>
        </w:rPr>
        <w:t>, No. 203, 9 (1917) (hereinafter BLS B</w:t>
      </w:r>
      <w:r w:rsidRPr="00F02994">
        <w:rPr>
          <w:rFonts w:ascii="Times New Roman" w:hAnsi="Times New Roman" w:cs="Times New Roman"/>
          <w:smallCaps/>
        </w:rPr>
        <w:t>ulletin</w:t>
      </w:r>
      <w:r>
        <w:rPr>
          <w:rFonts w:ascii="Times New Roman" w:hAnsi="Times New Roman" w:cs="Times New Roman"/>
        </w:rPr>
        <w:t xml:space="preserve"> No. 203)</w:t>
      </w:r>
    </w:p>
  </w:footnote>
  <w:footnote w:id="3">
    <w:p w14:paraId="1AADF5FC" w14:textId="699B5B60" w:rsidR="00336EDF" w:rsidRPr="00666211" w:rsidRDefault="00336EDF" w:rsidP="00974B86">
      <w:pPr>
        <w:pStyle w:val="FootnoteText"/>
        <w:jc w:val="both"/>
        <w:rPr>
          <w:rFonts w:ascii="Times New Roman" w:hAnsi="Times New Roman" w:cs="Times New Roman"/>
        </w:rPr>
      </w:pPr>
      <w:r w:rsidRPr="00BD56B2">
        <w:rPr>
          <w:rStyle w:val="FootnoteReference"/>
          <w:rFonts w:ascii="Times New Roman" w:hAnsi="Times New Roman" w:cs="Times New Roman"/>
        </w:rPr>
        <w:footnoteRef/>
      </w:r>
      <w:r w:rsidRPr="00BD56B2">
        <w:rPr>
          <w:rFonts w:ascii="Times New Roman" w:hAnsi="Times New Roman" w:cs="Times New Roman"/>
        </w:rPr>
        <w:t xml:space="preserve"> </w:t>
      </w:r>
      <w:bookmarkStart w:id="9" w:name="f3"/>
      <w:bookmarkEnd w:id="9"/>
      <w:r w:rsidRPr="00BD56B2">
        <w:rPr>
          <w:rFonts w:ascii="Times New Roman" w:hAnsi="Times New Roman" w:cs="Times New Roman"/>
        </w:rPr>
        <w:t>B</w:t>
      </w:r>
      <w:r w:rsidRPr="00BD56B2">
        <w:rPr>
          <w:rFonts w:ascii="Times New Roman" w:hAnsi="Times New Roman" w:cs="Times New Roman"/>
          <w:smallCaps/>
        </w:rPr>
        <w:t>radbury</w:t>
      </w:r>
      <w:r w:rsidRPr="00BD56B2">
        <w:rPr>
          <w:rFonts w:ascii="Times New Roman" w:hAnsi="Times New Roman" w:cs="Times New Roman"/>
        </w:rPr>
        <w:t>’s W</w:t>
      </w:r>
      <w:r w:rsidRPr="00BD56B2">
        <w:rPr>
          <w:rFonts w:ascii="Times New Roman" w:hAnsi="Times New Roman" w:cs="Times New Roman"/>
          <w:smallCaps/>
        </w:rPr>
        <w:t>orkmen</w:t>
      </w:r>
      <w:r w:rsidRPr="00BD56B2">
        <w:rPr>
          <w:rFonts w:ascii="Times New Roman" w:hAnsi="Times New Roman" w:cs="Times New Roman"/>
        </w:rPr>
        <w:t>’s C</w:t>
      </w:r>
      <w:r w:rsidRPr="00BD56B2">
        <w:rPr>
          <w:rFonts w:ascii="Times New Roman" w:hAnsi="Times New Roman" w:cs="Times New Roman"/>
          <w:smallCaps/>
        </w:rPr>
        <w:t>ompensation</w:t>
      </w:r>
      <w:r w:rsidRPr="00BD56B2">
        <w:rPr>
          <w:rFonts w:ascii="Times New Roman" w:hAnsi="Times New Roman" w:cs="Times New Roman"/>
        </w:rPr>
        <w:t xml:space="preserve"> I at xvii-xxii</w:t>
      </w:r>
    </w:p>
  </w:footnote>
  <w:footnote w:id="4">
    <w:p w14:paraId="391B285A" w14:textId="782DAFE7" w:rsidR="00336EDF" w:rsidRPr="00666211" w:rsidRDefault="00336EDF" w:rsidP="00F438E3">
      <w:pPr>
        <w:pStyle w:val="FootnoteText"/>
        <w:jc w:val="both"/>
        <w:rPr>
          <w:rFonts w:ascii="Times New Roman" w:hAnsi="Times New Roman" w:cs="Times New Roman"/>
        </w:rPr>
      </w:pPr>
      <w:r w:rsidRPr="00832E66">
        <w:rPr>
          <w:rStyle w:val="FootnoteReference"/>
          <w:rFonts w:ascii="Times New Roman" w:hAnsi="Times New Roman" w:cs="Times New Roman"/>
        </w:rPr>
        <w:footnoteRef/>
      </w:r>
      <w:r w:rsidRPr="00832E66">
        <w:rPr>
          <w:rFonts w:ascii="Times New Roman" w:hAnsi="Times New Roman" w:cs="Times New Roman"/>
        </w:rPr>
        <w:t xml:space="preserve"> </w:t>
      </w:r>
      <w:bookmarkStart w:id="10" w:name="f4"/>
      <w:bookmarkEnd w:id="10"/>
      <w:r w:rsidRPr="00832E66">
        <w:rPr>
          <w:rFonts w:ascii="Times New Roman" w:hAnsi="Times New Roman" w:cs="Times New Roman"/>
        </w:rPr>
        <w:t xml:space="preserve">For a history of that law in the United Kingdom </w:t>
      </w:r>
      <w:r w:rsidRPr="00832E66">
        <w:rPr>
          <w:rFonts w:ascii="Times New Roman" w:hAnsi="Times New Roman" w:cs="Times New Roman"/>
          <w:i/>
        </w:rPr>
        <w:t>see</w:t>
      </w:r>
      <w:r w:rsidRPr="00832E66">
        <w:rPr>
          <w:rFonts w:ascii="Times New Roman" w:hAnsi="Times New Roman" w:cs="Times New Roman"/>
        </w:rPr>
        <w:t xml:space="preserve"> </w:t>
      </w:r>
      <w:r>
        <w:rPr>
          <w:rFonts w:ascii="Times New Roman" w:hAnsi="Times New Roman" w:cs="Times New Roman"/>
        </w:rPr>
        <w:t>D</w:t>
      </w:r>
      <w:r w:rsidRPr="00832E66">
        <w:rPr>
          <w:rFonts w:ascii="Times New Roman" w:hAnsi="Times New Roman" w:cs="Times New Roman"/>
          <w:smallCaps/>
        </w:rPr>
        <w:t>avid</w:t>
      </w:r>
      <w:r>
        <w:rPr>
          <w:rFonts w:ascii="Times New Roman" w:hAnsi="Times New Roman" w:cs="Times New Roman"/>
        </w:rPr>
        <w:t xml:space="preserve"> G. H</w:t>
      </w:r>
      <w:r w:rsidRPr="00832E66">
        <w:rPr>
          <w:rFonts w:ascii="Times New Roman" w:hAnsi="Times New Roman" w:cs="Times New Roman"/>
          <w:smallCaps/>
        </w:rPr>
        <w:t>anes</w:t>
      </w:r>
      <w:r>
        <w:rPr>
          <w:rFonts w:ascii="Times New Roman" w:hAnsi="Times New Roman" w:cs="Times New Roman"/>
        </w:rPr>
        <w:t>, T</w:t>
      </w:r>
      <w:r w:rsidRPr="00832E66">
        <w:rPr>
          <w:rFonts w:ascii="Times New Roman" w:hAnsi="Times New Roman" w:cs="Times New Roman"/>
          <w:smallCaps/>
        </w:rPr>
        <w:t>he</w:t>
      </w:r>
      <w:r>
        <w:rPr>
          <w:rFonts w:ascii="Times New Roman" w:hAnsi="Times New Roman" w:cs="Times New Roman"/>
        </w:rPr>
        <w:t xml:space="preserve"> F</w:t>
      </w:r>
      <w:r w:rsidRPr="00832E66">
        <w:rPr>
          <w:rFonts w:ascii="Times New Roman" w:hAnsi="Times New Roman" w:cs="Times New Roman"/>
          <w:smallCaps/>
        </w:rPr>
        <w:t>irst</w:t>
      </w:r>
      <w:r>
        <w:rPr>
          <w:rFonts w:ascii="Times New Roman" w:hAnsi="Times New Roman" w:cs="Times New Roman"/>
        </w:rPr>
        <w:t xml:space="preserve"> B</w:t>
      </w:r>
      <w:r w:rsidRPr="00832E66">
        <w:rPr>
          <w:rFonts w:ascii="Times New Roman" w:hAnsi="Times New Roman" w:cs="Times New Roman"/>
          <w:smallCaps/>
        </w:rPr>
        <w:t>ritish</w:t>
      </w:r>
      <w:r>
        <w:rPr>
          <w:rFonts w:ascii="Times New Roman" w:hAnsi="Times New Roman" w:cs="Times New Roman"/>
        </w:rPr>
        <w:t xml:space="preserve"> W</w:t>
      </w:r>
      <w:r w:rsidRPr="00832E66">
        <w:rPr>
          <w:rFonts w:ascii="Times New Roman" w:hAnsi="Times New Roman" w:cs="Times New Roman"/>
          <w:smallCaps/>
        </w:rPr>
        <w:t>orkmen’s</w:t>
      </w:r>
      <w:r>
        <w:rPr>
          <w:rFonts w:ascii="Times New Roman" w:hAnsi="Times New Roman" w:cs="Times New Roman"/>
        </w:rPr>
        <w:t xml:space="preserve"> C</w:t>
      </w:r>
      <w:r w:rsidRPr="00832E66">
        <w:rPr>
          <w:rFonts w:ascii="Times New Roman" w:hAnsi="Times New Roman" w:cs="Times New Roman"/>
          <w:smallCaps/>
        </w:rPr>
        <w:t xml:space="preserve">ompensation </w:t>
      </w:r>
      <w:r>
        <w:rPr>
          <w:rFonts w:ascii="Times New Roman" w:hAnsi="Times New Roman" w:cs="Times New Roman"/>
        </w:rPr>
        <w:t>A</w:t>
      </w:r>
      <w:r w:rsidRPr="00832E66">
        <w:rPr>
          <w:rFonts w:ascii="Times New Roman" w:hAnsi="Times New Roman" w:cs="Times New Roman"/>
          <w:smallCaps/>
        </w:rPr>
        <w:t>ct</w:t>
      </w:r>
      <w:r>
        <w:rPr>
          <w:rFonts w:ascii="Times New Roman" w:hAnsi="Times New Roman" w:cs="Times New Roman"/>
        </w:rPr>
        <w:t>, 1897 (Yale University Press 1968);  P. W. J. B</w:t>
      </w:r>
      <w:r w:rsidRPr="00F438E3">
        <w:rPr>
          <w:rFonts w:ascii="Times New Roman" w:hAnsi="Times New Roman" w:cs="Times New Roman"/>
          <w:smallCaps/>
        </w:rPr>
        <w:t>artrip</w:t>
      </w:r>
      <w:r>
        <w:rPr>
          <w:rFonts w:ascii="Times New Roman" w:hAnsi="Times New Roman" w:cs="Times New Roman"/>
        </w:rPr>
        <w:t xml:space="preserve"> </w:t>
      </w:r>
      <w:r w:rsidRPr="00F438E3">
        <w:rPr>
          <w:rFonts w:ascii="Times New Roman" w:hAnsi="Times New Roman" w:cs="Times New Roman"/>
          <w:smallCaps/>
        </w:rPr>
        <w:t>and</w:t>
      </w:r>
      <w:r>
        <w:rPr>
          <w:rFonts w:ascii="Times New Roman" w:hAnsi="Times New Roman" w:cs="Times New Roman"/>
        </w:rPr>
        <w:t xml:space="preserve"> S. B. B</w:t>
      </w:r>
      <w:r w:rsidRPr="00F438E3">
        <w:rPr>
          <w:rFonts w:ascii="Times New Roman" w:hAnsi="Times New Roman" w:cs="Times New Roman"/>
          <w:smallCaps/>
        </w:rPr>
        <w:t>urman</w:t>
      </w:r>
      <w:r>
        <w:rPr>
          <w:rFonts w:ascii="Times New Roman" w:hAnsi="Times New Roman" w:cs="Times New Roman"/>
        </w:rPr>
        <w:t>, T</w:t>
      </w:r>
      <w:r w:rsidRPr="00F438E3">
        <w:rPr>
          <w:rFonts w:ascii="Times New Roman" w:hAnsi="Times New Roman" w:cs="Times New Roman"/>
          <w:smallCaps/>
        </w:rPr>
        <w:t>he</w:t>
      </w:r>
      <w:r>
        <w:rPr>
          <w:rFonts w:ascii="Times New Roman" w:hAnsi="Times New Roman" w:cs="Times New Roman"/>
        </w:rPr>
        <w:t xml:space="preserve"> W</w:t>
      </w:r>
      <w:r w:rsidRPr="00F438E3">
        <w:rPr>
          <w:rFonts w:ascii="Times New Roman" w:hAnsi="Times New Roman" w:cs="Times New Roman"/>
          <w:smallCaps/>
        </w:rPr>
        <w:t xml:space="preserve">ounded </w:t>
      </w:r>
      <w:r>
        <w:rPr>
          <w:rFonts w:ascii="Times New Roman" w:hAnsi="Times New Roman" w:cs="Times New Roman"/>
        </w:rPr>
        <w:t>S</w:t>
      </w:r>
      <w:r w:rsidRPr="00F438E3">
        <w:rPr>
          <w:rFonts w:ascii="Times New Roman" w:hAnsi="Times New Roman" w:cs="Times New Roman"/>
          <w:smallCaps/>
        </w:rPr>
        <w:t>oldiers</w:t>
      </w:r>
      <w:r>
        <w:rPr>
          <w:rFonts w:ascii="Times New Roman" w:hAnsi="Times New Roman" w:cs="Times New Roman"/>
        </w:rPr>
        <w:t xml:space="preserve"> </w:t>
      </w:r>
      <w:r w:rsidRPr="00F438E3">
        <w:rPr>
          <w:rFonts w:ascii="Times New Roman" w:hAnsi="Times New Roman" w:cs="Times New Roman"/>
          <w:smallCaps/>
        </w:rPr>
        <w:t>of</w:t>
      </w:r>
      <w:r>
        <w:rPr>
          <w:rFonts w:ascii="Times New Roman" w:hAnsi="Times New Roman" w:cs="Times New Roman"/>
        </w:rPr>
        <w:t xml:space="preserve"> I</w:t>
      </w:r>
      <w:r w:rsidRPr="00F438E3">
        <w:rPr>
          <w:rFonts w:ascii="Times New Roman" w:hAnsi="Times New Roman" w:cs="Times New Roman"/>
          <w:smallCaps/>
        </w:rPr>
        <w:t>ndustry</w:t>
      </w:r>
      <w:r>
        <w:rPr>
          <w:rFonts w:ascii="Times New Roman" w:hAnsi="Times New Roman" w:cs="Times New Roman"/>
        </w:rPr>
        <w:t>, I</w:t>
      </w:r>
      <w:r w:rsidRPr="00F438E3">
        <w:rPr>
          <w:rFonts w:ascii="Times New Roman" w:hAnsi="Times New Roman" w:cs="Times New Roman"/>
          <w:smallCaps/>
        </w:rPr>
        <w:t>ndustrial</w:t>
      </w:r>
      <w:r>
        <w:rPr>
          <w:rFonts w:ascii="Times New Roman" w:hAnsi="Times New Roman" w:cs="Times New Roman"/>
        </w:rPr>
        <w:t xml:space="preserve"> C</w:t>
      </w:r>
      <w:r w:rsidRPr="00F438E3">
        <w:rPr>
          <w:rFonts w:ascii="Times New Roman" w:hAnsi="Times New Roman" w:cs="Times New Roman"/>
          <w:smallCaps/>
        </w:rPr>
        <w:t>ompensation</w:t>
      </w:r>
      <w:r>
        <w:rPr>
          <w:rFonts w:ascii="Times New Roman" w:hAnsi="Times New Roman" w:cs="Times New Roman"/>
        </w:rPr>
        <w:t xml:space="preserve"> </w:t>
      </w:r>
      <w:r w:rsidRPr="00F438E3">
        <w:rPr>
          <w:rFonts w:ascii="Times New Roman" w:hAnsi="Times New Roman" w:cs="Times New Roman"/>
          <w:smallCaps/>
        </w:rPr>
        <w:t>Policy</w:t>
      </w:r>
      <w:r>
        <w:rPr>
          <w:rFonts w:ascii="Times New Roman" w:hAnsi="Times New Roman" w:cs="Times New Roman"/>
        </w:rPr>
        <w:t xml:space="preserve"> 1833-1897, 190-206 (Clarendon Press 1983)  </w:t>
      </w:r>
    </w:p>
  </w:footnote>
  <w:footnote w:id="5">
    <w:p w14:paraId="36381AC4" w14:textId="02A35213" w:rsidR="00336EDF" w:rsidRPr="00666211" w:rsidRDefault="00336EDF" w:rsidP="00974B86">
      <w:pPr>
        <w:pStyle w:val="FootnoteText"/>
        <w:jc w:val="both"/>
        <w:rPr>
          <w:rFonts w:ascii="Times New Roman" w:hAnsi="Times New Roman" w:cs="Times New Roman"/>
        </w:rPr>
      </w:pPr>
      <w:r w:rsidRPr="00F02994">
        <w:rPr>
          <w:rStyle w:val="FootnoteReference"/>
          <w:rFonts w:ascii="Times New Roman" w:hAnsi="Times New Roman" w:cs="Times New Roman"/>
        </w:rPr>
        <w:footnoteRef/>
      </w:r>
      <w:r w:rsidRPr="00F02994">
        <w:rPr>
          <w:rFonts w:ascii="Times New Roman" w:hAnsi="Times New Roman" w:cs="Times New Roman"/>
        </w:rPr>
        <w:t xml:space="preserve"> </w:t>
      </w:r>
      <w:bookmarkStart w:id="11" w:name="f5"/>
      <w:bookmarkEnd w:id="11"/>
      <w:r>
        <w:rPr>
          <w:rFonts w:ascii="Times New Roman" w:hAnsi="Times New Roman" w:cs="Times New Roman"/>
        </w:rPr>
        <w:t>B</w:t>
      </w:r>
      <w:r w:rsidRPr="00863C10">
        <w:rPr>
          <w:rFonts w:ascii="Times New Roman" w:hAnsi="Times New Roman" w:cs="Times New Roman"/>
          <w:smallCaps/>
        </w:rPr>
        <w:t>radbury</w:t>
      </w:r>
      <w:r>
        <w:rPr>
          <w:rFonts w:ascii="Times New Roman" w:hAnsi="Times New Roman" w:cs="Times New Roman"/>
        </w:rPr>
        <w:t>’s W</w:t>
      </w:r>
      <w:r w:rsidRPr="00BD56B2">
        <w:rPr>
          <w:rFonts w:ascii="Times New Roman" w:hAnsi="Times New Roman" w:cs="Times New Roman"/>
          <w:smallCaps/>
        </w:rPr>
        <w:t>orkmen</w:t>
      </w:r>
      <w:r>
        <w:rPr>
          <w:rFonts w:ascii="Times New Roman" w:hAnsi="Times New Roman" w:cs="Times New Roman"/>
        </w:rPr>
        <w:t>’</w:t>
      </w:r>
      <w:r w:rsidRPr="00F02994">
        <w:rPr>
          <w:rFonts w:ascii="Times New Roman" w:hAnsi="Times New Roman" w:cs="Times New Roman"/>
          <w:smallCaps/>
        </w:rPr>
        <w:t>s</w:t>
      </w:r>
      <w:r>
        <w:rPr>
          <w:rFonts w:ascii="Times New Roman" w:hAnsi="Times New Roman" w:cs="Times New Roman"/>
        </w:rPr>
        <w:t xml:space="preserve"> C</w:t>
      </w:r>
      <w:r w:rsidRPr="00BD56B2">
        <w:rPr>
          <w:rFonts w:ascii="Times New Roman" w:hAnsi="Times New Roman" w:cs="Times New Roman"/>
          <w:smallCaps/>
        </w:rPr>
        <w:t>ompensation</w:t>
      </w:r>
      <w:r>
        <w:rPr>
          <w:rFonts w:ascii="Times New Roman" w:hAnsi="Times New Roman" w:cs="Times New Roman"/>
          <w:smallCaps/>
        </w:rPr>
        <w:t xml:space="preserve"> I, xv-xxxii; </w:t>
      </w:r>
      <w:r>
        <w:rPr>
          <w:rFonts w:ascii="Times New Roman" w:hAnsi="Times New Roman" w:cs="Times New Roman"/>
        </w:rPr>
        <w:t>BLS B</w:t>
      </w:r>
      <w:r w:rsidRPr="00F02994">
        <w:rPr>
          <w:rFonts w:ascii="Times New Roman" w:hAnsi="Times New Roman" w:cs="Times New Roman"/>
          <w:smallCaps/>
        </w:rPr>
        <w:t>ulletin</w:t>
      </w:r>
      <w:r>
        <w:rPr>
          <w:rFonts w:ascii="Times New Roman" w:hAnsi="Times New Roman" w:cs="Times New Roman"/>
        </w:rPr>
        <w:t xml:space="preserve"> No. 203, 297-305</w:t>
      </w:r>
    </w:p>
  </w:footnote>
  <w:footnote w:id="6">
    <w:p w14:paraId="618B174B" w14:textId="752D893F" w:rsidR="00336EDF" w:rsidRPr="00192D8B" w:rsidRDefault="00336EDF" w:rsidP="00974B86">
      <w:pPr>
        <w:pStyle w:val="FootnoteText"/>
        <w:jc w:val="both"/>
        <w:rPr>
          <w:rFonts w:ascii="Times New Roman" w:hAnsi="Times New Roman" w:cs="Times New Roman"/>
        </w:rPr>
      </w:pPr>
      <w:r w:rsidRPr="00F438E3">
        <w:rPr>
          <w:rStyle w:val="FootnoteReference"/>
          <w:rFonts w:ascii="Times New Roman" w:hAnsi="Times New Roman" w:cs="Times New Roman"/>
        </w:rPr>
        <w:footnoteRef/>
      </w:r>
      <w:r w:rsidRPr="00F438E3">
        <w:rPr>
          <w:rFonts w:ascii="Times New Roman" w:hAnsi="Times New Roman" w:cs="Times New Roman"/>
        </w:rPr>
        <w:t xml:space="preserve"> </w:t>
      </w:r>
      <w:bookmarkStart w:id="13" w:name="f6"/>
      <w:bookmarkStart w:id="14" w:name="_Hlk11686724"/>
      <w:bookmarkEnd w:id="13"/>
      <w:r>
        <w:rPr>
          <w:rFonts w:ascii="Times New Roman" w:hAnsi="Times New Roman" w:cs="Times New Roman"/>
        </w:rPr>
        <w:t>H</w:t>
      </w:r>
      <w:r w:rsidRPr="00F438E3">
        <w:rPr>
          <w:rFonts w:ascii="Times New Roman" w:hAnsi="Times New Roman" w:cs="Times New Roman"/>
          <w:smallCaps/>
        </w:rPr>
        <w:t>erman</w:t>
      </w:r>
      <w:r>
        <w:rPr>
          <w:rFonts w:ascii="Times New Roman" w:hAnsi="Times New Roman" w:cs="Times New Roman"/>
        </w:rPr>
        <w:t xml:space="preserve"> M</w:t>
      </w:r>
      <w:r w:rsidRPr="00F438E3">
        <w:rPr>
          <w:rFonts w:ascii="Times New Roman" w:hAnsi="Times New Roman" w:cs="Times New Roman"/>
          <w:smallCaps/>
        </w:rPr>
        <w:t xml:space="preserve">iles </w:t>
      </w:r>
      <w:r w:rsidRPr="00F438E3">
        <w:rPr>
          <w:rFonts w:ascii="Times New Roman" w:hAnsi="Times New Roman" w:cs="Times New Roman"/>
        </w:rPr>
        <w:t>S</w:t>
      </w:r>
      <w:r w:rsidRPr="00F438E3">
        <w:rPr>
          <w:rFonts w:ascii="Times New Roman" w:hAnsi="Times New Roman" w:cs="Times New Roman"/>
          <w:smallCaps/>
        </w:rPr>
        <w:t>omers</w:t>
      </w:r>
      <w:r w:rsidRPr="00F438E3">
        <w:rPr>
          <w:rFonts w:ascii="Times New Roman" w:hAnsi="Times New Roman" w:cs="Times New Roman"/>
        </w:rPr>
        <w:t xml:space="preserve"> </w:t>
      </w:r>
      <w:r w:rsidRPr="00F438E3">
        <w:rPr>
          <w:rFonts w:ascii="Times New Roman" w:hAnsi="Times New Roman" w:cs="Times New Roman"/>
          <w:smallCaps/>
        </w:rPr>
        <w:t>and</w:t>
      </w:r>
      <w:r>
        <w:rPr>
          <w:rFonts w:ascii="Times New Roman" w:hAnsi="Times New Roman" w:cs="Times New Roman"/>
        </w:rPr>
        <w:t xml:space="preserve"> A</w:t>
      </w:r>
      <w:r w:rsidRPr="00F438E3">
        <w:rPr>
          <w:rFonts w:ascii="Times New Roman" w:hAnsi="Times New Roman" w:cs="Times New Roman"/>
          <w:smallCaps/>
        </w:rPr>
        <w:t>nne</w:t>
      </w:r>
      <w:r>
        <w:rPr>
          <w:rFonts w:ascii="Times New Roman" w:hAnsi="Times New Roman" w:cs="Times New Roman"/>
        </w:rPr>
        <w:t xml:space="preserve"> R</w:t>
      </w:r>
      <w:r w:rsidRPr="00F438E3">
        <w:rPr>
          <w:rFonts w:ascii="Times New Roman" w:hAnsi="Times New Roman" w:cs="Times New Roman"/>
          <w:smallCaps/>
        </w:rPr>
        <w:t>amsay</w:t>
      </w:r>
      <w:r w:rsidRPr="00F438E3">
        <w:rPr>
          <w:rFonts w:ascii="Times New Roman" w:hAnsi="Times New Roman" w:cs="Times New Roman"/>
        </w:rPr>
        <w:t xml:space="preserve"> S</w:t>
      </w:r>
      <w:r w:rsidRPr="00F438E3">
        <w:rPr>
          <w:rFonts w:ascii="Times New Roman" w:hAnsi="Times New Roman" w:cs="Times New Roman"/>
          <w:smallCaps/>
        </w:rPr>
        <w:t>omers</w:t>
      </w:r>
      <w:r>
        <w:rPr>
          <w:rFonts w:ascii="Times New Roman" w:hAnsi="Times New Roman" w:cs="Times New Roman"/>
        </w:rPr>
        <w:t>, W</w:t>
      </w:r>
      <w:r w:rsidRPr="00F438E3">
        <w:rPr>
          <w:rFonts w:ascii="Times New Roman" w:hAnsi="Times New Roman" w:cs="Times New Roman"/>
          <w:smallCaps/>
        </w:rPr>
        <w:t>orkmen’s</w:t>
      </w:r>
      <w:r>
        <w:rPr>
          <w:rFonts w:ascii="Times New Roman" w:hAnsi="Times New Roman" w:cs="Times New Roman"/>
        </w:rPr>
        <w:t xml:space="preserve"> C</w:t>
      </w:r>
      <w:r w:rsidRPr="00F438E3">
        <w:rPr>
          <w:rFonts w:ascii="Times New Roman" w:hAnsi="Times New Roman" w:cs="Times New Roman"/>
          <w:smallCaps/>
        </w:rPr>
        <w:t>ompensation</w:t>
      </w:r>
      <w:r>
        <w:rPr>
          <w:rFonts w:ascii="Times New Roman" w:hAnsi="Times New Roman" w:cs="Times New Roman"/>
        </w:rPr>
        <w:t>, P</w:t>
      </w:r>
      <w:r w:rsidRPr="00F02994">
        <w:rPr>
          <w:rFonts w:ascii="Times New Roman" w:hAnsi="Times New Roman" w:cs="Times New Roman"/>
          <w:smallCaps/>
        </w:rPr>
        <w:t>revention</w:t>
      </w:r>
      <w:r>
        <w:rPr>
          <w:rFonts w:ascii="Times New Roman" w:hAnsi="Times New Roman" w:cs="Times New Roman"/>
        </w:rPr>
        <w:t>, I</w:t>
      </w:r>
      <w:r w:rsidRPr="00F02994">
        <w:rPr>
          <w:rFonts w:ascii="Times New Roman" w:hAnsi="Times New Roman" w:cs="Times New Roman"/>
          <w:smallCaps/>
        </w:rPr>
        <w:t>nsurance</w:t>
      </w:r>
      <w:r>
        <w:rPr>
          <w:rFonts w:ascii="Times New Roman" w:hAnsi="Times New Roman" w:cs="Times New Roman"/>
        </w:rPr>
        <w:t xml:space="preserve">, </w:t>
      </w:r>
      <w:r w:rsidRPr="00F02994">
        <w:rPr>
          <w:rFonts w:ascii="Times New Roman" w:hAnsi="Times New Roman" w:cs="Times New Roman"/>
          <w:smallCaps/>
        </w:rPr>
        <w:t>and</w:t>
      </w:r>
      <w:r>
        <w:rPr>
          <w:rFonts w:ascii="Times New Roman" w:hAnsi="Times New Roman" w:cs="Times New Roman"/>
        </w:rPr>
        <w:t xml:space="preserve"> R</w:t>
      </w:r>
      <w:r w:rsidRPr="00F02994">
        <w:rPr>
          <w:rFonts w:ascii="Times New Roman" w:hAnsi="Times New Roman" w:cs="Times New Roman"/>
          <w:smallCaps/>
        </w:rPr>
        <w:t>ehabilitation</w:t>
      </w:r>
      <w:r>
        <w:rPr>
          <w:rFonts w:ascii="Times New Roman" w:hAnsi="Times New Roman" w:cs="Times New Roman"/>
        </w:rPr>
        <w:t xml:space="preserve"> </w:t>
      </w:r>
      <w:r w:rsidRPr="00F02994">
        <w:rPr>
          <w:rFonts w:ascii="Times New Roman" w:hAnsi="Times New Roman" w:cs="Times New Roman"/>
          <w:smallCaps/>
        </w:rPr>
        <w:t xml:space="preserve">of </w:t>
      </w:r>
      <w:r>
        <w:rPr>
          <w:rFonts w:ascii="Times New Roman" w:hAnsi="Times New Roman" w:cs="Times New Roman"/>
        </w:rPr>
        <w:t>O</w:t>
      </w:r>
      <w:r w:rsidRPr="00F02994">
        <w:rPr>
          <w:rFonts w:ascii="Times New Roman" w:hAnsi="Times New Roman" w:cs="Times New Roman"/>
          <w:smallCaps/>
        </w:rPr>
        <w:t>ccupational</w:t>
      </w:r>
      <w:r>
        <w:rPr>
          <w:rFonts w:ascii="Times New Roman" w:hAnsi="Times New Roman" w:cs="Times New Roman"/>
        </w:rPr>
        <w:t xml:space="preserve"> D</w:t>
      </w:r>
      <w:r w:rsidRPr="00F02994">
        <w:rPr>
          <w:rFonts w:ascii="Times New Roman" w:hAnsi="Times New Roman" w:cs="Times New Roman"/>
          <w:smallCaps/>
        </w:rPr>
        <w:t>isability</w:t>
      </w:r>
      <w:r>
        <w:rPr>
          <w:rFonts w:ascii="Times New Roman" w:hAnsi="Times New Roman" w:cs="Times New Roman"/>
        </w:rPr>
        <w:t>, 22-28 (John Wiley &amp; Sons 1954)</w:t>
      </w:r>
      <w:bookmarkEnd w:id="14"/>
    </w:p>
  </w:footnote>
  <w:footnote w:id="7">
    <w:p w14:paraId="15D99EDB" w14:textId="28E76571" w:rsidR="00336EDF" w:rsidRDefault="00336EDF" w:rsidP="00DB6097">
      <w:pPr>
        <w:pStyle w:val="FootnoteText"/>
        <w:jc w:val="both"/>
      </w:pPr>
      <w:r w:rsidRPr="008A328F">
        <w:rPr>
          <w:rStyle w:val="FootnoteReference"/>
          <w:rFonts w:ascii="Times New Roman" w:hAnsi="Times New Roman" w:cs="Times New Roman"/>
        </w:rPr>
        <w:footnoteRef/>
      </w:r>
      <w:r w:rsidRPr="00021032">
        <w:rPr>
          <w:rStyle w:val="FootnoteReference"/>
        </w:rPr>
        <w:t xml:space="preserve"> </w:t>
      </w:r>
      <w:bookmarkStart w:id="15" w:name="f7"/>
      <w:bookmarkEnd w:id="15"/>
      <w:r w:rsidRPr="008A328F">
        <w:rPr>
          <w:rFonts w:ascii="Times New Roman" w:hAnsi="Times New Roman" w:cs="Times New Roman"/>
        </w:rPr>
        <w:t>In</w:t>
      </w:r>
      <w:r>
        <w:t xml:space="preserve"> </w:t>
      </w:r>
      <w:r>
        <w:rPr>
          <w:rFonts w:ascii="Times New Roman" w:hAnsi="Times New Roman" w:cs="Times New Roman"/>
        </w:rPr>
        <w:t>w</w:t>
      </w:r>
      <w:r w:rsidRPr="00DB6097">
        <w:rPr>
          <w:rFonts w:ascii="Times New Roman" w:hAnsi="Times New Roman" w:cs="Times New Roman"/>
        </w:rPr>
        <w:t>orkers’ compensation statutes</w:t>
      </w:r>
      <w:r>
        <w:rPr>
          <w:rFonts w:ascii="Times New Roman" w:hAnsi="Times New Roman" w:cs="Times New Roman"/>
        </w:rPr>
        <w:t>,</w:t>
      </w:r>
      <w:r w:rsidRPr="00DB6097">
        <w:rPr>
          <w:rFonts w:ascii="Times New Roman" w:hAnsi="Times New Roman" w:cs="Times New Roman"/>
        </w:rPr>
        <w:t xml:space="preserve"> the concept of fault occasionally reemerges when an employer or employee is said to have engaged in “serious” or “willful” misconduct (or something of the like).</w:t>
      </w:r>
      <w:r>
        <w:t xml:space="preserve"> </w:t>
      </w:r>
    </w:p>
  </w:footnote>
  <w:footnote w:id="8">
    <w:p w14:paraId="1860A78F" w14:textId="2A014A1A" w:rsidR="00336EDF" w:rsidRPr="005D5E31" w:rsidRDefault="00336EDF" w:rsidP="004A3596">
      <w:pPr>
        <w:pStyle w:val="FootnoteText"/>
        <w:jc w:val="both"/>
        <w:rPr>
          <w:rFonts w:ascii="Times New Roman" w:hAnsi="Times New Roman" w:cs="Times New Roman"/>
        </w:rPr>
      </w:pPr>
      <w:r w:rsidRPr="005D5E31">
        <w:rPr>
          <w:rStyle w:val="FootnoteReference"/>
          <w:rFonts w:ascii="Times New Roman" w:hAnsi="Times New Roman" w:cs="Times New Roman"/>
        </w:rPr>
        <w:footnoteRef/>
      </w:r>
      <w:r w:rsidRPr="005D5E31">
        <w:rPr>
          <w:rFonts w:ascii="Times New Roman" w:hAnsi="Times New Roman" w:cs="Times New Roman"/>
        </w:rPr>
        <w:t xml:space="preserve"> </w:t>
      </w:r>
      <w:bookmarkStart w:id="16" w:name="f8"/>
      <w:bookmarkEnd w:id="16"/>
      <w:r w:rsidRPr="005D5E31">
        <w:rPr>
          <w:rFonts w:ascii="Times New Roman" w:hAnsi="Times New Roman" w:cs="Times New Roman"/>
        </w:rPr>
        <w:t xml:space="preserve">This seems especially true in Wyoming where, as will be discussed in the next section, the right to remedy for personal injury is guaranteed by the Wyoming Constitution in Article 10, </w:t>
      </w:r>
      <w:r>
        <w:rPr>
          <w:rFonts w:ascii="Times New Roman" w:hAnsi="Times New Roman" w:cs="Times New Roman"/>
        </w:rPr>
        <w:t>S</w:t>
      </w:r>
      <w:r w:rsidRPr="005D5E31">
        <w:rPr>
          <w:rFonts w:ascii="Times New Roman" w:hAnsi="Times New Roman" w:cs="Times New Roman"/>
        </w:rPr>
        <w:t>ection 4.</w:t>
      </w:r>
    </w:p>
  </w:footnote>
  <w:footnote w:id="9">
    <w:p w14:paraId="42459E80" w14:textId="1D4F5BBC" w:rsidR="00336EDF" w:rsidRPr="008F4673" w:rsidRDefault="00336EDF" w:rsidP="009C04A7">
      <w:pPr>
        <w:pStyle w:val="FootnoteText"/>
        <w:jc w:val="both"/>
        <w:rPr>
          <w:rFonts w:ascii="Times New Roman" w:hAnsi="Times New Roman" w:cs="Times New Roman"/>
        </w:rPr>
      </w:pPr>
      <w:r w:rsidRPr="008F4673">
        <w:rPr>
          <w:rStyle w:val="FootnoteReference"/>
          <w:rFonts w:ascii="Times New Roman" w:hAnsi="Times New Roman" w:cs="Times New Roman"/>
        </w:rPr>
        <w:footnoteRef/>
      </w:r>
      <w:r w:rsidRPr="008F4673">
        <w:rPr>
          <w:rFonts w:ascii="Times New Roman" w:hAnsi="Times New Roman" w:cs="Times New Roman"/>
        </w:rPr>
        <w:t xml:space="preserve"> </w:t>
      </w:r>
      <w:bookmarkStart w:id="18" w:name="f9"/>
      <w:bookmarkEnd w:id="18"/>
      <w:r>
        <w:rPr>
          <w:rFonts w:ascii="Times New Roman" w:hAnsi="Times New Roman" w:cs="Times New Roman"/>
        </w:rPr>
        <w:t>The Workers’ Compensation Act, No. 147, 1915 Wyo. Sess. Laws ch. 124 (codified as amended at W</w:t>
      </w:r>
      <w:r w:rsidRPr="0053731C">
        <w:rPr>
          <w:rFonts w:ascii="Times New Roman" w:hAnsi="Times New Roman" w:cs="Times New Roman"/>
          <w:smallCaps/>
        </w:rPr>
        <w:t>yo</w:t>
      </w:r>
      <w:r>
        <w:rPr>
          <w:rFonts w:ascii="Times New Roman" w:hAnsi="Times New Roman" w:cs="Times New Roman"/>
        </w:rPr>
        <w:t>. S</w:t>
      </w:r>
      <w:r w:rsidRPr="0053731C">
        <w:rPr>
          <w:rFonts w:ascii="Times New Roman" w:hAnsi="Times New Roman" w:cs="Times New Roman"/>
          <w:smallCaps/>
        </w:rPr>
        <w:t>tat</w:t>
      </w:r>
      <w:r>
        <w:rPr>
          <w:rFonts w:ascii="Times New Roman" w:hAnsi="Times New Roman" w:cs="Times New Roman"/>
        </w:rPr>
        <w:t>. A</w:t>
      </w:r>
      <w:r w:rsidRPr="0053731C">
        <w:rPr>
          <w:rFonts w:ascii="Times New Roman" w:hAnsi="Times New Roman" w:cs="Times New Roman"/>
          <w:smallCaps/>
        </w:rPr>
        <w:t>nn</w:t>
      </w:r>
      <w:r>
        <w:rPr>
          <w:rFonts w:ascii="Times New Roman" w:hAnsi="Times New Roman" w:cs="Times New Roman"/>
        </w:rPr>
        <w:t xml:space="preserve">. §§ </w:t>
      </w:r>
      <w:hyperlink r:id="rId1" w:history="1">
        <w:r w:rsidRPr="00C4105A">
          <w:rPr>
            <w:rStyle w:val="Hyperlink"/>
            <w:rFonts w:ascii="Times New Roman" w:hAnsi="Times New Roman" w:cs="Times New Roman"/>
          </w:rPr>
          <w:t>27-14-101</w:t>
        </w:r>
      </w:hyperlink>
      <w:r>
        <w:rPr>
          <w:rFonts w:ascii="Times New Roman" w:hAnsi="Times New Roman" w:cs="Times New Roman"/>
        </w:rPr>
        <w:t xml:space="preserve"> at seq.), hereinafter the shorter citation form “W.S.” will be used instead of “Wyo. Stat.” </w:t>
      </w:r>
    </w:p>
  </w:footnote>
  <w:footnote w:id="10">
    <w:p w14:paraId="2755EDBD" w14:textId="05505144" w:rsidR="00336EDF" w:rsidRPr="008F4673" w:rsidRDefault="00336EDF" w:rsidP="009C04A7">
      <w:pPr>
        <w:pStyle w:val="FootnoteText"/>
        <w:jc w:val="both"/>
        <w:rPr>
          <w:rFonts w:ascii="Times New Roman" w:hAnsi="Times New Roman" w:cs="Times New Roman"/>
        </w:rPr>
      </w:pPr>
      <w:r w:rsidRPr="008F4673">
        <w:rPr>
          <w:rStyle w:val="FootnoteReference"/>
          <w:rFonts w:ascii="Times New Roman" w:hAnsi="Times New Roman" w:cs="Times New Roman"/>
        </w:rPr>
        <w:footnoteRef/>
      </w:r>
      <w:r w:rsidRPr="008F4673">
        <w:rPr>
          <w:rFonts w:ascii="Times New Roman" w:hAnsi="Times New Roman" w:cs="Times New Roman"/>
        </w:rPr>
        <w:t xml:space="preserve"> </w:t>
      </w:r>
      <w:bookmarkStart w:id="19" w:name="f10"/>
      <w:bookmarkEnd w:id="19"/>
      <w:r w:rsidRPr="008F4673">
        <w:rPr>
          <w:rFonts w:ascii="Times New Roman" w:hAnsi="Times New Roman" w:cs="Times New Roman"/>
          <w:i/>
        </w:rPr>
        <w:t>See</w:t>
      </w:r>
      <w:r w:rsidRPr="008F4673">
        <w:rPr>
          <w:rFonts w:ascii="Times New Roman" w:hAnsi="Times New Roman" w:cs="Times New Roman"/>
        </w:rPr>
        <w:t xml:space="preserve"> George Santini, </w:t>
      </w:r>
      <w:r w:rsidRPr="008F4673">
        <w:rPr>
          <w:rFonts w:ascii="Times New Roman" w:hAnsi="Times New Roman" w:cs="Times New Roman"/>
          <w:i/>
        </w:rPr>
        <w:t>The Breaking of a Compromise: An Analysis of Workers’ Compensation Legislation, 1986-1997</w:t>
      </w:r>
      <w:r w:rsidRPr="008F4673">
        <w:rPr>
          <w:rFonts w:ascii="Times New Roman" w:hAnsi="Times New Roman" w:cs="Times New Roman"/>
        </w:rPr>
        <w:t>, 33 L</w:t>
      </w:r>
      <w:r w:rsidRPr="008F4673">
        <w:rPr>
          <w:rFonts w:ascii="Times New Roman" w:hAnsi="Times New Roman" w:cs="Times New Roman"/>
          <w:smallCaps/>
        </w:rPr>
        <w:t>and</w:t>
      </w:r>
      <w:r w:rsidRPr="008F4673">
        <w:rPr>
          <w:rFonts w:ascii="Times New Roman" w:hAnsi="Times New Roman" w:cs="Times New Roman"/>
        </w:rPr>
        <w:t xml:space="preserve"> &amp; W</w:t>
      </w:r>
      <w:r w:rsidRPr="008F4673">
        <w:rPr>
          <w:rFonts w:ascii="Times New Roman" w:hAnsi="Times New Roman" w:cs="Times New Roman"/>
          <w:smallCaps/>
        </w:rPr>
        <w:t>ater</w:t>
      </w:r>
      <w:r w:rsidRPr="008F4673">
        <w:rPr>
          <w:rFonts w:ascii="Times New Roman" w:hAnsi="Times New Roman" w:cs="Times New Roman"/>
        </w:rPr>
        <w:t xml:space="preserve"> L. R</w:t>
      </w:r>
      <w:r w:rsidRPr="008F4673">
        <w:rPr>
          <w:rFonts w:ascii="Times New Roman" w:hAnsi="Times New Roman" w:cs="Times New Roman"/>
          <w:smallCaps/>
        </w:rPr>
        <w:t>ev</w:t>
      </w:r>
      <w:r w:rsidRPr="008F4673">
        <w:rPr>
          <w:rFonts w:ascii="Times New Roman" w:hAnsi="Times New Roman" w:cs="Times New Roman"/>
        </w:rPr>
        <w:t>. 489, 489-92 (1998)</w:t>
      </w:r>
    </w:p>
  </w:footnote>
  <w:footnote w:id="11">
    <w:p w14:paraId="5732DAE0" w14:textId="0E8329D6" w:rsidR="00336EDF" w:rsidRDefault="00336EDF" w:rsidP="009C04A7">
      <w:pPr>
        <w:pStyle w:val="FootnoteText"/>
        <w:jc w:val="both"/>
      </w:pPr>
      <w:r w:rsidRPr="00A33F66">
        <w:rPr>
          <w:rStyle w:val="FootnoteReference"/>
          <w:rFonts w:ascii="Times New Roman" w:hAnsi="Times New Roman" w:cs="Times New Roman"/>
        </w:rPr>
        <w:footnoteRef/>
      </w:r>
      <w:r w:rsidRPr="00A33F66">
        <w:rPr>
          <w:rFonts w:ascii="Times New Roman" w:hAnsi="Times New Roman" w:cs="Times New Roman"/>
        </w:rPr>
        <w:t xml:space="preserve"> </w:t>
      </w:r>
      <w:bookmarkStart w:id="20" w:name="f11"/>
      <w:bookmarkEnd w:id="20"/>
      <w:r w:rsidRPr="0053731C">
        <w:rPr>
          <w:rFonts w:ascii="Times New Roman" w:hAnsi="Times New Roman" w:cs="Times New Roman"/>
        </w:rPr>
        <w:t>Art. X, Section 4 of the Wyoming Constitution</w:t>
      </w:r>
      <w:r>
        <w:t xml:space="preserve"> </w:t>
      </w:r>
    </w:p>
  </w:footnote>
  <w:footnote w:id="12">
    <w:p w14:paraId="32C5A19F" w14:textId="041B1DF6" w:rsidR="00336EDF" w:rsidRPr="00F95986" w:rsidRDefault="00336EDF" w:rsidP="008F7F35">
      <w:pPr>
        <w:pStyle w:val="FootnoteText"/>
        <w:jc w:val="both"/>
        <w:rPr>
          <w:rFonts w:ascii="Times New Roman" w:hAnsi="Times New Roman" w:cs="Times New Roman"/>
        </w:rPr>
      </w:pPr>
      <w:r w:rsidRPr="00F95986">
        <w:rPr>
          <w:rStyle w:val="FootnoteReference"/>
          <w:rFonts w:ascii="Times New Roman" w:hAnsi="Times New Roman" w:cs="Times New Roman"/>
        </w:rPr>
        <w:footnoteRef/>
      </w:r>
      <w:r w:rsidRPr="00F95986">
        <w:rPr>
          <w:rFonts w:ascii="Times New Roman" w:hAnsi="Times New Roman" w:cs="Times New Roman"/>
        </w:rPr>
        <w:t xml:space="preserve"> </w:t>
      </w:r>
      <w:bookmarkStart w:id="21" w:name="f12"/>
      <w:bookmarkEnd w:id="21"/>
      <w:r w:rsidRPr="00F95986">
        <w:rPr>
          <w:rFonts w:ascii="Times New Roman" w:hAnsi="Times New Roman" w:cs="Times New Roman"/>
          <w:i/>
        </w:rPr>
        <w:t>See</w:t>
      </w:r>
      <w:r w:rsidRPr="00F95986">
        <w:rPr>
          <w:rFonts w:ascii="Times New Roman" w:hAnsi="Times New Roman" w:cs="Times New Roman"/>
        </w:rPr>
        <w:t xml:space="preserve"> Santini, </w:t>
      </w:r>
      <w:r w:rsidRPr="00F95986">
        <w:rPr>
          <w:rFonts w:ascii="Times New Roman" w:hAnsi="Times New Roman" w:cs="Times New Roman"/>
          <w:i/>
        </w:rPr>
        <w:t>Breaking of a Compromise</w:t>
      </w:r>
      <w:r w:rsidRPr="00F95986">
        <w:rPr>
          <w:rFonts w:ascii="Times New Roman" w:hAnsi="Times New Roman" w:cs="Times New Roman"/>
        </w:rPr>
        <w:t xml:space="preserve"> at 488, n.2; </w:t>
      </w:r>
      <w:r w:rsidRPr="00F95986">
        <w:rPr>
          <w:rFonts w:ascii="Times New Roman" w:hAnsi="Times New Roman" w:cs="Times New Roman"/>
          <w:i/>
        </w:rPr>
        <w:t>citing</w:t>
      </w:r>
      <w:r w:rsidRPr="00F95986">
        <w:rPr>
          <w:rFonts w:ascii="Times New Roman" w:hAnsi="Times New Roman" w:cs="Times New Roman"/>
        </w:rPr>
        <w:t xml:space="preserve"> House Journal, 12</w:t>
      </w:r>
      <w:r w:rsidRPr="00F95986">
        <w:rPr>
          <w:rFonts w:ascii="Times New Roman" w:hAnsi="Times New Roman" w:cs="Times New Roman"/>
          <w:vertAlign w:val="superscript"/>
        </w:rPr>
        <w:t>th</w:t>
      </w:r>
      <w:r w:rsidRPr="00F95986">
        <w:rPr>
          <w:rFonts w:ascii="Times New Roman" w:hAnsi="Times New Roman" w:cs="Times New Roman"/>
        </w:rPr>
        <w:t xml:space="preserve"> Leg. 40 (Wyo. 1913)</w:t>
      </w:r>
    </w:p>
  </w:footnote>
  <w:footnote w:id="13">
    <w:p w14:paraId="7663A8AA" w14:textId="2A24E28D" w:rsidR="00336EDF" w:rsidRDefault="00336EDF">
      <w:pPr>
        <w:pStyle w:val="FootnoteText"/>
      </w:pPr>
      <w:r w:rsidRPr="00EF74A0">
        <w:rPr>
          <w:rStyle w:val="FootnoteReference"/>
          <w:rFonts w:ascii="Times New Roman" w:hAnsi="Times New Roman" w:cs="Times New Roman"/>
        </w:rPr>
        <w:footnoteRef/>
      </w:r>
      <w:r w:rsidRPr="00EF74A0">
        <w:rPr>
          <w:rStyle w:val="FootnoteReference"/>
          <w:rFonts w:ascii="Times New Roman" w:hAnsi="Times New Roman" w:cs="Times New Roman"/>
        </w:rPr>
        <w:t xml:space="preserve"> </w:t>
      </w:r>
      <w:bookmarkStart w:id="22" w:name="f13"/>
      <w:bookmarkEnd w:id="22"/>
      <w:r w:rsidRPr="005939F9">
        <w:rPr>
          <w:rFonts w:ascii="Times New Roman" w:hAnsi="Times New Roman" w:cs="Times New Roman"/>
        </w:rPr>
        <w:t xml:space="preserve">W.S. § </w:t>
      </w:r>
      <w:hyperlink r:id="rId2" w:history="1">
        <w:r w:rsidRPr="005939F9">
          <w:rPr>
            <w:rStyle w:val="Hyperlink"/>
            <w:rFonts w:ascii="Times New Roman" w:hAnsi="Times New Roman" w:cs="Times New Roman"/>
          </w:rPr>
          <w:t>27-14-101</w:t>
        </w:r>
      </w:hyperlink>
      <w:r>
        <w:rPr>
          <w:rFonts w:ascii="Times New Roman" w:hAnsi="Times New Roman" w:cs="Times New Roman"/>
        </w:rPr>
        <w:t xml:space="preserve"> (b)</w:t>
      </w:r>
    </w:p>
  </w:footnote>
  <w:footnote w:id="14">
    <w:p w14:paraId="539541A3" w14:textId="4670C04C" w:rsidR="00336EDF" w:rsidRDefault="00336EDF" w:rsidP="00904A81">
      <w:pPr>
        <w:pStyle w:val="FootnoteText"/>
        <w:jc w:val="both"/>
      </w:pPr>
      <w:r w:rsidRPr="00904A81">
        <w:rPr>
          <w:rStyle w:val="FootnoteReference"/>
          <w:rFonts w:ascii="Times New Roman" w:hAnsi="Times New Roman" w:cs="Times New Roman"/>
        </w:rPr>
        <w:footnoteRef/>
      </w:r>
      <w:bookmarkStart w:id="24" w:name="f14"/>
      <w:bookmarkEnd w:id="24"/>
      <w:r w:rsidRPr="00904A81">
        <w:rPr>
          <w:rFonts w:ascii="Times New Roman" w:hAnsi="Times New Roman" w:cs="Times New Roman"/>
        </w:rPr>
        <w:t>This is also true of workers’ compensation prior to its American adoption. Some countries originally applied workers’ compensation solely to especially dangerous industries like mining.</w:t>
      </w:r>
    </w:p>
  </w:footnote>
  <w:footnote w:id="15">
    <w:p w14:paraId="06923DD0" w14:textId="50147359" w:rsidR="00336EDF" w:rsidRDefault="00336EDF">
      <w:pPr>
        <w:pStyle w:val="FootnoteText"/>
      </w:pPr>
      <w:r w:rsidRPr="00553F78">
        <w:rPr>
          <w:rStyle w:val="FootnoteReference"/>
          <w:rFonts w:ascii="Times New Roman" w:hAnsi="Times New Roman" w:cs="Times New Roman"/>
        </w:rPr>
        <w:footnoteRef/>
      </w:r>
      <w:r>
        <w:t xml:space="preserve"> </w:t>
      </w:r>
      <w:r w:rsidRPr="00553F78">
        <w:rPr>
          <w:rFonts w:ascii="Times New Roman" w:hAnsi="Times New Roman" w:cs="Times New Roman"/>
        </w:rPr>
        <w:t>243 U.S. 188 (1917)</w:t>
      </w:r>
    </w:p>
  </w:footnote>
  <w:footnote w:id="16">
    <w:p w14:paraId="0C881206" w14:textId="7C4FD6BF" w:rsidR="00336EDF" w:rsidRPr="00E25374" w:rsidRDefault="00336EDF" w:rsidP="00E25374">
      <w:pPr>
        <w:spacing w:after="0"/>
        <w:rPr>
          <w:rFonts w:ascii="Times New Roman" w:hAnsi="Times New Roman" w:cs="Times New Roman"/>
          <w:sz w:val="20"/>
          <w:szCs w:val="20"/>
        </w:rPr>
      </w:pPr>
      <w:r w:rsidRPr="00E25374">
        <w:rPr>
          <w:rStyle w:val="FootnoteReference"/>
          <w:rFonts w:ascii="Times New Roman" w:hAnsi="Times New Roman" w:cs="Times New Roman"/>
          <w:sz w:val="20"/>
          <w:szCs w:val="20"/>
        </w:rPr>
        <w:footnoteRef/>
      </w:r>
      <w:r w:rsidRPr="00E25374">
        <w:rPr>
          <w:rFonts w:ascii="Times New Roman" w:hAnsi="Times New Roman" w:cs="Times New Roman"/>
          <w:sz w:val="20"/>
          <w:szCs w:val="20"/>
        </w:rPr>
        <w:t xml:space="preserve"> </w:t>
      </w:r>
      <w:bookmarkStart w:id="26" w:name="f15"/>
      <w:bookmarkStart w:id="27" w:name="f16"/>
      <w:bookmarkEnd w:id="26"/>
      <w:bookmarkEnd w:id="27"/>
      <w:r w:rsidRPr="00E25374">
        <w:rPr>
          <w:rFonts w:ascii="Times New Roman" w:hAnsi="Times New Roman" w:cs="Times New Roman"/>
          <w:i/>
          <w:sz w:val="20"/>
          <w:szCs w:val="20"/>
        </w:rPr>
        <w:t>See</w:t>
      </w:r>
      <w:r>
        <w:rPr>
          <w:rFonts w:ascii="Times New Roman" w:hAnsi="Times New Roman" w:cs="Times New Roman"/>
          <w:sz w:val="20"/>
          <w:szCs w:val="20"/>
        </w:rPr>
        <w:t xml:space="preserve"> </w:t>
      </w:r>
      <w:r w:rsidRPr="00E25374">
        <w:rPr>
          <w:rFonts w:ascii="Times New Roman" w:hAnsi="Times New Roman" w:cs="Times New Roman"/>
          <w:sz w:val="20"/>
          <w:szCs w:val="20"/>
        </w:rPr>
        <w:t>1 Larson's Workers' Compensation Law § 2.07</w:t>
      </w:r>
    </w:p>
  </w:footnote>
  <w:footnote w:id="17">
    <w:p w14:paraId="4D6ED17A" w14:textId="76955B95" w:rsidR="00336EDF" w:rsidRPr="00192D8B" w:rsidRDefault="00336EDF">
      <w:pPr>
        <w:pStyle w:val="FootnoteText"/>
        <w:rPr>
          <w:rFonts w:ascii="Times New Roman" w:hAnsi="Times New Roman" w:cs="Times New Roman"/>
        </w:rPr>
      </w:pPr>
      <w:r w:rsidRPr="00E25374">
        <w:rPr>
          <w:rStyle w:val="FootnoteReference"/>
          <w:rFonts w:ascii="Times New Roman" w:hAnsi="Times New Roman" w:cs="Times New Roman"/>
        </w:rPr>
        <w:footnoteRef/>
      </w:r>
      <w:r w:rsidRPr="00E25374">
        <w:rPr>
          <w:rFonts w:ascii="Times New Roman" w:hAnsi="Times New Roman" w:cs="Times New Roman"/>
        </w:rPr>
        <w:t xml:space="preserve"> </w:t>
      </w:r>
      <w:r w:rsidRPr="00E25374">
        <w:rPr>
          <w:rFonts w:ascii="Times New Roman" w:hAnsi="Times New Roman" w:cs="Times New Roman"/>
          <w:i/>
        </w:rPr>
        <w:t>See</w:t>
      </w:r>
      <w:r>
        <w:rPr>
          <w:rFonts w:ascii="Times New Roman" w:hAnsi="Times New Roman" w:cs="Times New Roman"/>
          <w:i/>
        </w:rPr>
        <w:t xml:space="preserve"> id. </w:t>
      </w:r>
      <w:r>
        <w:rPr>
          <w:rFonts w:ascii="Times New Roman" w:hAnsi="Times New Roman" w:cs="Times New Roman"/>
        </w:rPr>
        <w:t xml:space="preserve">and </w:t>
      </w:r>
      <w:r w:rsidRPr="00E25374">
        <w:rPr>
          <w:rFonts w:ascii="Times New Roman" w:hAnsi="Times New Roman" w:cs="Times New Roman"/>
          <w:i/>
        </w:rPr>
        <w:t>infra</w:t>
      </w:r>
      <w:r w:rsidRPr="00E25374">
        <w:rPr>
          <w:rFonts w:ascii="Times New Roman" w:hAnsi="Times New Roman" w:cs="Times New Roman"/>
        </w:rPr>
        <w:t>. at Section 2</w:t>
      </w:r>
    </w:p>
  </w:footnote>
  <w:footnote w:id="18">
    <w:p w14:paraId="5C5EAC6B" w14:textId="56340CE6" w:rsidR="00336EDF" w:rsidRPr="00F0041A" w:rsidRDefault="00336EDF" w:rsidP="001A054B">
      <w:pPr>
        <w:pStyle w:val="FootnoteText"/>
        <w:jc w:val="both"/>
        <w:rPr>
          <w:rFonts w:ascii="Times New Roman" w:hAnsi="Times New Roman" w:cs="Times New Roman"/>
        </w:rPr>
      </w:pPr>
      <w:r w:rsidRPr="00F0041A">
        <w:rPr>
          <w:rStyle w:val="FootnoteReference"/>
          <w:rFonts w:ascii="Times New Roman" w:hAnsi="Times New Roman" w:cs="Times New Roman"/>
        </w:rPr>
        <w:footnoteRef/>
      </w:r>
      <w:r w:rsidRPr="00F0041A">
        <w:rPr>
          <w:rFonts w:ascii="Times New Roman" w:hAnsi="Times New Roman" w:cs="Times New Roman"/>
        </w:rPr>
        <w:t xml:space="preserve"> </w:t>
      </w:r>
      <w:bookmarkStart w:id="28" w:name="f17"/>
      <w:bookmarkEnd w:id="28"/>
      <w:r w:rsidRPr="00F0041A">
        <w:rPr>
          <w:rFonts w:ascii="Times New Roman" w:hAnsi="Times New Roman" w:cs="Times New Roman"/>
        </w:rPr>
        <w:t xml:space="preserve">Utah </w:t>
      </w:r>
      <w:r>
        <w:rPr>
          <w:rFonts w:ascii="Times New Roman" w:hAnsi="Times New Roman" w:cs="Times New Roman"/>
        </w:rPr>
        <w:t xml:space="preserve">Labor </w:t>
      </w:r>
      <w:r w:rsidRPr="00F0041A">
        <w:rPr>
          <w:rFonts w:ascii="Times New Roman" w:hAnsi="Times New Roman" w:cs="Times New Roman"/>
        </w:rPr>
        <w:t xml:space="preserve">Code, </w:t>
      </w:r>
      <w:r>
        <w:rPr>
          <w:rFonts w:ascii="Times New Roman" w:hAnsi="Times New Roman" w:cs="Times New Roman"/>
        </w:rPr>
        <w:t xml:space="preserve">§ </w:t>
      </w:r>
      <w:r w:rsidRPr="00F0041A">
        <w:rPr>
          <w:rFonts w:ascii="Times New Roman" w:hAnsi="Times New Roman" w:cs="Times New Roman"/>
        </w:rPr>
        <w:t>34</w:t>
      </w:r>
      <w:r>
        <w:rPr>
          <w:rFonts w:ascii="Times New Roman" w:hAnsi="Times New Roman" w:cs="Times New Roman"/>
        </w:rPr>
        <w:t>a</w:t>
      </w:r>
      <w:r w:rsidRPr="00F0041A">
        <w:rPr>
          <w:rFonts w:ascii="Times New Roman" w:hAnsi="Times New Roman" w:cs="Times New Roman"/>
        </w:rPr>
        <w:t>-2-601</w:t>
      </w:r>
      <w:r>
        <w:rPr>
          <w:rFonts w:ascii="Times New Roman" w:hAnsi="Times New Roman" w:cs="Times New Roman"/>
        </w:rPr>
        <w:t xml:space="preserve"> </w:t>
      </w:r>
      <w:r w:rsidRPr="00F0041A">
        <w:rPr>
          <w:rFonts w:ascii="Times New Roman" w:hAnsi="Times New Roman" w:cs="Times New Roman"/>
        </w:rPr>
        <w:t xml:space="preserve">         </w:t>
      </w:r>
    </w:p>
  </w:footnote>
  <w:footnote w:id="19">
    <w:p w14:paraId="2EC1EE20" w14:textId="461CE8C4" w:rsidR="00336EDF" w:rsidRPr="00325921" w:rsidRDefault="00336EDF">
      <w:pPr>
        <w:pStyle w:val="FootnoteText"/>
        <w:rPr>
          <w:rFonts w:ascii="Times New Roman" w:hAnsi="Times New Roman" w:cs="Times New Roman"/>
        </w:rPr>
      </w:pPr>
      <w:r w:rsidRPr="00325921">
        <w:rPr>
          <w:rStyle w:val="FootnoteReference"/>
          <w:rFonts w:ascii="Times New Roman" w:hAnsi="Times New Roman" w:cs="Times New Roman"/>
        </w:rPr>
        <w:footnoteRef/>
      </w:r>
      <w:r w:rsidRPr="00325921">
        <w:rPr>
          <w:rFonts w:ascii="Times New Roman" w:hAnsi="Times New Roman" w:cs="Times New Roman"/>
        </w:rPr>
        <w:t xml:space="preserve"> </w:t>
      </w:r>
      <w:bookmarkStart w:id="29" w:name="f18"/>
      <w:bookmarkEnd w:id="29"/>
      <w:r w:rsidRPr="007D0840">
        <w:rPr>
          <w:rFonts w:ascii="Times New Roman" w:hAnsi="Times New Roman" w:cs="Times New Roman"/>
          <w:i/>
        </w:rPr>
        <w:t>See</w:t>
      </w:r>
      <w:r w:rsidRPr="00325921">
        <w:rPr>
          <w:rFonts w:ascii="Times New Roman" w:hAnsi="Times New Roman" w:cs="Times New Roman"/>
        </w:rPr>
        <w:t xml:space="preserve"> </w:t>
      </w:r>
      <w:r w:rsidRPr="005939F9">
        <w:rPr>
          <w:rFonts w:ascii="Times New Roman" w:hAnsi="Times New Roman" w:cs="Times New Roman"/>
        </w:rPr>
        <w:t xml:space="preserve">W.S. § </w:t>
      </w:r>
      <w:hyperlink r:id="rId3" w:history="1">
        <w:r w:rsidRPr="005939F9">
          <w:rPr>
            <w:rStyle w:val="Hyperlink"/>
            <w:rFonts w:ascii="Times New Roman" w:hAnsi="Times New Roman" w:cs="Times New Roman"/>
          </w:rPr>
          <w:t>27-14-616</w:t>
        </w:r>
      </w:hyperlink>
      <w:r>
        <w:rPr>
          <w:rFonts w:ascii="Times New Roman" w:hAnsi="Times New Roman" w:cs="Times New Roman"/>
        </w:rPr>
        <w:t>(b)(iv)</w:t>
      </w:r>
    </w:p>
  </w:footnote>
  <w:footnote w:id="20">
    <w:p w14:paraId="3A6E3578" w14:textId="73D04E95" w:rsidR="00336EDF" w:rsidRDefault="00336EDF">
      <w:pPr>
        <w:pStyle w:val="FootnoteText"/>
      </w:pPr>
      <w:r w:rsidRPr="003E4C89">
        <w:rPr>
          <w:rStyle w:val="FootnoteReference"/>
          <w:rFonts w:ascii="Times New Roman" w:hAnsi="Times New Roman" w:cs="Times New Roman"/>
        </w:rPr>
        <w:footnoteRef/>
      </w:r>
      <w:r>
        <w:t xml:space="preserve"> </w:t>
      </w:r>
      <w:bookmarkStart w:id="30" w:name="f19"/>
      <w:bookmarkEnd w:id="30"/>
      <w:r w:rsidRPr="005939F9">
        <w:rPr>
          <w:rFonts w:ascii="Times New Roman" w:hAnsi="Times New Roman" w:cs="Times New Roman"/>
        </w:rPr>
        <w:t xml:space="preserve">W.S. § </w:t>
      </w:r>
      <w:hyperlink r:id="rId4" w:history="1">
        <w:r w:rsidRPr="005939F9">
          <w:rPr>
            <w:rStyle w:val="Hyperlink"/>
            <w:rFonts w:ascii="Times New Roman" w:hAnsi="Times New Roman" w:cs="Times New Roman"/>
          </w:rPr>
          <w:t>27-14-101</w:t>
        </w:r>
      </w:hyperlink>
      <w:r w:rsidRPr="003E4C89">
        <w:rPr>
          <w:rFonts w:ascii="Times New Roman" w:hAnsi="Times New Roman" w:cs="Times New Roman"/>
        </w:rPr>
        <w:t>(b)</w:t>
      </w:r>
    </w:p>
  </w:footnote>
  <w:footnote w:id="21">
    <w:p w14:paraId="5DC5C7FC" w14:textId="2B6E8E3B" w:rsidR="00336EDF" w:rsidRPr="00DD063C" w:rsidRDefault="00336EDF">
      <w:pPr>
        <w:pStyle w:val="FootnoteText"/>
        <w:rPr>
          <w:rFonts w:ascii="Times New Roman" w:hAnsi="Times New Roman" w:cs="Times New Roman"/>
        </w:rPr>
      </w:pPr>
      <w:r w:rsidRPr="00DD063C">
        <w:rPr>
          <w:rStyle w:val="FootnoteReference"/>
          <w:rFonts w:ascii="Times New Roman" w:hAnsi="Times New Roman" w:cs="Times New Roman"/>
        </w:rPr>
        <w:footnoteRef/>
      </w:r>
      <w:bookmarkStart w:id="31" w:name="f20"/>
      <w:bookmarkEnd w:id="31"/>
      <w:r w:rsidRPr="00DD063C">
        <w:rPr>
          <w:rStyle w:val="FootnoteReference"/>
          <w:rFonts w:ascii="Times New Roman" w:hAnsi="Times New Roman" w:cs="Times New Roman"/>
        </w:rPr>
        <w:t xml:space="preserve"> </w:t>
      </w:r>
      <w:r w:rsidRPr="00DD063C">
        <w:rPr>
          <w:rFonts w:ascii="Times New Roman" w:hAnsi="Times New Roman" w:cs="Times New Roman"/>
        </w:rPr>
        <w:t xml:space="preserve">In re Collicott, </w:t>
      </w:r>
      <w:hyperlink r:id="rId5" w:history="1">
        <w:r w:rsidRPr="00391E23">
          <w:rPr>
            <w:rStyle w:val="Hyperlink"/>
            <w:rFonts w:ascii="Times New Roman" w:hAnsi="Times New Roman" w:cs="Times New Roman"/>
          </w:rPr>
          <w:t>20 P.3d 1077</w:t>
        </w:r>
      </w:hyperlink>
      <w:r w:rsidRPr="00DD063C">
        <w:rPr>
          <w:rFonts w:ascii="Times New Roman" w:hAnsi="Times New Roman" w:cs="Times New Roman"/>
        </w:rPr>
        <w:t xml:space="preserve"> (Wyo. 2001); W</w:t>
      </w:r>
      <w:r>
        <w:rPr>
          <w:rFonts w:ascii="Times New Roman" w:hAnsi="Times New Roman" w:cs="Times New Roman"/>
        </w:rPr>
        <w:t xml:space="preserve">right v. </w:t>
      </w:r>
      <w:r w:rsidRPr="00DD063C">
        <w:rPr>
          <w:rFonts w:ascii="Times New Roman" w:hAnsi="Times New Roman" w:cs="Times New Roman"/>
        </w:rPr>
        <w:t xml:space="preserve">Workers' Safety </w:t>
      </w:r>
      <w:r>
        <w:rPr>
          <w:rFonts w:ascii="Times New Roman" w:hAnsi="Times New Roman" w:cs="Times New Roman"/>
        </w:rPr>
        <w:t>&amp;</w:t>
      </w:r>
      <w:r w:rsidRPr="00DD063C">
        <w:rPr>
          <w:rFonts w:ascii="Times New Roman" w:hAnsi="Times New Roman" w:cs="Times New Roman"/>
        </w:rPr>
        <w:t xml:space="preserve"> Comp</w:t>
      </w:r>
      <w:r>
        <w:rPr>
          <w:rFonts w:ascii="Times New Roman" w:hAnsi="Times New Roman" w:cs="Times New Roman"/>
        </w:rPr>
        <w:t>ensation</w:t>
      </w:r>
      <w:r w:rsidRPr="00DD063C">
        <w:rPr>
          <w:rFonts w:ascii="Times New Roman" w:hAnsi="Times New Roman" w:cs="Times New Roman"/>
        </w:rPr>
        <w:t xml:space="preserve"> Div</w:t>
      </w:r>
      <w:r>
        <w:rPr>
          <w:rFonts w:ascii="Times New Roman" w:hAnsi="Times New Roman" w:cs="Times New Roman"/>
        </w:rPr>
        <w:t>.</w:t>
      </w:r>
      <w:r w:rsidRPr="00DD063C">
        <w:rPr>
          <w:rFonts w:ascii="Times New Roman" w:hAnsi="Times New Roman" w:cs="Times New Roman"/>
        </w:rPr>
        <w:t xml:space="preserve">, </w:t>
      </w:r>
      <w:hyperlink r:id="rId6" w:history="1">
        <w:r w:rsidRPr="00391E23">
          <w:rPr>
            <w:rStyle w:val="Hyperlink"/>
            <w:rFonts w:ascii="Times New Roman" w:hAnsi="Times New Roman" w:cs="Times New Roman"/>
          </w:rPr>
          <w:t>952 P.2d 209</w:t>
        </w:r>
      </w:hyperlink>
      <w:r w:rsidRPr="00DD063C">
        <w:rPr>
          <w:rFonts w:ascii="Times New Roman" w:hAnsi="Times New Roman" w:cs="Times New Roman"/>
        </w:rPr>
        <w:t>, 212 n. 1 (Wyo.</w:t>
      </w:r>
      <w:r>
        <w:rPr>
          <w:rFonts w:ascii="Times New Roman" w:hAnsi="Times New Roman" w:cs="Times New Roman"/>
        </w:rPr>
        <w:t xml:space="preserve"> </w:t>
      </w:r>
      <w:r w:rsidRPr="00DD063C">
        <w:rPr>
          <w:rFonts w:ascii="Times New Roman" w:hAnsi="Times New Roman" w:cs="Times New Roman"/>
        </w:rPr>
        <w:t>1998)</w:t>
      </w:r>
    </w:p>
  </w:footnote>
  <w:footnote w:id="22">
    <w:p w14:paraId="5AB32AAB" w14:textId="2650B3B0" w:rsidR="00336EDF" w:rsidRPr="00E3771E" w:rsidRDefault="00336EDF" w:rsidP="00CA6C8C">
      <w:pPr>
        <w:pStyle w:val="FootnoteText"/>
        <w:jc w:val="both"/>
        <w:rPr>
          <w:rFonts w:ascii="Times New Roman" w:hAnsi="Times New Roman" w:cs="Times New Roman"/>
        </w:rPr>
      </w:pPr>
      <w:r w:rsidRPr="00E3771E">
        <w:rPr>
          <w:rStyle w:val="FootnoteReference"/>
          <w:rFonts w:ascii="Times New Roman" w:hAnsi="Times New Roman" w:cs="Times New Roman"/>
        </w:rPr>
        <w:footnoteRef/>
      </w:r>
      <w:r w:rsidRPr="00E3771E">
        <w:rPr>
          <w:rStyle w:val="FootnoteReference"/>
          <w:rFonts w:ascii="Times New Roman" w:hAnsi="Times New Roman" w:cs="Times New Roman"/>
        </w:rPr>
        <w:t xml:space="preserve"> </w:t>
      </w:r>
      <w:bookmarkStart w:id="32" w:name="f21"/>
      <w:bookmarkEnd w:id="32"/>
      <w:r w:rsidRPr="00CA6C8C">
        <w:rPr>
          <w:rFonts w:ascii="Times New Roman" w:hAnsi="Times New Roman" w:cs="Times New Roman"/>
          <w:i/>
        </w:rPr>
        <w:t xml:space="preserve">See </w:t>
      </w:r>
      <w:r w:rsidRPr="00E3771E">
        <w:rPr>
          <w:rFonts w:ascii="Times New Roman" w:hAnsi="Times New Roman" w:cs="Times New Roman"/>
        </w:rPr>
        <w:t>3B Sutherland Statutory Construction § 75:3 (7th ed.)</w:t>
      </w:r>
      <w:r>
        <w:rPr>
          <w:rFonts w:ascii="Times New Roman" w:hAnsi="Times New Roman" w:cs="Times New Roman"/>
        </w:rPr>
        <w:t xml:space="preserve"> (“</w:t>
      </w:r>
      <w:r w:rsidRPr="00CA6C8C">
        <w:rPr>
          <w:rFonts w:ascii="Times New Roman" w:hAnsi="Times New Roman" w:cs="Times New Roman"/>
        </w:rPr>
        <w:t>Courts generally have accorded workers' compensation statutes a liberal interpretation to realize the fullest possible potential of the humane and beneficial purposes of such enactments</w:t>
      </w:r>
      <w:r>
        <w:rPr>
          <w:rFonts w:ascii="Times New Roman" w:hAnsi="Times New Roman" w:cs="Times New Roman"/>
        </w:rPr>
        <w:t>.”)</w:t>
      </w:r>
    </w:p>
  </w:footnote>
  <w:footnote w:id="23">
    <w:p w14:paraId="6725F380" w14:textId="716AD3BF" w:rsidR="00336EDF" w:rsidRDefault="00336EDF">
      <w:pPr>
        <w:pStyle w:val="FootnoteText"/>
      </w:pPr>
      <w:r w:rsidRPr="00115E44">
        <w:rPr>
          <w:rStyle w:val="FootnoteReference"/>
          <w:rFonts w:ascii="Times New Roman" w:hAnsi="Times New Roman" w:cs="Times New Roman"/>
        </w:rPr>
        <w:footnoteRef/>
      </w:r>
      <w:bookmarkStart w:id="33" w:name="f22"/>
      <w:bookmarkEnd w:id="33"/>
      <w:r w:rsidRPr="00115E44">
        <w:rPr>
          <w:rStyle w:val="FootnoteReference"/>
          <w:rFonts w:ascii="Times New Roman" w:hAnsi="Times New Roman" w:cs="Times New Roman"/>
        </w:rPr>
        <w:t xml:space="preserve"> </w:t>
      </w:r>
      <w:r w:rsidRPr="00115E44">
        <w:rPr>
          <w:rFonts w:ascii="Times New Roman" w:hAnsi="Times New Roman" w:cs="Times New Roman"/>
          <w:i/>
        </w:rPr>
        <w:t>Id</w:t>
      </w:r>
      <w:r w:rsidRPr="00115E44">
        <w:rPr>
          <w:rFonts w:ascii="Times New Roman" w:hAnsi="Times New Roman" w:cs="Times New Roman"/>
        </w:rPr>
        <w:t>. n.71 and accompanying text</w:t>
      </w:r>
    </w:p>
  </w:footnote>
  <w:footnote w:id="24">
    <w:p w14:paraId="4BACEC28" w14:textId="23DED7FA" w:rsidR="00336EDF" w:rsidRPr="000B7444" w:rsidRDefault="00336EDF" w:rsidP="000B7444">
      <w:pPr>
        <w:pStyle w:val="FootnoteText"/>
        <w:jc w:val="both"/>
        <w:rPr>
          <w:rFonts w:ascii="Times New Roman" w:hAnsi="Times New Roman" w:cs="Times New Roman"/>
        </w:rPr>
      </w:pPr>
      <w:r w:rsidRPr="000B7444">
        <w:rPr>
          <w:rStyle w:val="FootnoteReference"/>
          <w:rFonts w:ascii="Times New Roman" w:hAnsi="Times New Roman" w:cs="Times New Roman"/>
        </w:rPr>
        <w:footnoteRef/>
      </w:r>
      <w:r>
        <w:t xml:space="preserve"> </w:t>
      </w:r>
      <w:bookmarkStart w:id="34" w:name="f23"/>
      <w:bookmarkEnd w:id="34"/>
      <w:r w:rsidRPr="000B7444">
        <w:rPr>
          <w:rFonts w:ascii="Times New Roman" w:hAnsi="Times New Roman" w:cs="Times New Roman"/>
        </w:rPr>
        <w:t>Brierley v. Workers’ Safety</w:t>
      </w:r>
      <w:r>
        <w:rPr>
          <w:rFonts w:ascii="Times New Roman" w:hAnsi="Times New Roman" w:cs="Times New Roman"/>
        </w:rPr>
        <w:t xml:space="preserve"> &amp;</w:t>
      </w:r>
      <w:r w:rsidRPr="000B7444">
        <w:rPr>
          <w:rFonts w:ascii="Times New Roman" w:hAnsi="Times New Roman" w:cs="Times New Roman"/>
        </w:rPr>
        <w:t xml:space="preserve"> Compensation Div., </w:t>
      </w:r>
      <w:hyperlink r:id="rId7" w:history="1">
        <w:r w:rsidRPr="001F3142">
          <w:rPr>
            <w:rStyle w:val="Hyperlink"/>
            <w:rFonts w:ascii="Times New Roman" w:hAnsi="Times New Roman" w:cs="Times New Roman"/>
          </w:rPr>
          <w:t>52 P.3d 564</w:t>
        </w:r>
      </w:hyperlink>
      <w:r w:rsidRPr="000B7444">
        <w:rPr>
          <w:rFonts w:ascii="Times New Roman" w:hAnsi="Times New Roman" w:cs="Times New Roman"/>
        </w:rPr>
        <w:t xml:space="preserve"> (Wyo. 2002); Wilkinson v. Workers’ Safety </w:t>
      </w:r>
      <w:r>
        <w:rPr>
          <w:rFonts w:ascii="Times New Roman" w:hAnsi="Times New Roman" w:cs="Times New Roman"/>
        </w:rPr>
        <w:t xml:space="preserve">&amp; </w:t>
      </w:r>
      <w:r w:rsidRPr="000B7444">
        <w:rPr>
          <w:rFonts w:ascii="Times New Roman" w:hAnsi="Times New Roman" w:cs="Times New Roman"/>
        </w:rPr>
        <w:t xml:space="preserve">Compensation Div., </w:t>
      </w:r>
      <w:hyperlink r:id="rId8" w:history="1">
        <w:r w:rsidRPr="001F3142">
          <w:rPr>
            <w:rStyle w:val="Hyperlink"/>
            <w:rFonts w:ascii="Times New Roman" w:hAnsi="Times New Roman" w:cs="Times New Roman"/>
          </w:rPr>
          <w:t>991 P.2d 1228</w:t>
        </w:r>
      </w:hyperlink>
      <w:r w:rsidRPr="000B7444">
        <w:rPr>
          <w:rFonts w:ascii="Times New Roman" w:hAnsi="Times New Roman" w:cs="Times New Roman"/>
        </w:rPr>
        <w:t>, 1242 (Wyo.1999)</w:t>
      </w:r>
    </w:p>
  </w:footnote>
  <w:footnote w:id="25">
    <w:p w14:paraId="60BC55E7" w14:textId="6B8FFAAA" w:rsidR="00336EDF" w:rsidRPr="001A054B" w:rsidRDefault="00336EDF" w:rsidP="001A054B">
      <w:pPr>
        <w:pStyle w:val="FootnoteText"/>
        <w:jc w:val="both"/>
        <w:rPr>
          <w:rFonts w:ascii="Times New Roman" w:hAnsi="Times New Roman" w:cs="Times New Roman"/>
        </w:rPr>
      </w:pPr>
      <w:r w:rsidRPr="001A054B">
        <w:rPr>
          <w:rStyle w:val="FootnoteReference"/>
          <w:rFonts w:ascii="Times New Roman" w:hAnsi="Times New Roman" w:cs="Times New Roman"/>
        </w:rPr>
        <w:footnoteRef/>
      </w:r>
      <w:r w:rsidRPr="001A054B">
        <w:rPr>
          <w:rFonts w:ascii="Times New Roman" w:hAnsi="Times New Roman" w:cs="Times New Roman"/>
        </w:rPr>
        <w:t xml:space="preserve"> </w:t>
      </w:r>
      <w:bookmarkStart w:id="36" w:name="f24"/>
      <w:bookmarkStart w:id="37" w:name="_Hlk516067199"/>
      <w:bookmarkEnd w:id="36"/>
      <w:r>
        <w:rPr>
          <w:rFonts w:ascii="Times New Roman" w:hAnsi="Times New Roman" w:cs="Times New Roman"/>
        </w:rPr>
        <w:t>1 B</w:t>
      </w:r>
      <w:r w:rsidRPr="00863C10">
        <w:rPr>
          <w:rFonts w:ascii="Times New Roman" w:hAnsi="Times New Roman" w:cs="Times New Roman"/>
          <w:smallCaps/>
        </w:rPr>
        <w:t>radbury</w:t>
      </w:r>
      <w:r>
        <w:rPr>
          <w:rFonts w:ascii="Times New Roman" w:hAnsi="Times New Roman" w:cs="Times New Roman"/>
        </w:rPr>
        <w:t>’s W</w:t>
      </w:r>
      <w:r w:rsidRPr="00863C10">
        <w:rPr>
          <w:rFonts w:ascii="Times New Roman" w:hAnsi="Times New Roman" w:cs="Times New Roman"/>
          <w:smallCaps/>
        </w:rPr>
        <w:t>orkmen</w:t>
      </w:r>
      <w:r>
        <w:rPr>
          <w:rFonts w:ascii="Times New Roman" w:hAnsi="Times New Roman" w:cs="Times New Roman"/>
        </w:rPr>
        <w:t>’s C</w:t>
      </w:r>
      <w:r w:rsidRPr="00863C10">
        <w:rPr>
          <w:rFonts w:ascii="Times New Roman" w:hAnsi="Times New Roman" w:cs="Times New Roman"/>
          <w:smallCaps/>
        </w:rPr>
        <w:t>ompensation</w:t>
      </w:r>
      <w:r>
        <w:rPr>
          <w:rFonts w:ascii="Times New Roman" w:hAnsi="Times New Roman" w:cs="Times New Roman"/>
        </w:rPr>
        <w:t xml:space="preserve"> </w:t>
      </w:r>
      <w:r w:rsidRPr="00863C10">
        <w:rPr>
          <w:rFonts w:ascii="Times New Roman" w:hAnsi="Times New Roman" w:cs="Times New Roman"/>
          <w:smallCaps/>
        </w:rPr>
        <w:t>and</w:t>
      </w:r>
      <w:r>
        <w:rPr>
          <w:rFonts w:ascii="Times New Roman" w:hAnsi="Times New Roman" w:cs="Times New Roman"/>
        </w:rPr>
        <w:t xml:space="preserve"> S</w:t>
      </w:r>
      <w:r w:rsidRPr="00863C10">
        <w:rPr>
          <w:rFonts w:ascii="Times New Roman" w:hAnsi="Times New Roman" w:cs="Times New Roman"/>
          <w:smallCaps/>
        </w:rPr>
        <w:t>tate</w:t>
      </w:r>
      <w:r>
        <w:rPr>
          <w:rFonts w:ascii="Times New Roman" w:hAnsi="Times New Roman" w:cs="Times New Roman"/>
        </w:rPr>
        <w:t xml:space="preserve"> I</w:t>
      </w:r>
      <w:r w:rsidRPr="00863C10">
        <w:rPr>
          <w:rFonts w:ascii="Times New Roman" w:hAnsi="Times New Roman" w:cs="Times New Roman"/>
          <w:smallCaps/>
        </w:rPr>
        <w:t>nsurance</w:t>
      </w:r>
      <w:r>
        <w:rPr>
          <w:rFonts w:ascii="Times New Roman" w:hAnsi="Times New Roman" w:cs="Times New Roman"/>
        </w:rPr>
        <w:t xml:space="preserve"> L</w:t>
      </w:r>
      <w:r w:rsidRPr="00863C10">
        <w:rPr>
          <w:rFonts w:ascii="Times New Roman" w:hAnsi="Times New Roman" w:cs="Times New Roman"/>
          <w:smallCaps/>
        </w:rPr>
        <w:t>aw</w:t>
      </w:r>
      <w:r>
        <w:rPr>
          <w:rFonts w:ascii="Times New Roman" w:hAnsi="Times New Roman" w:cs="Times New Roman"/>
        </w:rPr>
        <w:t xml:space="preserve"> (hereinafter “B</w:t>
      </w:r>
      <w:r w:rsidRPr="00863C10">
        <w:rPr>
          <w:rFonts w:ascii="Times New Roman" w:hAnsi="Times New Roman" w:cs="Times New Roman"/>
          <w:smallCaps/>
        </w:rPr>
        <w:t>radbury</w:t>
      </w:r>
      <w:r>
        <w:rPr>
          <w:rFonts w:ascii="Times New Roman" w:hAnsi="Times New Roman" w:cs="Times New Roman"/>
        </w:rPr>
        <w:t>’s”) 2 (2nd Ed. 1914)</w:t>
      </w:r>
      <w:bookmarkEnd w:id="37"/>
      <w:r>
        <w:rPr>
          <w:rFonts w:ascii="Times New Roman" w:hAnsi="Times New Roman" w:cs="Times New Roman"/>
        </w:rPr>
        <w:t xml:space="preserve">; </w:t>
      </w:r>
    </w:p>
  </w:footnote>
  <w:footnote w:id="26">
    <w:p w14:paraId="5947D787" w14:textId="09A64CA6" w:rsidR="00336EDF" w:rsidRPr="001A054B" w:rsidRDefault="00336EDF" w:rsidP="001A054B">
      <w:pPr>
        <w:pStyle w:val="FootnoteText"/>
        <w:jc w:val="both"/>
        <w:rPr>
          <w:rFonts w:ascii="Times New Roman" w:hAnsi="Times New Roman" w:cs="Times New Roman"/>
        </w:rPr>
      </w:pPr>
      <w:r w:rsidRPr="00CB648F">
        <w:rPr>
          <w:rStyle w:val="FootnoteReference"/>
          <w:rFonts w:ascii="Times New Roman" w:hAnsi="Times New Roman" w:cs="Times New Roman"/>
        </w:rPr>
        <w:footnoteRef/>
      </w:r>
      <w:r w:rsidRPr="00CB648F">
        <w:rPr>
          <w:rFonts w:ascii="Times New Roman" w:hAnsi="Times New Roman" w:cs="Times New Roman"/>
        </w:rPr>
        <w:t xml:space="preserve"> </w:t>
      </w:r>
      <w:bookmarkStart w:id="38" w:name="f25"/>
      <w:bookmarkEnd w:id="38"/>
      <w:r w:rsidRPr="005D64EB">
        <w:rPr>
          <w:rFonts w:ascii="Times New Roman" w:hAnsi="Times New Roman" w:cs="Times New Roman"/>
        </w:rPr>
        <w:t xml:space="preserve">Zancanelli v. Central Coal &amp; Coke Co., </w:t>
      </w:r>
      <w:hyperlink r:id="rId9" w:history="1">
        <w:r w:rsidRPr="00450FFE">
          <w:rPr>
            <w:rStyle w:val="Hyperlink"/>
            <w:rFonts w:ascii="Times New Roman" w:hAnsi="Times New Roman" w:cs="Times New Roman"/>
          </w:rPr>
          <w:t>173 P. 981</w:t>
        </w:r>
      </w:hyperlink>
      <w:r w:rsidRPr="005D64EB">
        <w:rPr>
          <w:rFonts w:ascii="Times New Roman" w:hAnsi="Times New Roman" w:cs="Times New Roman"/>
        </w:rPr>
        <w:t xml:space="preserve"> (</w:t>
      </w:r>
      <w:r>
        <w:rPr>
          <w:rFonts w:ascii="Times New Roman" w:hAnsi="Times New Roman" w:cs="Times New Roman"/>
        </w:rPr>
        <w:t xml:space="preserve">Wyo. </w:t>
      </w:r>
      <w:r w:rsidRPr="005D64EB">
        <w:rPr>
          <w:rFonts w:ascii="Times New Roman" w:hAnsi="Times New Roman" w:cs="Times New Roman"/>
        </w:rPr>
        <w:t xml:space="preserve">1918). Hotelling v. Fargo-Western Oil Co., </w:t>
      </w:r>
      <w:hyperlink r:id="rId10" w:history="1">
        <w:r w:rsidRPr="00450FFE">
          <w:rPr>
            <w:rStyle w:val="Hyperlink"/>
            <w:rFonts w:ascii="Times New Roman" w:hAnsi="Times New Roman" w:cs="Times New Roman"/>
          </w:rPr>
          <w:t>238 P. 542</w:t>
        </w:r>
      </w:hyperlink>
      <w:r w:rsidRPr="005D64EB">
        <w:rPr>
          <w:rFonts w:ascii="Times New Roman" w:hAnsi="Times New Roman" w:cs="Times New Roman"/>
        </w:rPr>
        <w:t xml:space="preserve"> (</w:t>
      </w:r>
      <w:r>
        <w:rPr>
          <w:rFonts w:ascii="Times New Roman" w:hAnsi="Times New Roman" w:cs="Times New Roman"/>
        </w:rPr>
        <w:t xml:space="preserve">Wyo. </w:t>
      </w:r>
      <w:r w:rsidRPr="005D64EB">
        <w:rPr>
          <w:rFonts w:ascii="Times New Roman" w:hAnsi="Times New Roman" w:cs="Times New Roman"/>
        </w:rPr>
        <w:t xml:space="preserve">1925); In re Byrne, </w:t>
      </w:r>
      <w:hyperlink r:id="rId11" w:history="1">
        <w:r w:rsidRPr="00450FFE">
          <w:rPr>
            <w:rStyle w:val="Hyperlink"/>
            <w:rFonts w:ascii="Times New Roman" w:hAnsi="Times New Roman" w:cs="Times New Roman"/>
          </w:rPr>
          <w:t>86 P.2d 1095</w:t>
        </w:r>
      </w:hyperlink>
      <w:r w:rsidRPr="005D64EB">
        <w:rPr>
          <w:rFonts w:ascii="Times New Roman" w:hAnsi="Times New Roman" w:cs="Times New Roman"/>
        </w:rPr>
        <w:t>, 1101 (</w:t>
      </w:r>
      <w:r>
        <w:rPr>
          <w:rFonts w:ascii="Times New Roman" w:hAnsi="Times New Roman" w:cs="Times New Roman"/>
        </w:rPr>
        <w:t xml:space="preserve">Wyo. </w:t>
      </w:r>
      <w:r w:rsidRPr="005D64EB">
        <w:rPr>
          <w:rFonts w:ascii="Times New Roman" w:hAnsi="Times New Roman" w:cs="Times New Roman"/>
        </w:rPr>
        <w:t xml:space="preserve">1939); Fuhs v. Swenson, </w:t>
      </w:r>
      <w:hyperlink r:id="rId12" w:history="1">
        <w:r w:rsidRPr="00450FFE">
          <w:rPr>
            <w:rStyle w:val="Hyperlink"/>
            <w:rFonts w:ascii="Times New Roman" w:hAnsi="Times New Roman" w:cs="Times New Roman"/>
          </w:rPr>
          <w:t>131 P.2d 333</w:t>
        </w:r>
      </w:hyperlink>
      <w:r w:rsidRPr="005D64EB">
        <w:rPr>
          <w:rFonts w:ascii="Times New Roman" w:hAnsi="Times New Roman" w:cs="Times New Roman"/>
        </w:rPr>
        <w:t>, 337 (1942)</w:t>
      </w:r>
      <w:r>
        <w:rPr>
          <w:rFonts w:ascii="Times New Roman" w:hAnsi="Times New Roman" w:cs="Times New Roman"/>
        </w:rPr>
        <w:t xml:space="preserve">; Cottonwood Steel Corp. v. Hansen, </w:t>
      </w:r>
      <w:hyperlink r:id="rId13" w:history="1">
        <w:r w:rsidRPr="00450FFE">
          <w:rPr>
            <w:rStyle w:val="Hyperlink"/>
            <w:rFonts w:ascii="Times New Roman" w:hAnsi="Times New Roman" w:cs="Times New Roman"/>
          </w:rPr>
          <w:t>655 P.2d 1226</w:t>
        </w:r>
      </w:hyperlink>
      <w:r>
        <w:rPr>
          <w:rFonts w:ascii="Times New Roman" w:hAnsi="Times New Roman" w:cs="Times New Roman"/>
        </w:rPr>
        <w:t xml:space="preserve"> (Wyo. 1982); Baker v. Wendy’s of Montana, </w:t>
      </w:r>
      <w:hyperlink r:id="rId14" w:history="1">
        <w:r w:rsidRPr="0060772C">
          <w:rPr>
            <w:rStyle w:val="Hyperlink"/>
            <w:rFonts w:ascii="Times New Roman" w:hAnsi="Times New Roman" w:cs="Times New Roman"/>
          </w:rPr>
          <w:t>687 P.2d 885</w:t>
        </w:r>
      </w:hyperlink>
      <w:r>
        <w:rPr>
          <w:rFonts w:ascii="Times New Roman" w:hAnsi="Times New Roman" w:cs="Times New Roman"/>
        </w:rPr>
        <w:t xml:space="preserve"> (Wyo. 1984)</w:t>
      </w:r>
    </w:p>
  </w:footnote>
  <w:footnote w:id="27">
    <w:p w14:paraId="5FF6CAEB" w14:textId="6A699B82" w:rsidR="00336EDF" w:rsidRPr="00192D8B" w:rsidRDefault="00336EDF">
      <w:pPr>
        <w:pStyle w:val="FootnoteText"/>
        <w:rPr>
          <w:rFonts w:ascii="Times New Roman" w:hAnsi="Times New Roman" w:cs="Times New Roman"/>
        </w:rPr>
      </w:pPr>
      <w:r w:rsidRPr="00D35B59">
        <w:rPr>
          <w:rStyle w:val="FootnoteReference"/>
          <w:rFonts w:ascii="Times New Roman" w:hAnsi="Times New Roman" w:cs="Times New Roman"/>
        </w:rPr>
        <w:footnoteRef/>
      </w:r>
      <w:r w:rsidRPr="00D35B59">
        <w:rPr>
          <w:rFonts w:ascii="Times New Roman" w:hAnsi="Times New Roman" w:cs="Times New Roman"/>
        </w:rPr>
        <w:t xml:space="preserve"> </w:t>
      </w:r>
      <w:bookmarkStart w:id="40" w:name="f26"/>
      <w:bookmarkStart w:id="41" w:name="_Hlk517555188"/>
      <w:bookmarkEnd w:id="40"/>
      <w:r>
        <w:rPr>
          <w:rFonts w:ascii="Times New Roman" w:hAnsi="Times New Roman" w:cs="Times New Roman"/>
        </w:rPr>
        <w:t xml:space="preserve">9 </w:t>
      </w:r>
      <w:r w:rsidRPr="00D35B59">
        <w:rPr>
          <w:rFonts w:ascii="Times New Roman" w:hAnsi="Times New Roman" w:cs="Times New Roman"/>
        </w:rPr>
        <w:t>L</w:t>
      </w:r>
      <w:r w:rsidRPr="000020CC">
        <w:rPr>
          <w:rFonts w:ascii="Times New Roman" w:hAnsi="Times New Roman" w:cs="Times New Roman"/>
          <w:smallCaps/>
        </w:rPr>
        <w:t>arson’s</w:t>
      </w:r>
      <w:r w:rsidRPr="00D35B59">
        <w:rPr>
          <w:rFonts w:ascii="Times New Roman" w:hAnsi="Times New Roman" w:cs="Times New Roman"/>
        </w:rPr>
        <w:t xml:space="preserve"> </w:t>
      </w:r>
      <w:r>
        <w:rPr>
          <w:rFonts w:ascii="Times New Roman" w:hAnsi="Times New Roman" w:cs="Times New Roman"/>
        </w:rPr>
        <w:t>W</w:t>
      </w:r>
      <w:r w:rsidRPr="000020CC">
        <w:rPr>
          <w:rFonts w:ascii="Times New Roman" w:hAnsi="Times New Roman" w:cs="Times New Roman"/>
          <w:smallCaps/>
        </w:rPr>
        <w:t>orkers</w:t>
      </w:r>
      <w:r>
        <w:rPr>
          <w:rFonts w:ascii="Times New Roman" w:hAnsi="Times New Roman" w:cs="Times New Roman"/>
        </w:rPr>
        <w:t>’ C</w:t>
      </w:r>
      <w:r w:rsidRPr="000020CC">
        <w:rPr>
          <w:rFonts w:ascii="Times New Roman" w:hAnsi="Times New Roman" w:cs="Times New Roman"/>
          <w:smallCaps/>
        </w:rPr>
        <w:t>ompensation</w:t>
      </w:r>
      <w:r>
        <w:rPr>
          <w:rFonts w:ascii="Times New Roman" w:hAnsi="Times New Roman" w:cs="Times New Roman"/>
        </w:rPr>
        <w:t xml:space="preserve"> L</w:t>
      </w:r>
      <w:r w:rsidRPr="000020CC">
        <w:rPr>
          <w:rFonts w:ascii="Times New Roman" w:hAnsi="Times New Roman" w:cs="Times New Roman"/>
          <w:smallCaps/>
        </w:rPr>
        <w:t>aw</w:t>
      </w:r>
      <w:r>
        <w:rPr>
          <w:rFonts w:ascii="Times New Roman" w:hAnsi="Times New Roman" w:cs="Times New Roman"/>
        </w:rPr>
        <w:t xml:space="preserve"> § 100.01</w:t>
      </w:r>
      <w:bookmarkEnd w:id="41"/>
      <w:r>
        <w:rPr>
          <w:rFonts w:ascii="Times New Roman" w:hAnsi="Times New Roman" w:cs="Times New Roman"/>
        </w:rPr>
        <w:t xml:space="preserve">; </w:t>
      </w:r>
      <w:r w:rsidRPr="006F73E2">
        <w:rPr>
          <w:rFonts w:ascii="Times New Roman" w:hAnsi="Times New Roman" w:cs="Times New Roman"/>
          <w:i/>
        </w:rPr>
        <w:t>see also</w:t>
      </w:r>
      <w:r>
        <w:rPr>
          <w:rFonts w:ascii="Times New Roman" w:hAnsi="Times New Roman" w:cs="Times New Roman"/>
        </w:rPr>
        <w:t xml:space="preserve"> M</w:t>
      </w:r>
      <w:r w:rsidRPr="006F73E2">
        <w:rPr>
          <w:rFonts w:ascii="Times New Roman" w:hAnsi="Times New Roman" w:cs="Times New Roman"/>
          <w:smallCaps/>
        </w:rPr>
        <w:t>ichael</w:t>
      </w:r>
      <w:r>
        <w:rPr>
          <w:rFonts w:ascii="Times New Roman" w:hAnsi="Times New Roman" w:cs="Times New Roman"/>
        </w:rPr>
        <w:t xml:space="preserve"> C. D</w:t>
      </w:r>
      <w:r w:rsidRPr="006F73E2">
        <w:rPr>
          <w:rFonts w:ascii="Times New Roman" w:hAnsi="Times New Roman" w:cs="Times New Roman"/>
          <w:smallCaps/>
        </w:rPr>
        <w:t>uff</w:t>
      </w:r>
      <w:r>
        <w:rPr>
          <w:rFonts w:ascii="Times New Roman" w:hAnsi="Times New Roman" w:cs="Times New Roman"/>
        </w:rPr>
        <w:t>, W</w:t>
      </w:r>
      <w:r w:rsidRPr="006F73E2">
        <w:rPr>
          <w:rFonts w:ascii="Times New Roman" w:hAnsi="Times New Roman" w:cs="Times New Roman"/>
          <w:smallCaps/>
        </w:rPr>
        <w:t>orkers</w:t>
      </w:r>
      <w:r>
        <w:rPr>
          <w:rFonts w:ascii="Times New Roman" w:hAnsi="Times New Roman" w:cs="Times New Roman"/>
        </w:rPr>
        <w:t>’ C</w:t>
      </w:r>
      <w:r w:rsidRPr="006F73E2">
        <w:rPr>
          <w:rFonts w:ascii="Times New Roman" w:hAnsi="Times New Roman" w:cs="Times New Roman"/>
          <w:smallCaps/>
        </w:rPr>
        <w:t>ompensation</w:t>
      </w:r>
      <w:r>
        <w:rPr>
          <w:rFonts w:ascii="Times New Roman" w:hAnsi="Times New Roman" w:cs="Times New Roman"/>
        </w:rPr>
        <w:t xml:space="preserve"> L</w:t>
      </w:r>
      <w:r w:rsidRPr="006F73E2">
        <w:rPr>
          <w:rFonts w:ascii="Times New Roman" w:hAnsi="Times New Roman" w:cs="Times New Roman"/>
          <w:smallCaps/>
        </w:rPr>
        <w:t>aw</w:t>
      </w:r>
      <w:r>
        <w:rPr>
          <w:rFonts w:ascii="Times New Roman" w:hAnsi="Times New Roman" w:cs="Times New Roman"/>
        </w:rPr>
        <w:t xml:space="preserve"> 7 (LexisNexis 2017)</w:t>
      </w:r>
    </w:p>
  </w:footnote>
  <w:footnote w:id="28">
    <w:p w14:paraId="550B73D5" w14:textId="67ECD798" w:rsidR="00336EDF" w:rsidRPr="00BF7485" w:rsidRDefault="00336EDF">
      <w:pPr>
        <w:pStyle w:val="FootnoteText"/>
        <w:rPr>
          <w:rFonts w:ascii="Times New Roman" w:hAnsi="Times New Roman" w:cs="Times New Roman"/>
        </w:rPr>
      </w:pPr>
      <w:r w:rsidRPr="000020CC">
        <w:rPr>
          <w:rStyle w:val="FootnoteReference"/>
          <w:rFonts w:ascii="Times New Roman" w:hAnsi="Times New Roman" w:cs="Times New Roman"/>
        </w:rPr>
        <w:footnoteRef/>
      </w:r>
      <w:r w:rsidRPr="000020CC">
        <w:rPr>
          <w:rFonts w:ascii="Times New Roman" w:hAnsi="Times New Roman" w:cs="Times New Roman"/>
        </w:rPr>
        <w:t xml:space="preserve"> </w:t>
      </w:r>
      <w:bookmarkStart w:id="42" w:name="f27"/>
      <w:bookmarkStart w:id="43" w:name="_Hlk516748788"/>
      <w:bookmarkEnd w:id="42"/>
      <w:r w:rsidRPr="000020CC">
        <w:rPr>
          <w:rFonts w:ascii="Times New Roman" w:hAnsi="Times New Roman" w:cs="Times New Roman"/>
        </w:rPr>
        <w:t>9 L</w:t>
      </w:r>
      <w:r w:rsidRPr="000020CC">
        <w:rPr>
          <w:rFonts w:ascii="Times New Roman" w:hAnsi="Times New Roman" w:cs="Times New Roman"/>
          <w:smallCaps/>
        </w:rPr>
        <w:t xml:space="preserve">arson's </w:t>
      </w:r>
      <w:r w:rsidRPr="000020CC">
        <w:rPr>
          <w:rFonts w:ascii="Times New Roman" w:hAnsi="Times New Roman" w:cs="Times New Roman"/>
        </w:rPr>
        <w:t>W</w:t>
      </w:r>
      <w:r w:rsidRPr="000020CC">
        <w:rPr>
          <w:rFonts w:ascii="Times New Roman" w:hAnsi="Times New Roman" w:cs="Times New Roman"/>
          <w:smallCaps/>
        </w:rPr>
        <w:t>orkers</w:t>
      </w:r>
      <w:r>
        <w:rPr>
          <w:rFonts w:ascii="Times New Roman" w:hAnsi="Times New Roman" w:cs="Times New Roman"/>
          <w:smallCaps/>
        </w:rPr>
        <w:t>’</w:t>
      </w:r>
      <w:r w:rsidRPr="000020CC">
        <w:rPr>
          <w:rFonts w:ascii="Times New Roman" w:hAnsi="Times New Roman" w:cs="Times New Roman"/>
        </w:rPr>
        <w:t xml:space="preserve"> C</w:t>
      </w:r>
      <w:r w:rsidRPr="000020CC">
        <w:rPr>
          <w:rFonts w:ascii="Times New Roman" w:hAnsi="Times New Roman" w:cs="Times New Roman"/>
          <w:smallCaps/>
        </w:rPr>
        <w:t>ompensation</w:t>
      </w:r>
      <w:r w:rsidRPr="000020CC">
        <w:rPr>
          <w:rFonts w:ascii="Times New Roman" w:hAnsi="Times New Roman" w:cs="Times New Roman"/>
        </w:rPr>
        <w:t xml:space="preserve"> L</w:t>
      </w:r>
      <w:r w:rsidRPr="000020CC">
        <w:rPr>
          <w:rFonts w:ascii="Times New Roman" w:hAnsi="Times New Roman" w:cs="Times New Roman"/>
          <w:smallCaps/>
        </w:rPr>
        <w:t>aw</w:t>
      </w:r>
      <w:r w:rsidRPr="000020CC">
        <w:rPr>
          <w:rFonts w:ascii="Times New Roman" w:hAnsi="Times New Roman" w:cs="Times New Roman"/>
        </w:rPr>
        <w:t xml:space="preserve"> § 102.01</w:t>
      </w:r>
      <w:bookmarkEnd w:id="43"/>
      <w:r>
        <w:rPr>
          <w:rFonts w:ascii="Times New Roman" w:hAnsi="Times New Roman" w:cs="Times New Roman"/>
        </w:rPr>
        <w:t>;</w:t>
      </w:r>
      <w:r w:rsidRPr="000020CC">
        <w:rPr>
          <w:rFonts w:ascii="Times New Roman" w:hAnsi="Times New Roman" w:cs="Times New Roman"/>
          <w:i/>
        </w:rPr>
        <w:t xml:space="preserve"> see</w:t>
      </w:r>
      <w:r w:rsidRPr="000020CC">
        <w:rPr>
          <w:rFonts w:ascii="Times New Roman" w:hAnsi="Times New Roman" w:cs="Times New Roman"/>
        </w:rPr>
        <w:t xml:space="preserve"> </w:t>
      </w:r>
      <w:r w:rsidRPr="000020CC">
        <w:rPr>
          <w:rFonts w:ascii="Times New Roman" w:hAnsi="Times New Roman" w:cs="Times New Roman"/>
          <w:i/>
        </w:rPr>
        <w:t>also</w:t>
      </w:r>
      <w:r>
        <w:rPr>
          <w:rFonts w:ascii="Times New Roman" w:hAnsi="Times New Roman" w:cs="Times New Roman"/>
        </w:rPr>
        <w:t xml:space="preserve"> </w:t>
      </w:r>
      <w:r w:rsidRPr="000020CC">
        <w:rPr>
          <w:rFonts w:ascii="Times New Roman" w:hAnsi="Times New Roman" w:cs="Times New Roman"/>
        </w:rPr>
        <w:t>Noe Rodriguez v West Brand Dairies</w:t>
      </w:r>
      <w:r>
        <w:rPr>
          <w:rFonts w:ascii="Times New Roman" w:hAnsi="Times New Roman" w:cs="Times New Roman"/>
        </w:rPr>
        <w:t>,</w:t>
      </w:r>
      <w:r w:rsidRPr="0060772C">
        <w:t xml:space="preserve"> </w:t>
      </w:r>
      <w:hyperlink r:id="rId15" w:history="1">
        <w:r w:rsidRPr="0060772C">
          <w:rPr>
            <w:rStyle w:val="Hyperlink"/>
            <w:rFonts w:ascii="Times New Roman" w:hAnsi="Times New Roman" w:cs="Times New Roman"/>
          </w:rPr>
          <w:t>378 P.3d 13</w:t>
        </w:r>
      </w:hyperlink>
      <w:r w:rsidRPr="0060772C">
        <w:rPr>
          <w:rFonts w:ascii="Times New Roman" w:hAnsi="Times New Roman" w:cs="Times New Roman"/>
        </w:rPr>
        <w:t xml:space="preserve"> </w:t>
      </w:r>
      <w:r w:rsidRPr="000020CC">
        <w:rPr>
          <w:rFonts w:ascii="Times New Roman" w:hAnsi="Times New Roman" w:cs="Times New Roman"/>
        </w:rPr>
        <w:t>(N</w:t>
      </w:r>
      <w:r>
        <w:rPr>
          <w:rFonts w:ascii="Times New Roman" w:hAnsi="Times New Roman" w:cs="Times New Roman"/>
        </w:rPr>
        <w:t>.</w:t>
      </w:r>
      <w:r w:rsidRPr="000020CC">
        <w:rPr>
          <w:rFonts w:ascii="Times New Roman" w:hAnsi="Times New Roman" w:cs="Times New Roman"/>
        </w:rPr>
        <w:t>M</w:t>
      </w:r>
      <w:r>
        <w:rPr>
          <w:rFonts w:ascii="Times New Roman" w:hAnsi="Times New Roman" w:cs="Times New Roman"/>
        </w:rPr>
        <w:t>.</w:t>
      </w:r>
      <w:r w:rsidRPr="000020CC">
        <w:rPr>
          <w:rFonts w:ascii="Times New Roman" w:hAnsi="Times New Roman" w:cs="Times New Roman"/>
        </w:rPr>
        <w:t xml:space="preserve"> 201</w:t>
      </w:r>
      <w:r>
        <w:rPr>
          <w:rFonts w:ascii="Times New Roman" w:hAnsi="Times New Roman" w:cs="Times New Roman"/>
        </w:rPr>
        <w:t>6</w:t>
      </w:r>
      <w:r w:rsidRPr="000020CC">
        <w:rPr>
          <w:rFonts w:ascii="Times New Roman" w:hAnsi="Times New Roman" w:cs="Times New Roman"/>
        </w:rPr>
        <w:t>)</w:t>
      </w:r>
    </w:p>
  </w:footnote>
  <w:footnote w:id="29">
    <w:p w14:paraId="49D936FF" w14:textId="3339CDD8" w:rsidR="00336EDF" w:rsidRPr="0049738C" w:rsidRDefault="00336EDF">
      <w:pPr>
        <w:pStyle w:val="FootnoteText"/>
        <w:rPr>
          <w:rFonts w:ascii="Times New Roman" w:hAnsi="Times New Roman" w:cs="Times New Roman"/>
        </w:rPr>
      </w:pPr>
      <w:r w:rsidRPr="0008474B">
        <w:rPr>
          <w:rStyle w:val="FootnoteReference"/>
          <w:rFonts w:ascii="Times New Roman" w:hAnsi="Times New Roman" w:cs="Times New Roman"/>
        </w:rPr>
        <w:footnoteRef/>
      </w:r>
      <w:r w:rsidRPr="0008474B">
        <w:rPr>
          <w:rFonts w:ascii="Times New Roman" w:hAnsi="Times New Roman" w:cs="Times New Roman"/>
        </w:rPr>
        <w:t xml:space="preserve"> </w:t>
      </w:r>
      <w:bookmarkStart w:id="44" w:name="f28"/>
      <w:bookmarkEnd w:id="44"/>
      <w:r w:rsidRPr="000020CC">
        <w:rPr>
          <w:rFonts w:ascii="Times New Roman" w:hAnsi="Times New Roman" w:cs="Times New Roman"/>
        </w:rPr>
        <w:t>9 L</w:t>
      </w:r>
      <w:r w:rsidRPr="000020CC">
        <w:rPr>
          <w:rFonts w:ascii="Times New Roman" w:hAnsi="Times New Roman" w:cs="Times New Roman"/>
          <w:smallCaps/>
        </w:rPr>
        <w:t xml:space="preserve">arson's </w:t>
      </w:r>
      <w:r w:rsidRPr="000020CC">
        <w:rPr>
          <w:rFonts w:ascii="Times New Roman" w:hAnsi="Times New Roman" w:cs="Times New Roman"/>
        </w:rPr>
        <w:t>W</w:t>
      </w:r>
      <w:r w:rsidRPr="000020CC">
        <w:rPr>
          <w:rFonts w:ascii="Times New Roman" w:hAnsi="Times New Roman" w:cs="Times New Roman"/>
          <w:smallCaps/>
        </w:rPr>
        <w:t>orkers</w:t>
      </w:r>
      <w:r>
        <w:rPr>
          <w:rFonts w:ascii="Times New Roman" w:hAnsi="Times New Roman" w:cs="Times New Roman"/>
          <w:smallCaps/>
        </w:rPr>
        <w:t>’</w:t>
      </w:r>
      <w:r w:rsidRPr="000020CC">
        <w:rPr>
          <w:rFonts w:ascii="Times New Roman" w:hAnsi="Times New Roman" w:cs="Times New Roman"/>
        </w:rPr>
        <w:t xml:space="preserve"> C</w:t>
      </w:r>
      <w:r w:rsidRPr="000020CC">
        <w:rPr>
          <w:rFonts w:ascii="Times New Roman" w:hAnsi="Times New Roman" w:cs="Times New Roman"/>
          <w:smallCaps/>
        </w:rPr>
        <w:t>ompensation</w:t>
      </w:r>
      <w:r w:rsidRPr="000020CC">
        <w:rPr>
          <w:rFonts w:ascii="Times New Roman" w:hAnsi="Times New Roman" w:cs="Times New Roman"/>
        </w:rPr>
        <w:t xml:space="preserve"> L</w:t>
      </w:r>
      <w:r w:rsidRPr="000020CC">
        <w:rPr>
          <w:rFonts w:ascii="Times New Roman" w:hAnsi="Times New Roman" w:cs="Times New Roman"/>
          <w:smallCaps/>
        </w:rPr>
        <w:t>aw</w:t>
      </w:r>
      <w:r w:rsidRPr="000020CC">
        <w:rPr>
          <w:rFonts w:ascii="Times New Roman" w:hAnsi="Times New Roman" w:cs="Times New Roman"/>
        </w:rPr>
        <w:t xml:space="preserve"> § 102.0</w:t>
      </w:r>
      <w:r>
        <w:rPr>
          <w:rFonts w:ascii="Times New Roman" w:hAnsi="Times New Roman" w:cs="Times New Roman"/>
        </w:rPr>
        <w:t xml:space="preserve">2; </w:t>
      </w:r>
    </w:p>
  </w:footnote>
  <w:footnote w:id="30">
    <w:p w14:paraId="5B3552B9" w14:textId="71AA87BE" w:rsidR="00336EDF" w:rsidRPr="0049738C" w:rsidRDefault="00336EDF">
      <w:pPr>
        <w:pStyle w:val="FootnoteText"/>
        <w:rPr>
          <w:rFonts w:ascii="Times New Roman" w:hAnsi="Times New Roman" w:cs="Times New Roman"/>
        </w:rPr>
      </w:pPr>
      <w:r w:rsidRPr="0049738C">
        <w:rPr>
          <w:rStyle w:val="FootnoteReference"/>
          <w:rFonts w:ascii="Times New Roman" w:hAnsi="Times New Roman" w:cs="Times New Roman"/>
        </w:rPr>
        <w:footnoteRef/>
      </w:r>
      <w:r w:rsidRPr="0049738C">
        <w:rPr>
          <w:rFonts w:ascii="Times New Roman" w:hAnsi="Times New Roman" w:cs="Times New Roman"/>
        </w:rPr>
        <w:t xml:space="preserve"> </w:t>
      </w:r>
      <w:bookmarkStart w:id="45" w:name="f29"/>
      <w:bookmarkEnd w:id="45"/>
      <w:r w:rsidRPr="0049738C">
        <w:rPr>
          <w:rFonts w:ascii="Times New Roman" w:hAnsi="Times New Roman" w:cs="Times New Roman"/>
        </w:rPr>
        <w:t>45 U.S.C. § 51 et seq. (1908)</w:t>
      </w:r>
    </w:p>
  </w:footnote>
  <w:footnote w:id="31">
    <w:p w14:paraId="1D82171D" w14:textId="4350CBDB" w:rsidR="00336EDF" w:rsidRDefault="00336EDF">
      <w:pPr>
        <w:pStyle w:val="FootnoteText"/>
      </w:pPr>
      <w:r w:rsidRPr="000D005C">
        <w:rPr>
          <w:rStyle w:val="FootnoteReference"/>
          <w:rFonts w:ascii="Times New Roman" w:hAnsi="Times New Roman" w:cs="Times New Roman"/>
        </w:rPr>
        <w:footnoteRef/>
      </w:r>
      <w:r>
        <w:t xml:space="preserve"> </w:t>
      </w:r>
      <w:bookmarkStart w:id="47" w:name="f30"/>
      <w:bookmarkEnd w:id="47"/>
      <w:r w:rsidRPr="005939F9">
        <w:rPr>
          <w:rFonts w:ascii="Times New Roman" w:hAnsi="Times New Roman" w:cs="Times New Roman"/>
        </w:rPr>
        <w:t xml:space="preserve">W.S. § </w:t>
      </w:r>
      <w:hyperlink r:id="rId16" w:history="1">
        <w:r w:rsidRPr="005939F9">
          <w:rPr>
            <w:rStyle w:val="Hyperlink"/>
            <w:rFonts w:ascii="Times New Roman" w:hAnsi="Times New Roman" w:cs="Times New Roman"/>
          </w:rPr>
          <w:t>27-14-104</w:t>
        </w:r>
      </w:hyperlink>
    </w:p>
  </w:footnote>
  <w:footnote w:id="32">
    <w:p w14:paraId="70F4D849" w14:textId="3C9AF3E6" w:rsidR="00336EDF" w:rsidRDefault="00336EDF">
      <w:pPr>
        <w:pStyle w:val="FootnoteText"/>
      </w:pPr>
      <w:r w:rsidRPr="00317496">
        <w:rPr>
          <w:rStyle w:val="FootnoteReference"/>
          <w:rFonts w:ascii="Times New Roman" w:hAnsi="Times New Roman" w:cs="Times New Roman"/>
        </w:rPr>
        <w:footnoteRef/>
      </w:r>
      <w:r>
        <w:t xml:space="preserve"> </w:t>
      </w:r>
      <w:bookmarkStart w:id="48" w:name="f31"/>
      <w:bookmarkEnd w:id="48"/>
      <w:r w:rsidRPr="00317496">
        <w:rPr>
          <w:rFonts w:ascii="Times New Roman" w:hAnsi="Times New Roman" w:cs="Times New Roman"/>
          <w:i/>
        </w:rPr>
        <w:t>Id.</w:t>
      </w:r>
    </w:p>
  </w:footnote>
  <w:footnote w:id="33">
    <w:p w14:paraId="335C3AB8" w14:textId="3AD5DC27" w:rsidR="00336EDF" w:rsidRPr="00F816F9" w:rsidRDefault="00336EDF">
      <w:pPr>
        <w:pStyle w:val="FootnoteText"/>
        <w:rPr>
          <w:rFonts w:ascii="Times New Roman" w:hAnsi="Times New Roman" w:cs="Times New Roman"/>
        </w:rPr>
      </w:pPr>
      <w:r w:rsidRPr="00F816F9">
        <w:rPr>
          <w:rStyle w:val="FootnoteReference"/>
          <w:rFonts w:ascii="Times New Roman" w:hAnsi="Times New Roman" w:cs="Times New Roman"/>
        </w:rPr>
        <w:footnoteRef/>
      </w:r>
      <w:r w:rsidRPr="00F816F9">
        <w:rPr>
          <w:rFonts w:ascii="Times New Roman" w:hAnsi="Times New Roman" w:cs="Times New Roman"/>
        </w:rPr>
        <w:t xml:space="preserve"> </w:t>
      </w:r>
      <w:bookmarkStart w:id="49" w:name="f32"/>
      <w:bookmarkEnd w:id="49"/>
      <w:r w:rsidRPr="00F816F9">
        <w:rPr>
          <w:rFonts w:ascii="Times New Roman" w:hAnsi="Times New Roman" w:cs="Times New Roman"/>
        </w:rPr>
        <w:t xml:space="preserve">Jordan v. Delta Drilling Co., </w:t>
      </w:r>
      <w:hyperlink r:id="rId17" w:history="1">
        <w:r w:rsidRPr="0060772C">
          <w:rPr>
            <w:rStyle w:val="Hyperlink"/>
            <w:rFonts w:ascii="Times New Roman" w:hAnsi="Times New Roman" w:cs="Times New Roman"/>
          </w:rPr>
          <w:t>541 P.2d 39</w:t>
        </w:r>
      </w:hyperlink>
      <w:r w:rsidRPr="00F816F9">
        <w:rPr>
          <w:rFonts w:ascii="Times New Roman" w:hAnsi="Times New Roman" w:cs="Times New Roman"/>
        </w:rPr>
        <w:t>, 48 (Wyo. 1975)</w:t>
      </w:r>
      <w:r>
        <w:rPr>
          <w:rFonts w:ascii="Times New Roman" w:hAnsi="Times New Roman" w:cs="Times New Roman"/>
        </w:rPr>
        <w:t xml:space="preserve">; </w:t>
      </w:r>
      <w:r w:rsidRPr="000458FD">
        <w:rPr>
          <w:rFonts w:ascii="Times New Roman" w:hAnsi="Times New Roman" w:cs="Times New Roman"/>
          <w:i/>
        </w:rPr>
        <w:t>see also</w:t>
      </w:r>
      <w:r>
        <w:rPr>
          <w:rFonts w:ascii="Times New Roman" w:hAnsi="Times New Roman" w:cs="Times New Roman"/>
        </w:rPr>
        <w:t xml:space="preserve"> </w:t>
      </w:r>
      <w:r w:rsidRPr="000458FD">
        <w:rPr>
          <w:rFonts w:ascii="Times New Roman" w:hAnsi="Times New Roman" w:cs="Times New Roman"/>
        </w:rPr>
        <w:t>Baker v. Wendy's of Montana, Inc., 687 P.2d 885 (Wyo.1984)</w:t>
      </w:r>
    </w:p>
  </w:footnote>
  <w:footnote w:id="34">
    <w:p w14:paraId="3761770E" w14:textId="4A04F07D" w:rsidR="00336EDF" w:rsidRPr="00F816F9" w:rsidRDefault="00336EDF">
      <w:pPr>
        <w:pStyle w:val="FootnoteText"/>
        <w:rPr>
          <w:rFonts w:ascii="Times New Roman" w:hAnsi="Times New Roman" w:cs="Times New Roman"/>
        </w:rPr>
      </w:pPr>
      <w:r w:rsidRPr="00F816F9">
        <w:rPr>
          <w:rStyle w:val="FootnoteReference"/>
          <w:rFonts w:ascii="Times New Roman" w:hAnsi="Times New Roman" w:cs="Times New Roman"/>
        </w:rPr>
        <w:footnoteRef/>
      </w:r>
      <w:r w:rsidRPr="00F816F9">
        <w:rPr>
          <w:rFonts w:ascii="Times New Roman" w:hAnsi="Times New Roman" w:cs="Times New Roman"/>
        </w:rPr>
        <w:t xml:space="preserve"> </w:t>
      </w:r>
      <w:bookmarkStart w:id="50" w:name="f33"/>
      <w:bookmarkStart w:id="51" w:name="_Hlk515975783"/>
      <w:bookmarkEnd w:id="50"/>
      <w:r w:rsidRPr="005939F9">
        <w:rPr>
          <w:rFonts w:ascii="Times New Roman" w:hAnsi="Times New Roman" w:cs="Times New Roman"/>
        </w:rPr>
        <w:t xml:space="preserve">W.S. § </w:t>
      </w:r>
      <w:hyperlink r:id="rId18" w:history="1">
        <w:r w:rsidRPr="005939F9">
          <w:rPr>
            <w:rStyle w:val="Hyperlink"/>
            <w:rFonts w:ascii="Times New Roman" w:hAnsi="Times New Roman" w:cs="Times New Roman"/>
          </w:rPr>
          <w:t>27-14-104</w:t>
        </w:r>
      </w:hyperlink>
      <w:r w:rsidRPr="00F816F9">
        <w:rPr>
          <w:rFonts w:ascii="Times New Roman" w:hAnsi="Times New Roman" w:cs="Times New Roman"/>
        </w:rPr>
        <w:t>(a)</w:t>
      </w:r>
    </w:p>
    <w:bookmarkEnd w:id="51"/>
  </w:footnote>
  <w:footnote w:id="35">
    <w:p w14:paraId="1C87C2B3" w14:textId="759031AD" w:rsidR="00336EDF" w:rsidRPr="00186996" w:rsidRDefault="00336EDF" w:rsidP="00832E66">
      <w:pPr>
        <w:pStyle w:val="FootnoteText"/>
        <w:jc w:val="both"/>
        <w:rPr>
          <w:rFonts w:ascii="Times New Roman" w:hAnsi="Times New Roman" w:cs="Times New Roman"/>
        </w:rPr>
      </w:pPr>
      <w:r w:rsidRPr="00186996">
        <w:rPr>
          <w:rStyle w:val="FootnoteReference"/>
          <w:rFonts w:ascii="Times New Roman" w:hAnsi="Times New Roman" w:cs="Times New Roman"/>
        </w:rPr>
        <w:footnoteRef/>
      </w:r>
      <w:r w:rsidRPr="00186996">
        <w:rPr>
          <w:rFonts w:ascii="Times New Roman" w:hAnsi="Times New Roman" w:cs="Times New Roman"/>
        </w:rPr>
        <w:t xml:space="preserve"> </w:t>
      </w:r>
      <w:bookmarkStart w:id="52" w:name="f34"/>
      <w:bookmarkEnd w:id="52"/>
      <w:r w:rsidRPr="005939F9">
        <w:rPr>
          <w:rFonts w:ascii="Times New Roman" w:hAnsi="Times New Roman" w:cs="Times New Roman"/>
        </w:rPr>
        <w:t xml:space="preserve">W.S. § </w:t>
      </w:r>
      <w:hyperlink r:id="rId19" w:history="1">
        <w:r w:rsidRPr="005939F9">
          <w:rPr>
            <w:rStyle w:val="Hyperlink"/>
            <w:rFonts w:ascii="Times New Roman" w:hAnsi="Times New Roman" w:cs="Times New Roman"/>
          </w:rPr>
          <w:t>27-14-104</w:t>
        </w:r>
      </w:hyperlink>
      <w:r w:rsidRPr="00186996">
        <w:rPr>
          <w:rFonts w:ascii="Times New Roman" w:hAnsi="Times New Roman" w:cs="Times New Roman"/>
        </w:rPr>
        <w:t>(</w:t>
      </w:r>
      <w:r>
        <w:rPr>
          <w:rFonts w:ascii="Times New Roman" w:hAnsi="Times New Roman" w:cs="Times New Roman"/>
        </w:rPr>
        <w:t>c</w:t>
      </w:r>
      <w:r w:rsidRPr="00186996">
        <w:rPr>
          <w:rFonts w:ascii="Times New Roman" w:hAnsi="Times New Roman" w:cs="Times New Roman"/>
        </w:rPr>
        <w:t>)</w:t>
      </w:r>
      <w:r>
        <w:rPr>
          <w:rFonts w:ascii="Times New Roman" w:hAnsi="Times New Roman" w:cs="Times New Roman"/>
        </w:rPr>
        <w:t xml:space="preserve">; Robinson v. Bell, </w:t>
      </w:r>
      <w:hyperlink r:id="rId20" w:history="1">
        <w:r w:rsidRPr="0060772C">
          <w:rPr>
            <w:rStyle w:val="Hyperlink"/>
            <w:rFonts w:ascii="Times New Roman" w:hAnsi="Times New Roman" w:cs="Times New Roman"/>
          </w:rPr>
          <w:t>767 P.2d 177</w:t>
        </w:r>
      </w:hyperlink>
      <w:r>
        <w:rPr>
          <w:rFonts w:ascii="Times New Roman" w:hAnsi="Times New Roman" w:cs="Times New Roman"/>
        </w:rPr>
        <w:t xml:space="preserve"> (Wyo. 1989) (“</w:t>
      </w:r>
      <w:r w:rsidRPr="005F5253">
        <w:rPr>
          <w:rFonts w:ascii="Times New Roman" w:hAnsi="Times New Roman" w:cs="Times New Roman"/>
        </w:rPr>
        <w:t>The clear import of the statute is that, when an employer was not qualified under the Act at the time of injury to an employee, the employer had no immunity.</w:t>
      </w:r>
      <w:r>
        <w:rPr>
          <w:rFonts w:ascii="Times New Roman" w:hAnsi="Times New Roman" w:cs="Times New Roman"/>
        </w:rPr>
        <w:t xml:space="preserve">”). Ed. Note: Although decided under a prior version of the Wyoming Workers’ Compensation Act the relevant provision under current law, </w:t>
      </w:r>
      <w:r w:rsidRPr="005939F9">
        <w:rPr>
          <w:rFonts w:ascii="Times New Roman" w:hAnsi="Times New Roman" w:cs="Times New Roman"/>
        </w:rPr>
        <w:t xml:space="preserve">W.S. § </w:t>
      </w:r>
      <w:hyperlink r:id="rId21" w:history="1">
        <w:r w:rsidRPr="005939F9">
          <w:rPr>
            <w:rStyle w:val="Hyperlink"/>
            <w:rFonts w:ascii="Times New Roman" w:hAnsi="Times New Roman" w:cs="Times New Roman"/>
          </w:rPr>
          <w:t>27-14-104</w:t>
        </w:r>
      </w:hyperlink>
      <w:r>
        <w:rPr>
          <w:rFonts w:ascii="Times New Roman" w:hAnsi="Times New Roman" w:cs="Times New Roman"/>
        </w:rPr>
        <w:t xml:space="preserve">(c), remains unchanged and </w:t>
      </w:r>
      <w:r w:rsidRPr="00832E66">
        <w:rPr>
          <w:rFonts w:ascii="Times New Roman" w:hAnsi="Times New Roman" w:cs="Times New Roman"/>
          <w:i/>
        </w:rPr>
        <w:t>Robinson</w:t>
      </w:r>
      <w:r>
        <w:rPr>
          <w:rFonts w:ascii="Times New Roman" w:hAnsi="Times New Roman" w:cs="Times New Roman"/>
        </w:rPr>
        <w:t xml:space="preserve"> seems good law.</w:t>
      </w:r>
    </w:p>
  </w:footnote>
  <w:footnote w:id="36">
    <w:p w14:paraId="0F160A49" w14:textId="499F1277" w:rsidR="00336EDF" w:rsidRDefault="00336EDF" w:rsidP="00D364E4">
      <w:pPr>
        <w:pStyle w:val="FootnoteText"/>
        <w:jc w:val="both"/>
      </w:pPr>
      <w:r w:rsidRPr="00DA62A3">
        <w:rPr>
          <w:rStyle w:val="FootnoteReference"/>
          <w:rFonts w:ascii="Times New Roman" w:hAnsi="Times New Roman" w:cs="Times New Roman"/>
        </w:rPr>
        <w:footnoteRef/>
      </w:r>
      <w:r>
        <w:t xml:space="preserve"> </w:t>
      </w:r>
      <w:bookmarkStart w:id="53" w:name="f35"/>
      <w:bookmarkEnd w:id="53"/>
      <w:r w:rsidRPr="00DA62A3">
        <w:rPr>
          <w:rFonts w:ascii="Times New Roman" w:hAnsi="Times New Roman" w:cs="Times New Roman"/>
        </w:rPr>
        <w:t xml:space="preserve">Fiscus v. Atlantic Richfield Company, </w:t>
      </w:r>
      <w:hyperlink r:id="rId22" w:history="1">
        <w:r w:rsidRPr="0060772C">
          <w:rPr>
            <w:rStyle w:val="Hyperlink"/>
            <w:rFonts w:ascii="Times New Roman" w:hAnsi="Times New Roman" w:cs="Times New Roman"/>
          </w:rPr>
          <w:t>742 P.2d 198</w:t>
        </w:r>
      </w:hyperlink>
      <w:r w:rsidRPr="00DA62A3">
        <w:rPr>
          <w:rFonts w:ascii="Times New Roman" w:hAnsi="Times New Roman" w:cs="Times New Roman"/>
        </w:rPr>
        <w:t xml:space="preserve">, 200 (Wyo.1987), appeal after remand </w:t>
      </w:r>
      <w:hyperlink r:id="rId23" w:history="1">
        <w:r w:rsidRPr="00C266AC">
          <w:rPr>
            <w:rStyle w:val="Hyperlink"/>
            <w:rFonts w:ascii="Times New Roman" w:hAnsi="Times New Roman" w:cs="Times New Roman"/>
          </w:rPr>
          <w:t>773 P.2d 158</w:t>
        </w:r>
      </w:hyperlink>
      <w:r w:rsidRPr="00DA62A3">
        <w:rPr>
          <w:rFonts w:ascii="Times New Roman" w:hAnsi="Times New Roman" w:cs="Times New Roman"/>
        </w:rPr>
        <w:t xml:space="preserve"> (1989)</w:t>
      </w:r>
      <w:r>
        <w:rPr>
          <w:rFonts w:ascii="Times New Roman" w:hAnsi="Times New Roman" w:cs="Times New Roman"/>
        </w:rPr>
        <w:t xml:space="preserve">; </w:t>
      </w:r>
      <w:r w:rsidRPr="00D364E4">
        <w:rPr>
          <w:rFonts w:ascii="Times New Roman" w:hAnsi="Times New Roman" w:cs="Times New Roman"/>
        </w:rPr>
        <w:t>Markle v. Williamson,</w:t>
      </w:r>
      <w:r>
        <w:rPr>
          <w:rFonts w:ascii="Times New Roman" w:hAnsi="Times New Roman" w:cs="Times New Roman"/>
        </w:rPr>
        <w:t xml:space="preserve"> </w:t>
      </w:r>
      <w:hyperlink r:id="rId24" w:history="1">
        <w:r w:rsidRPr="00C266AC">
          <w:rPr>
            <w:rStyle w:val="Hyperlink"/>
            <w:rFonts w:ascii="Times New Roman" w:hAnsi="Times New Roman" w:cs="Times New Roman"/>
          </w:rPr>
          <w:t>518 P.2d 621</w:t>
        </w:r>
      </w:hyperlink>
      <w:r w:rsidRPr="00D364E4">
        <w:rPr>
          <w:rFonts w:ascii="Times New Roman" w:hAnsi="Times New Roman" w:cs="Times New Roman"/>
        </w:rPr>
        <w:t>, 624 (</w:t>
      </w:r>
      <w:r>
        <w:rPr>
          <w:rFonts w:ascii="Times New Roman" w:hAnsi="Times New Roman" w:cs="Times New Roman"/>
        </w:rPr>
        <w:t xml:space="preserve">Wyo. </w:t>
      </w:r>
      <w:r w:rsidRPr="00D364E4">
        <w:rPr>
          <w:rFonts w:ascii="Times New Roman" w:hAnsi="Times New Roman" w:cs="Times New Roman"/>
        </w:rPr>
        <w:t>1974); and Barnette v. Doyle,</w:t>
      </w:r>
      <w:r>
        <w:rPr>
          <w:rFonts w:ascii="Times New Roman" w:hAnsi="Times New Roman" w:cs="Times New Roman"/>
        </w:rPr>
        <w:t xml:space="preserve"> </w:t>
      </w:r>
      <w:hyperlink r:id="rId25" w:history="1">
        <w:r w:rsidRPr="00C266AC">
          <w:rPr>
            <w:rStyle w:val="Hyperlink"/>
            <w:rFonts w:ascii="Times New Roman" w:hAnsi="Times New Roman" w:cs="Times New Roman"/>
          </w:rPr>
          <w:t>622 P.2d 1349</w:t>
        </w:r>
      </w:hyperlink>
      <w:r w:rsidRPr="00D364E4">
        <w:rPr>
          <w:rFonts w:ascii="Times New Roman" w:hAnsi="Times New Roman" w:cs="Times New Roman"/>
        </w:rPr>
        <w:t xml:space="preserve"> (</w:t>
      </w:r>
      <w:r>
        <w:rPr>
          <w:rFonts w:ascii="Times New Roman" w:hAnsi="Times New Roman" w:cs="Times New Roman"/>
        </w:rPr>
        <w:t xml:space="preserve">Wyo. </w:t>
      </w:r>
      <w:r w:rsidRPr="00D364E4">
        <w:rPr>
          <w:rFonts w:ascii="Times New Roman" w:hAnsi="Times New Roman" w:cs="Times New Roman"/>
        </w:rPr>
        <w:t>1981)</w:t>
      </w:r>
    </w:p>
  </w:footnote>
  <w:footnote w:id="37">
    <w:p w14:paraId="28614C2F" w14:textId="2EFF5B22" w:rsidR="00336EDF" w:rsidRPr="00700934" w:rsidRDefault="00336EDF">
      <w:pPr>
        <w:pStyle w:val="FootnoteText"/>
        <w:rPr>
          <w:rFonts w:ascii="Times New Roman" w:hAnsi="Times New Roman" w:cs="Times New Roman"/>
        </w:rPr>
      </w:pPr>
      <w:r w:rsidRPr="00700934">
        <w:rPr>
          <w:rStyle w:val="FootnoteReference"/>
          <w:rFonts w:ascii="Times New Roman" w:hAnsi="Times New Roman" w:cs="Times New Roman"/>
        </w:rPr>
        <w:footnoteRef/>
      </w:r>
      <w:r w:rsidRPr="00700934">
        <w:rPr>
          <w:rFonts w:ascii="Times New Roman" w:hAnsi="Times New Roman" w:cs="Times New Roman"/>
        </w:rPr>
        <w:t xml:space="preserve"> </w:t>
      </w:r>
      <w:bookmarkStart w:id="55" w:name="f36"/>
      <w:bookmarkStart w:id="56" w:name="_Hlk518320097"/>
      <w:bookmarkEnd w:id="55"/>
      <w:r>
        <w:rPr>
          <w:rFonts w:ascii="Times New Roman" w:hAnsi="Times New Roman" w:cs="Times New Roman"/>
        </w:rPr>
        <w:fldChar w:fldCharType="begin"/>
      </w:r>
      <w:r>
        <w:rPr>
          <w:rFonts w:ascii="Times New Roman" w:hAnsi="Times New Roman" w:cs="Times New Roman"/>
        </w:rPr>
        <w:instrText xml:space="preserve"> HYPERLINK "https://www.leagle.com/decision/20061012126p3d88611009" </w:instrText>
      </w:r>
      <w:r>
        <w:rPr>
          <w:rFonts w:ascii="Times New Roman" w:hAnsi="Times New Roman" w:cs="Times New Roman"/>
        </w:rPr>
        <w:fldChar w:fldCharType="separate"/>
      </w:r>
      <w:r w:rsidRPr="00C266AC">
        <w:rPr>
          <w:rStyle w:val="Hyperlink"/>
          <w:rFonts w:ascii="Times New Roman" w:hAnsi="Times New Roman" w:cs="Times New Roman"/>
        </w:rPr>
        <w:t>126 P.3d 886</w:t>
      </w:r>
      <w:r>
        <w:rPr>
          <w:rFonts w:ascii="Times New Roman" w:hAnsi="Times New Roman" w:cs="Times New Roman"/>
        </w:rPr>
        <w:fldChar w:fldCharType="end"/>
      </w:r>
      <w:r w:rsidRPr="00700934">
        <w:rPr>
          <w:rFonts w:ascii="Times New Roman" w:hAnsi="Times New Roman" w:cs="Times New Roman"/>
        </w:rPr>
        <w:t xml:space="preserve"> (Wyo. 2006)</w:t>
      </w:r>
      <w:bookmarkEnd w:id="56"/>
    </w:p>
  </w:footnote>
  <w:footnote w:id="38">
    <w:p w14:paraId="66AA9611" w14:textId="79B66E1E" w:rsidR="00336EDF" w:rsidRPr="00907AB9" w:rsidRDefault="00336EDF">
      <w:pPr>
        <w:pStyle w:val="FootnoteText"/>
        <w:rPr>
          <w:rFonts w:ascii="Times New Roman" w:hAnsi="Times New Roman" w:cs="Times New Roman"/>
        </w:rPr>
      </w:pPr>
      <w:r w:rsidRPr="00907AB9">
        <w:rPr>
          <w:rStyle w:val="FootnoteReference"/>
          <w:rFonts w:ascii="Times New Roman" w:hAnsi="Times New Roman" w:cs="Times New Roman"/>
        </w:rPr>
        <w:footnoteRef/>
      </w:r>
      <w:r w:rsidRPr="00907AB9">
        <w:rPr>
          <w:rFonts w:ascii="Times New Roman" w:hAnsi="Times New Roman" w:cs="Times New Roman"/>
        </w:rPr>
        <w:t xml:space="preserve"> </w:t>
      </w:r>
      <w:bookmarkStart w:id="57" w:name="f37"/>
      <w:bookmarkEnd w:id="57"/>
      <w:r w:rsidRPr="00907AB9">
        <w:rPr>
          <w:rFonts w:ascii="Times New Roman" w:hAnsi="Times New Roman" w:cs="Times New Roman"/>
          <w:i/>
        </w:rPr>
        <w:t>Id</w:t>
      </w:r>
      <w:r w:rsidRPr="00907AB9">
        <w:rPr>
          <w:rFonts w:ascii="Times New Roman" w:hAnsi="Times New Roman" w:cs="Times New Roman"/>
        </w:rPr>
        <w:t>. at 888</w:t>
      </w:r>
    </w:p>
  </w:footnote>
  <w:footnote w:id="39">
    <w:p w14:paraId="1E462C75" w14:textId="0831C34A" w:rsidR="00336EDF" w:rsidRPr="00907AB9" w:rsidRDefault="00336EDF">
      <w:pPr>
        <w:pStyle w:val="FootnoteText"/>
        <w:rPr>
          <w:rFonts w:ascii="Times New Roman" w:hAnsi="Times New Roman" w:cs="Times New Roman"/>
        </w:rPr>
      </w:pPr>
      <w:r w:rsidRPr="00907AB9">
        <w:rPr>
          <w:rStyle w:val="FootnoteReference"/>
          <w:rFonts w:ascii="Times New Roman" w:hAnsi="Times New Roman" w:cs="Times New Roman"/>
        </w:rPr>
        <w:footnoteRef/>
      </w:r>
      <w:r w:rsidRPr="00907AB9">
        <w:rPr>
          <w:rFonts w:ascii="Times New Roman" w:hAnsi="Times New Roman" w:cs="Times New Roman"/>
        </w:rPr>
        <w:t xml:space="preserve"> </w:t>
      </w:r>
      <w:bookmarkStart w:id="58" w:name="f38"/>
      <w:bookmarkEnd w:id="58"/>
      <w:r w:rsidRPr="00907AB9">
        <w:rPr>
          <w:rFonts w:ascii="Times New Roman" w:hAnsi="Times New Roman" w:cs="Times New Roman"/>
          <w:i/>
        </w:rPr>
        <w:t>Id</w:t>
      </w:r>
      <w:r w:rsidRPr="00907AB9">
        <w:rPr>
          <w:rFonts w:ascii="Times New Roman" w:hAnsi="Times New Roman" w:cs="Times New Roman"/>
        </w:rPr>
        <w:t>.</w:t>
      </w:r>
    </w:p>
  </w:footnote>
  <w:footnote w:id="40">
    <w:p w14:paraId="2FECF898" w14:textId="19712810" w:rsidR="00336EDF" w:rsidRPr="00907AB9" w:rsidRDefault="00336EDF">
      <w:pPr>
        <w:pStyle w:val="FootnoteText"/>
        <w:rPr>
          <w:rFonts w:ascii="Times New Roman" w:hAnsi="Times New Roman" w:cs="Times New Roman"/>
        </w:rPr>
      </w:pPr>
      <w:r w:rsidRPr="00907AB9">
        <w:rPr>
          <w:rStyle w:val="FootnoteReference"/>
          <w:rFonts w:ascii="Times New Roman" w:hAnsi="Times New Roman" w:cs="Times New Roman"/>
        </w:rPr>
        <w:footnoteRef/>
      </w:r>
      <w:r w:rsidRPr="00907AB9">
        <w:rPr>
          <w:rFonts w:ascii="Times New Roman" w:hAnsi="Times New Roman" w:cs="Times New Roman"/>
          <w:i/>
        </w:rPr>
        <w:t xml:space="preserve"> </w:t>
      </w:r>
      <w:bookmarkStart w:id="59" w:name="f39"/>
      <w:bookmarkEnd w:id="59"/>
      <w:r w:rsidRPr="00907AB9">
        <w:rPr>
          <w:rFonts w:ascii="Times New Roman" w:hAnsi="Times New Roman" w:cs="Times New Roman"/>
          <w:i/>
        </w:rPr>
        <w:t>Id</w:t>
      </w:r>
      <w:r w:rsidRPr="00907AB9">
        <w:rPr>
          <w:rFonts w:ascii="Times New Roman" w:hAnsi="Times New Roman" w:cs="Times New Roman"/>
        </w:rPr>
        <w:t>. at 890</w:t>
      </w:r>
    </w:p>
  </w:footnote>
  <w:footnote w:id="41">
    <w:p w14:paraId="0C08EA45" w14:textId="240B08CE" w:rsidR="00336EDF" w:rsidRPr="00907AB9" w:rsidRDefault="00336EDF">
      <w:pPr>
        <w:pStyle w:val="FootnoteText"/>
        <w:rPr>
          <w:rFonts w:ascii="Times New Roman" w:hAnsi="Times New Roman" w:cs="Times New Roman"/>
        </w:rPr>
      </w:pPr>
      <w:r w:rsidRPr="00907AB9">
        <w:rPr>
          <w:rStyle w:val="FootnoteReference"/>
          <w:rFonts w:ascii="Times New Roman" w:hAnsi="Times New Roman" w:cs="Times New Roman"/>
        </w:rPr>
        <w:footnoteRef/>
      </w:r>
      <w:r w:rsidRPr="00907AB9">
        <w:rPr>
          <w:rFonts w:ascii="Times New Roman" w:hAnsi="Times New Roman" w:cs="Times New Roman"/>
        </w:rPr>
        <w:t xml:space="preserve"> </w:t>
      </w:r>
      <w:bookmarkStart w:id="60" w:name="f40"/>
      <w:bookmarkEnd w:id="60"/>
      <w:r w:rsidRPr="00907AB9">
        <w:rPr>
          <w:rFonts w:ascii="Times New Roman" w:hAnsi="Times New Roman" w:cs="Times New Roman"/>
          <w:i/>
        </w:rPr>
        <w:t>Id</w:t>
      </w:r>
      <w:r w:rsidRPr="00907AB9">
        <w:rPr>
          <w:rFonts w:ascii="Times New Roman" w:hAnsi="Times New Roman" w:cs="Times New Roman"/>
        </w:rPr>
        <w:t>.</w:t>
      </w:r>
    </w:p>
  </w:footnote>
  <w:footnote w:id="42">
    <w:p w14:paraId="5207F02F" w14:textId="711E055F" w:rsidR="00336EDF" w:rsidRPr="00907AB9" w:rsidRDefault="00336EDF">
      <w:pPr>
        <w:pStyle w:val="FootnoteText"/>
        <w:rPr>
          <w:rFonts w:ascii="Times New Roman" w:hAnsi="Times New Roman" w:cs="Times New Roman"/>
        </w:rPr>
      </w:pPr>
      <w:r w:rsidRPr="00907AB9">
        <w:rPr>
          <w:rStyle w:val="FootnoteReference"/>
          <w:rFonts w:ascii="Times New Roman" w:hAnsi="Times New Roman" w:cs="Times New Roman"/>
        </w:rPr>
        <w:footnoteRef/>
      </w:r>
      <w:r w:rsidRPr="00907AB9">
        <w:rPr>
          <w:rFonts w:ascii="Times New Roman" w:hAnsi="Times New Roman" w:cs="Times New Roman"/>
        </w:rPr>
        <w:t xml:space="preserve"> </w:t>
      </w:r>
      <w:bookmarkStart w:id="61" w:name="f41"/>
      <w:bookmarkEnd w:id="61"/>
      <w:r w:rsidRPr="00907AB9">
        <w:rPr>
          <w:rFonts w:ascii="Times New Roman" w:hAnsi="Times New Roman" w:cs="Times New Roman"/>
          <w:i/>
        </w:rPr>
        <w:t>Id</w:t>
      </w:r>
      <w:r w:rsidRPr="00907AB9">
        <w:rPr>
          <w:rFonts w:ascii="Times New Roman" w:hAnsi="Times New Roman" w:cs="Times New Roman"/>
        </w:rPr>
        <w:t>.</w:t>
      </w:r>
    </w:p>
  </w:footnote>
  <w:footnote w:id="43">
    <w:p w14:paraId="30008473" w14:textId="3675B34F" w:rsidR="00336EDF" w:rsidRDefault="00336EDF">
      <w:pPr>
        <w:pStyle w:val="FootnoteText"/>
      </w:pPr>
      <w:r w:rsidRPr="009C55A9">
        <w:rPr>
          <w:rStyle w:val="FootnoteReference"/>
          <w:rFonts w:ascii="Times New Roman" w:hAnsi="Times New Roman" w:cs="Times New Roman"/>
        </w:rPr>
        <w:footnoteRef/>
      </w:r>
      <w:r>
        <w:t xml:space="preserve"> </w:t>
      </w:r>
      <w:bookmarkStart w:id="63" w:name="f42"/>
      <w:bookmarkEnd w:id="63"/>
      <w:r>
        <w:fldChar w:fldCharType="begin"/>
      </w:r>
      <w:r>
        <w:instrText xml:space="preserve"> HYPERLINK "https://casetext.com/case/collins-v-cop-wyo-llc" </w:instrText>
      </w:r>
      <w:r>
        <w:fldChar w:fldCharType="separate"/>
      </w:r>
      <w:r w:rsidRPr="00C266AC">
        <w:rPr>
          <w:rStyle w:val="Hyperlink"/>
          <w:rFonts w:ascii="Times New Roman" w:hAnsi="Times New Roman" w:cs="Times New Roman"/>
        </w:rPr>
        <w:t>366 P.3d 521</w:t>
      </w:r>
      <w:r>
        <w:rPr>
          <w:rStyle w:val="Hyperlink"/>
          <w:rFonts w:ascii="Times New Roman" w:hAnsi="Times New Roman" w:cs="Times New Roman"/>
        </w:rPr>
        <w:fldChar w:fldCharType="end"/>
      </w:r>
      <w:r w:rsidRPr="009C55A9">
        <w:rPr>
          <w:rFonts w:ascii="Times New Roman" w:hAnsi="Times New Roman" w:cs="Times New Roman"/>
        </w:rPr>
        <w:t xml:space="preserve"> (Wyo. 2016)</w:t>
      </w:r>
    </w:p>
  </w:footnote>
  <w:footnote w:id="44">
    <w:p w14:paraId="06E176FE" w14:textId="01F964E5" w:rsidR="00336EDF" w:rsidRDefault="00336EDF" w:rsidP="0041739A">
      <w:pPr>
        <w:pStyle w:val="FootnoteText"/>
        <w:jc w:val="both"/>
      </w:pPr>
      <w:r w:rsidRPr="0041739A">
        <w:rPr>
          <w:rStyle w:val="FootnoteReference"/>
          <w:rFonts w:ascii="Times New Roman" w:hAnsi="Times New Roman" w:cs="Times New Roman"/>
        </w:rPr>
        <w:footnoteRef/>
      </w:r>
      <w:bookmarkStart w:id="64" w:name="f43"/>
      <w:bookmarkEnd w:id="64"/>
      <w:r>
        <w:t xml:space="preserve"> </w:t>
      </w:r>
      <w:r w:rsidRPr="0041739A">
        <w:rPr>
          <w:rFonts w:ascii="Times New Roman" w:hAnsi="Times New Roman" w:cs="Times New Roman"/>
        </w:rPr>
        <w:t xml:space="preserve">According to the </w:t>
      </w:r>
      <w:r w:rsidRPr="0041739A">
        <w:rPr>
          <w:rFonts w:ascii="Times New Roman" w:hAnsi="Times New Roman" w:cs="Times New Roman"/>
          <w:i/>
        </w:rPr>
        <w:t>Larson</w:t>
      </w:r>
      <w:r w:rsidRPr="0041739A">
        <w:rPr>
          <w:rFonts w:ascii="Times New Roman" w:hAnsi="Times New Roman" w:cs="Times New Roman"/>
        </w:rPr>
        <w:t xml:space="preserve">’s treatise, thirty-nine states and the District of Columbia </w:t>
      </w:r>
      <w:r>
        <w:rPr>
          <w:rFonts w:ascii="Times New Roman" w:hAnsi="Times New Roman" w:cs="Times New Roman"/>
        </w:rPr>
        <w:t>have by statute or case law created an exception to</w:t>
      </w:r>
      <w:r w:rsidRPr="0041739A">
        <w:rPr>
          <w:rFonts w:ascii="Times New Roman" w:hAnsi="Times New Roman" w:cs="Times New Roman"/>
        </w:rPr>
        <w:t xml:space="preserve"> the exclusive remedy rule </w:t>
      </w:r>
      <w:r>
        <w:rPr>
          <w:rFonts w:ascii="Times New Roman" w:hAnsi="Times New Roman" w:cs="Times New Roman"/>
        </w:rPr>
        <w:t>in the context of</w:t>
      </w:r>
      <w:r w:rsidRPr="0041739A">
        <w:rPr>
          <w:rFonts w:ascii="Times New Roman" w:hAnsi="Times New Roman" w:cs="Times New Roman"/>
        </w:rPr>
        <w:t xml:space="preserve"> intentional torts. 9 </w:t>
      </w:r>
      <w:r w:rsidRPr="0041739A">
        <w:rPr>
          <w:rFonts w:ascii="Times New Roman" w:hAnsi="Times New Roman" w:cs="Times New Roman"/>
          <w:smallCaps/>
        </w:rPr>
        <w:t>Larson's Workers' Compensation Law §</w:t>
      </w:r>
      <w:r w:rsidRPr="0041739A">
        <w:rPr>
          <w:rFonts w:ascii="Times New Roman" w:hAnsi="Times New Roman" w:cs="Times New Roman"/>
        </w:rPr>
        <w:t xml:space="preserve"> 103.01</w:t>
      </w:r>
    </w:p>
  </w:footnote>
  <w:footnote w:id="45">
    <w:p w14:paraId="350B2E4F" w14:textId="40FD6B73" w:rsidR="00336EDF" w:rsidRPr="000F605C" w:rsidRDefault="00336EDF" w:rsidP="009C08AF">
      <w:pPr>
        <w:pStyle w:val="FootnoteText"/>
        <w:jc w:val="both"/>
        <w:rPr>
          <w:rFonts w:ascii="Times New Roman" w:hAnsi="Times New Roman" w:cs="Times New Roman"/>
        </w:rPr>
      </w:pPr>
      <w:r w:rsidRPr="009C55A9">
        <w:rPr>
          <w:rStyle w:val="FootnoteReference"/>
          <w:rFonts w:ascii="Times New Roman" w:hAnsi="Times New Roman" w:cs="Times New Roman"/>
        </w:rPr>
        <w:footnoteRef/>
      </w:r>
      <w:r>
        <w:t xml:space="preserve"> </w:t>
      </w:r>
      <w:bookmarkStart w:id="65" w:name="f44"/>
      <w:bookmarkEnd w:id="65"/>
      <w:r w:rsidRPr="000F605C">
        <w:rPr>
          <w:rFonts w:ascii="Times New Roman" w:hAnsi="Times New Roman" w:cs="Times New Roman"/>
        </w:rPr>
        <w:t>Parker v. Energy Development Co.,</w:t>
      </w:r>
      <w:r>
        <w:t xml:space="preserve"> </w:t>
      </w:r>
      <w:hyperlink r:id="rId26" w:history="1">
        <w:r w:rsidRPr="00C266AC">
          <w:rPr>
            <w:rStyle w:val="Hyperlink"/>
            <w:rFonts w:ascii="Times New Roman" w:hAnsi="Times New Roman" w:cs="Times New Roman"/>
          </w:rPr>
          <w:t>691 P.2d 981</w:t>
        </w:r>
      </w:hyperlink>
      <w:r>
        <w:rPr>
          <w:rFonts w:ascii="Times New Roman" w:hAnsi="Times New Roman" w:cs="Times New Roman"/>
        </w:rPr>
        <w:t xml:space="preserve">, 985 (Wyo. 1984); </w:t>
      </w:r>
      <w:r w:rsidRPr="000F605C">
        <w:rPr>
          <w:rFonts w:ascii="Times New Roman" w:hAnsi="Times New Roman" w:cs="Times New Roman"/>
        </w:rPr>
        <w:t>Baker v. Wendy</w:t>
      </w:r>
      <w:r>
        <w:rPr>
          <w:rFonts w:ascii="Times New Roman" w:hAnsi="Times New Roman" w:cs="Times New Roman"/>
        </w:rPr>
        <w:t>’</w:t>
      </w:r>
      <w:r w:rsidRPr="000F605C">
        <w:rPr>
          <w:rFonts w:ascii="Times New Roman" w:hAnsi="Times New Roman" w:cs="Times New Roman"/>
        </w:rPr>
        <w:t>s of Montana, Inc.</w:t>
      </w:r>
      <w:r>
        <w:rPr>
          <w:rFonts w:ascii="Times New Roman" w:hAnsi="Times New Roman" w:cs="Times New Roman"/>
        </w:rPr>
        <w:t xml:space="preserve">, </w:t>
      </w:r>
      <w:r w:rsidRPr="000F605C">
        <w:rPr>
          <w:rFonts w:ascii="Times New Roman" w:hAnsi="Times New Roman" w:cs="Times New Roman"/>
        </w:rPr>
        <w:t>687 P.2d 885</w:t>
      </w:r>
      <w:r>
        <w:rPr>
          <w:rFonts w:ascii="Times New Roman" w:hAnsi="Times New Roman" w:cs="Times New Roman"/>
        </w:rPr>
        <w:t xml:space="preserve">, 889 (Wyo. 1984) (implicitly overruled with respect to IIED allegation); </w:t>
      </w:r>
      <w:r w:rsidRPr="009C08AF">
        <w:rPr>
          <w:rFonts w:ascii="Times New Roman" w:hAnsi="Times New Roman" w:cs="Times New Roman"/>
        </w:rPr>
        <w:t>Mauch v. Stanley Structures, Inc.</w:t>
      </w:r>
      <w:r>
        <w:rPr>
          <w:rFonts w:ascii="Times New Roman" w:hAnsi="Times New Roman" w:cs="Times New Roman"/>
        </w:rPr>
        <w:t xml:space="preserve">, </w:t>
      </w:r>
      <w:hyperlink r:id="rId27" w:history="1">
        <w:r w:rsidRPr="00C266AC">
          <w:rPr>
            <w:rStyle w:val="Hyperlink"/>
            <w:rFonts w:ascii="Times New Roman" w:hAnsi="Times New Roman" w:cs="Times New Roman"/>
          </w:rPr>
          <w:t>641 P.2d 1247</w:t>
        </w:r>
      </w:hyperlink>
      <w:r>
        <w:rPr>
          <w:rFonts w:ascii="Times New Roman" w:hAnsi="Times New Roman" w:cs="Times New Roman"/>
        </w:rPr>
        <w:t>, 1250 (Wyo. 1982)</w:t>
      </w:r>
    </w:p>
  </w:footnote>
  <w:footnote w:id="46">
    <w:p w14:paraId="153F19DB" w14:textId="31C6D654" w:rsidR="00336EDF" w:rsidRDefault="00336EDF">
      <w:pPr>
        <w:pStyle w:val="FootnoteText"/>
      </w:pPr>
      <w:r w:rsidRPr="009C08AF">
        <w:rPr>
          <w:rStyle w:val="FootnoteReference"/>
          <w:rFonts w:ascii="Times New Roman" w:hAnsi="Times New Roman" w:cs="Times New Roman"/>
        </w:rPr>
        <w:footnoteRef/>
      </w:r>
      <w:r>
        <w:t xml:space="preserve"> </w:t>
      </w:r>
      <w:bookmarkStart w:id="66" w:name="f45"/>
      <w:bookmarkEnd w:id="66"/>
      <w:r w:rsidRPr="009C08AF">
        <w:rPr>
          <w:rFonts w:ascii="Times New Roman" w:hAnsi="Times New Roman" w:cs="Times New Roman"/>
          <w:i/>
        </w:rPr>
        <w:t xml:space="preserve">See </w:t>
      </w:r>
      <w:r w:rsidRPr="009C08AF">
        <w:rPr>
          <w:rFonts w:ascii="Times New Roman" w:hAnsi="Times New Roman" w:cs="Times New Roman"/>
        </w:rPr>
        <w:t xml:space="preserve">discussion </w:t>
      </w:r>
      <w:r w:rsidRPr="009C08AF">
        <w:rPr>
          <w:rFonts w:ascii="Times New Roman" w:hAnsi="Times New Roman" w:cs="Times New Roman"/>
          <w:i/>
        </w:rPr>
        <w:t>supra</w:t>
      </w:r>
      <w:r w:rsidRPr="009C08AF">
        <w:rPr>
          <w:rFonts w:ascii="Times New Roman" w:hAnsi="Times New Roman" w:cs="Times New Roman"/>
        </w:rPr>
        <w:t>. in this section</w:t>
      </w:r>
    </w:p>
  </w:footnote>
  <w:footnote w:id="47">
    <w:p w14:paraId="0CE6D4D3" w14:textId="0E5D0A8E" w:rsidR="00336EDF" w:rsidRDefault="00336EDF">
      <w:pPr>
        <w:pStyle w:val="FootnoteText"/>
      </w:pPr>
      <w:r w:rsidRPr="00A06B42">
        <w:rPr>
          <w:rStyle w:val="FootnoteReference"/>
          <w:rFonts w:ascii="Times New Roman" w:hAnsi="Times New Roman" w:cs="Times New Roman"/>
        </w:rPr>
        <w:footnoteRef/>
      </w:r>
      <w:r w:rsidRPr="00A06B42">
        <w:rPr>
          <w:rStyle w:val="FootnoteReference"/>
          <w:rFonts w:ascii="Times New Roman" w:hAnsi="Times New Roman" w:cs="Times New Roman"/>
        </w:rPr>
        <w:t xml:space="preserve"> </w:t>
      </w:r>
      <w:bookmarkStart w:id="67" w:name="f46"/>
      <w:bookmarkStart w:id="68" w:name="_Hlk73523140"/>
      <w:bookmarkEnd w:id="67"/>
      <w:r w:rsidRPr="00A06B42">
        <w:rPr>
          <w:rFonts w:ascii="Times New Roman" w:hAnsi="Times New Roman" w:cs="Times New Roman"/>
          <w:i/>
        </w:rPr>
        <w:t>See</w:t>
      </w:r>
      <w:r>
        <w:t xml:space="preserve"> </w:t>
      </w:r>
      <w:r w:rsidRPr="00A06B42">
        <w:rPr>
          <w:rFonts w:ascii="Times New Roman" w:hAnsi="Times New Roman" w:cs="Times New Roman"/>
          <w:smallCaps/>
        </w:rPr>
        <w:t>9 Larson's Workers' Compensation Law § 105.04</w:t>
      </w:r>
    </w:p>
    <w:bookmarkEnd w:id="68"/>
  </w:footnote>
  <w:footnote w:id="48">
    <w:p w14:paraId="347E80AE" w14:textId="25064849" w:rsidR="00336EDF" w:rsidRDefault="00336EDF">
      <w:pPr>
        <w:pStyle w:val="FootnoteText"/>
      </w:pPr>
      <w:r w:rsidRPr="009C08AF">
        <w:rPr>
          <w:rStyle w:val="FootnoteReference"/>
          <w:rFonts w:ascii="Times New Roman" w:hAnsi="Times New Roman" w:cs="Times New Roman"/>
        </w:rPr>
        <w:footnoteRef/>
      </w:r>
      <w:r w:rsidRPr="009C08AF">
        <w:rPr>
          <w:rFonts w:ascii="Times New Roman" w:hAnsi="Times New Roman" w:cs="Times New Roman"/>
        </w:rPr>
        <w:t xml:space="preserve"> </w:t>
      </w:r>
      <w:bookmarkStart w:id="69" w:name="f47"/>
      <w:bookmarkStart w:id="70" w:name="_Hlk11666538"/>
      <w:bookmarkEnd w:id="69"/>
      <w:r w:rsidRPr="009C08AF">
        <w:rPr>
          <w:rFonts w:ascii="Times New Roman" w:hAnsi="Times New Roman" w:cs="Times New Roman"/>
          <w:i/>
        </w:rPr>
        <w:t>See</w:t>
      </w:r>
      <w:r w:rsidRPr="009C08AF">
        <w:rPr>
          <w:rFonts w:ascii="Times New Roman" w:hAnsi="Times New Roman" w:cs="Times New Roman"/>
          <w:smallCaps/>
        </w:rPr>
        <w:t xml:space="preserve"> 9 Larson's Workers' Compensation Law § 103.01</w:t>
      </w:r>
      <w:bookmarkEnd w:id="70"/>
    </w:p>
  </w:footnote>
  <w:footnote w:id="49">
    <w:p w14:paraId="4FA1D7D0" w14:textId="0EDCF339" w:rsidR="00336EDF" w:rsidRPr="00735B67" w:rsidRDefault="00336EDF" w:rsidP="00735B67">
      <w:pPr>
        <w:pStyle w:val="FootnoteText"/>
        <w:jc w:val="both"/>
        <w:rPr>
          <w:rFonts w:ascii="Times New Roman" w:hAnsi="Times New Roman" w:cs="Times New Roman"/>
        </w:rPr>
      </w:pPr>
      <w:r w:rsidRPr="00735B67">
        <w:rPr>
          <w:rStyle w:val="FootnoteReference"/>
          <w:rFonts w:ascii="Times New Roman" w:hAnsi="Times New Roman" w:cs="Times New Roman"/>
        </w:rPr>
        <w:footnoteRef/>
      </w:r>
      <w:r w:rsidRPr="00735B67">
        <w:rPr>
          <w:rFonts w:ascii="Times New Roman" w:hAnsi="Times New Roman" w:cs="Times New Roman"/>
        </w:rPr>
        <w:t xml:space="preserve"> </w:t>
      </w:r>
      <w:bookmarkStart w:id="71" w:name="f48"/>
      <w:bookmarkEnd w:id="71"/>
      <w:r w:rsidRPr="00735B67">
        <w:rPr>
          <w:rFonts w:ascii="Times New Roman" w:hAnsi="Times New Roman" w:cs="Times New Roman"/>
        </w:rPr>
        <w:t xml:space="preserve">Stratman v. Admiral Beverage Corp., </w:t>
      </w:r>
      <w:hyperlink r:id="rId28" w:history="1">
        <w:r w:rsidRPr="00F61741">
          <w:rPr>
            <w:rStyle w:val="Hyperlink"/>
            <w:rFonts w:ascii="Times New Roman" w:hAnsi="Times New Roman" w:cs="Times New Roman"/>
          </w:rPr>
          <w:t>760 P.2d 974</w:t>
        </w:r>
      </w:hyperlink>
      <w:r w:rsidRPr="00735B67">
        <w:rPr>
          <w:rFonts w:ascii="Times New Roman" w:hAnsi="Times New Roman" w:cs="Times New Roman"/>
        </w:rPr>
        <w:t xml:space="preserve"> (Wyo. 1988); Wessel v. Mapco, Inc., </w:t>
      </w:r>
      <w:hyperlink r:id="rId29" w:history="1">
        <w:r w:rsidRPr="00F61741">
          <w:rPr>
            <w:rStyle w:val="Hyperlink"/>
            <w:rFonts w:ascii="Times New Roman" w:hAnsi="Times New Roman" w:cs="Times New Roman"/>
          </w:rPr>
          <w:t>752 P.2d 1363</w:t>
        </w:r>
      </w:hyperlink>
      <w:r w:rsidRPr="00735B67">
        <w:rPr>
          <w:rFonts w:ascii="Times New Roman" w:hAnsi="Times New Roman" w:cs="Times New Roman"/>
        </w:rPr>
        <w:t xml:space="preserve"> (</w:t>
      </w:r>
      <w:r>
        <w:rPr>
          <w:rFonts w:ascii="Times New Roman" w:hAnsi="Times New Roman" w:cs="Times New Roman"/>
        </w:rPr>
        <w:t xml:space="preserve">Wyo. </w:t>
      </w:r>
      <w:r w:rsidRPr="00735B67">
        <w:rPr>
          <w:rFonts w:ascii="Times New Roman" w:hAnsi="Times New Roman" w:cs="Times New Roman"/>
        </w:rPr>
        <w:t xml:space="preserve">1988); Fiscus v. Atlantic Richfield Co., </w:t>
      </w:r>
      <w:hyperlink r:id="rId30" w:history="1">
        <w:r w:rsidRPr="00F61741">
          <w:rPr>
            <w:rStyle w:val="Hyperlink"/>
            <w:rFonts w:ascii="Times New Roman" w:hAnsi="Times New Roman" w:cs="Times New Roman"/>
          </w:rPr>
          <w:t>742 P.2d 198</w:t>
        </w:r>
      </w:hyperlink>
      <w:r w:rsidRPr="00735B67">
        <w:rPr>
          <w:rFonts w:ascii="Times New Roman" w:hAnsi="Times New Roman" w:cs="Times New Roman"/>
        </w:rPr>
        <w:t xml:space="preserve"> (</w:t>
      </w:r>
      <w:r>
        <w:rPr>
          <w:rFonts w:ascii="Times New Roman" w:hAnsi="Times New Roman" w:cs="Times New Roman"/>
        </w:rPr>
        <w:t xml:space="preserve">Wyo. </w:t>
      </w:r>
      <w:r w:rsidRPr="00735B67">
        <w:rPr>
          <w:rFonts w:ascii="Times New Roman" w:hAnsi="Times New Roman" w:cs="Times New Roman"/>
        </w:rPr>
        <w:t xml:space="preserve">1987); </w:t>
      </w:r>
      <w:bookmarkStart w:id="72" w:name="_Hlk520731703"/>
      <w:r w:rsidRPr="00735B67">
        <w:rPr>
          <w:rFonts w:ascii="Times New Roman" w:hAnsi="Times New Roman" w:cs="Times New Roman"/>
        </w:rPr>
        <w:t xml:space="preserve">Bence v. Pacific Power and Light Co., </w:t>
      </w:r>
      <w:hyperlink r:id="rId31" w:history="1">
        <w:r w:rsidRPr="00F61741">
          <w:rPr>
            <w:rStyle w:val="Hyperlink"/>
            <w:rFonts w:ascii="Times New Roman" w:hAnsi="Times New Roman" w:cs="Times New Roman"/>
          </w:rPr>
          <w:t xml:space="preserve">631 P.2d </w:t>
        </w:r>
        <w:bookmarkEnd w:id="72"/>
        <w:r w:rsidRPr="00F61741">
          <w:rPr>
            <w:rStyle w:val="Hyperlink"/>
            <w:rFonts w:ascii="Times New Roman" w:hAnsi="Times New Roman" w:cs="Times New Roman"/>
          </w:rPr>
          <w:t>13</w:t>
        </w:r>
      </w:hyperlink>
      <w:r w:rsidRPr="00735B67">
        <w:rPr>
          <w:rFonts w:ascii="Times New Roman" w:hAnsi="Times New Roman" w:cs="Times New Roman"/>
        </w:rPr>
        <w:t xml:space="preserve"> (</w:t>
      </w:r>
      <w:r>
        <w:rPr>
          <w:rFonts w:ascii="Times New Roman" w:hAnsi="Times New Roman" w:cs="Times New Roman"/>
        </w:rPr>
        <w:t xml:space="preserve">Wyo. </w:t>
      </w:r>
      <w:r w:rsidRPr="00735B67">
        <w:rPr>
          <w:rFonts w:ascii="Times New Roman" w:hAnsi="Times New Roman" w:cs="Times New Roman"/>
        </w:rPr>
        <w:t>1981).</w:t>
      </w:r>
      <w:r>
        <w:rPr>
          <w:rFonts w:ascii="Times New Roman" w:hAnsi="Times New Roman" w:cs="Times New Roman"/>
        </w:rPr>
        <w:t xml:space="preserve"> For more on </w:t>
      </w:r>
      <w:r w:rsidRPr="000E66C0">
        <w:rPr>
          <w:rFonts w:ascii="Times New Roman" w:hAnsi="Times New Roman" w:cs="Times New Roman"/>
          <w:i/>
        </w:rPr>
        <w:t>Admiral Beverage</w:t>
      </w:r>
      <w:r>
        <w:rPr>
          <w:rFonts w:ascii="Times New Roman" w:hAnsi="Times New Roman" w:cs="Times New Roman"/>
        </w:rPr>
        <w:t xml:space="preserve"> </w:t>
      </w:r>
      <w:r w:rsidRPr="000E66C0">
        <w:rPr>
          <w:rFonts w:ascii="Times New Roman" w:hAnsi="Times New Roman" w:cs="Times New Roman"/>
          <w:i/>
        </w:rPr>
        <w:t>see infra</w:t>
      </w:r>
      <w:r>
        <w:rPr>
          <w:rFonts w:ascii="Times New Roman" w:hAnsi="Times New Roman" w:cs="Times New Roman"/>
        </w:rPr>
        <w:t>. at 2.16</w:t>
      </w:r>
    </w:p>
  </w:footnote>
  <w:footnote w:id="50">
    <w:p w14:paraId="0A6BDA41" w14:textId="3E6677DE" w:rsidR="00336EDF" w:rsidRDefault="00336EDF">
      <w:pPr>
        <w:pStyle w:val="FootnoteText"/>
      </w:pPr>
      <w:r w:rsidRPr="00DC6989">
        <w:rPr>
          <w:rStyle w:val="FootnoteReference"/>
          <w:rFonts w:ascii="Times New Roman" w:hAnsi="Times New Roman" w:cs="Times New Roman"/>
        </w:rPr>
        <w:footnoteRef/>
      </w:r>
      <w:r w:rsidRPr="00DC6989">
        <w:rPr>
          <w:rStyle w:val="FootnoteReference"/>
          <w:rFonts w:ascii="Times New Roman" w:hAnsi="Times New Roman" w:cs="Times New Roman"/>
        </w:rPr>
        <w:t xml:space="preserve"> </w:t>
      </w:r>
      <w:bookmarkStart w:id="73" w:name="f49"/>
      <w:bookmarkEnd w:id="73"/>
      <w:r w:rsidRPr="00DC6989">
        <w:rPr>
          <w:rFonts w:ascii="Times New Roman" w:hAnsi="Times New Roman" w:cs="Times New Roman"/>
        </w:rPr>
        <w:t xml:space="preserve">Bence v. Pacific Power and Light Co., </w:t>
      </w:r>
      <w:r w:rsidRPr="00DC6989">
        <w:rPr>
          <w:rFonts w:ascii="Times New Roman" w:hAnsi="Times New Roman" w:cs="Times New Roman"/>
          <w:i/>
        </w:rPr>
        <w:t>supra</w:t>
      </w:r>
      <w:r w:rsidRPr="00DC6989">
        <w:rPr>
          <w:rFonts w:ascii="Times New Roman" w:hAnsi="Times New Roman" w:cs="Times New Roman"/>
        </w:rPr>
        <w:t>., 631 P.2d at 15</w:t>
      </w:r>
      <w:r>
        <w:t xml:space="preserve"> </w:t>
      </w:r>
    </w:p>
  </w:footnote>
  <w:footnote w:id="51">
    <w:p w14:paraId="55C3140C" w14:textId="79FA03F7" w:rsidR="00336EDF" w:rsidRDefault="00336EDF" w:rsidP="00C266AC">
      <w:pPr>
        <w:spacing w:after="0"/>
      </w:pPr>
      <w:r w:rsidRPr="00A022B7">
        <w:rPr>
          <w:rStyle w:val="FootnoteReference"/>
          <w:rFonts w:ascii="Times New Roman" w:hAnsi="Times New Roman" w:cs="Times New Roman"/>
          <w:sz w:val="20"/>
          <w:szCs w:val="20"/>
        </w:rPr>
        <w:footnoteRef/>
      </w:r>
      <w:r>
        <w:t xml:space="preserve"> </w:t>
      </w:r>
      <w:bookmarkStart w:id="74" w:name="f50"/>
      <w:bookmarkEnd w:id="74"/>
      <w:r w:rsidRPr="00A022B7">
        <w:rPr>
          <w:rFonts w:ascii="Times New Roman" w:hAnsi="Times New Roman" w:cs="Times New Roman"/>
          <w:sz w:val="20"/>
          <w:szCs w:val="20"/>
        </w:rPr>
        <w:t>Knight v. Estate of McCoy, 341 P.3d 412, 416 (Wyo. 2015)</w:t>
      </w:r>
      <w:r>
        <w:rPr>
          <w:rFonts w:ascii="Times New Roman" w:hAnsi="Times New Roman" w:cs="Times New Roman"/>
          <w:sz w:val="20"/>
          <w:szCs w:val="20"/>
        </w:rPr>
        <w:t xml:space="preserve"> </w:t>
      </w:r>
      <w:r w:rsidRPr="00F61741">
        <w:rPr>
          <w:rFonts w:ascii="Times New Roman" w:hAnsi="Times New Roman" w:cs="Times New Roman"/>
          <w:i/>
          <w:iCs/>
          <w:sz w:val="20"/>
          <w:szCs w:val="20"/>
        </w:rPr>
        <w:t>quoting</w:t>
      </w:r>
      <w:r>
        <w:rPr>
          <w:rFonts w:ascii="Times New Roman" w:hAnsi="Times New Roman" w:cs="Times New Roman"/>
          <w:sz w:val="20"/>
          <w:szCs w:val="20"/>
        </w:rPr>
        <w:t xml:space="preserve"> </w:t>
      </w:r>
      <w:r w:rsidRPr="00A022B7">
        <w:rPr>
          <w:rFonts w:ascii="Times New Roman" w:hAnsi="Times New Roman" w:cs="Times New Roman"/>
          <w:sz w:val="20"/>
          <w:szCs w:val="20"/>
        </w:rPr>
        <w:t xml:space="preserve">Clark v. Industrial Co. of Steamboat Springs, Inc., </w:t>
      </w:r>
      <w:hyperlink r:id="rId32" w:history="1">
        <w:r w:rsidRPr="00F61741">
          <w:rPr>
            <w:rStyle w:val="Hyperlink"/>
            <w:rFonts w:ascii="Times New Roman" w:hAnsi="Times New Roman" w:cs="Times New Roman"/>
            <w:sz w:val="20"/>
            <w:szCs w:val="20"/>
          </w:rPr>
          <w:t>818 P.2d 626</w:t>
        </w:r>
      </w:hyperlink>
      <w:r w:rsidRPr="00A022B7">
        <w:rPr>
          <w:rFonts w:ascii="Times New Roman" w:hAnsi="Times New Roman" w:cs="Times New Roman"/>
          <w:sz w:val="20"/>
          <w:szCs w:val="20"/>
        </w:rPr>
        <w:t>, 629 (Wyo.1991)</w:t>
      </w:r>
      <w:r>
        <w:rPr>
          <w:rFonts w:ascii="Times New Roman" w:hAnsi="Times New Roman" w:cs="Times New Roman"/>
          <w:sz w:val="20"/>
          <w:szCs w:val="20"/>
        </w:rPr>
        <w:t xml:space="preserve"> </w:t>
      </w:r>
      <w:r w:rsidRPr="00A022B7">
        <w:rPr>
          <w:rFonts w:ascii="Times New Roman" w:hAnsi="Times New Roman" w:cs="Times New Roman"/>
          <w:i/>
          <w:sz w:val="20"/>
          <w:szCs w:val="20"/>
        </w:rPr>
        <w:t>see also</w:t>
      </w:r>
      <w:r>
        <w:rPr>
          <w:rFonts w:ascii="Times New Roman" w:hAnsi="Times New Roman" w:cs="Times New Roman"/>
          <w:sz w:val="20"/>
          <w:szCs w:val="20"/>
        </w:rPr>
        <w:t xml:space="preserve"> </w:t>
      </w:r>
      <w:r w:rsidRPr="00A022B7">
        <w:rPr>
          <w:rFonts w:ascii="Times New Roman" w:hAnsi="Times New Roman" w:cs="Times New Roman"/>
          <w:sz w:val="20"/>
          <w:szCs w:val="20"/>
        </w:rPr>
        <w:t>Stratman v. Admiral Beverage Corp.,</w:t>
      </w:r>
      <w:r>
        <w:rPr>
          <w:rFonts w:ascii="Times New Roman" w:hAnsi="Times New Roman" w:cs="Times New Roman"/>
          <w:sz w:val="20"/>
          <w:szCs w:val="20"/>
        </w:rPr>
        <w:t xml:space="preserve"> </w:t>
      </w:r>
      <w:r w:rsidRPr="00A022B7">
        <w:rPr>
          <w:rFonts w:ascii="Times New Roman" w:hAnsi="Times New Roman" w:cs="Times New Roman"/>
          <w:i/>
          <w:sz w:val="20"/>
          <w:szCs w:val="20"/>
        </w:rPr>
        <w:t>supra</w:t>
      </w:r>
      <w:r>
        <w:rPr>
          <w:rFonts w:ascii="Times New Roman" w:hAnsi="Times New Roman" w:cs="Times New Roman"/>
          <w:sz w:val="20"/>
          <w:szCs w:val="20"/>
        </w:rPr>
        <w:t>.,</w:t>
      </w:r>
      <w:r w:rsidRPr="00A022B7">
        <w:rPr>
          <w:rFonts w:ascii="Times New Roman" w:hAnsi="Times New Roman" w:cs="Times New Roman"/>
          <w:sz w:val="20"/>
          <w:szCs w:val="20"/>
        </w:rPr>
        <w:t xml:space="preserve"> 760 P.2d </w:t>
      </w:r>
      <w:r>
        <w:rPr>
          <w:rFonts w:ascii="Times New Roman" w:hAnsi="Times New Roman" w:cs="Times New Roman"/>
          <w:sz w:val="20"/>
          <w:szCs w:val="20"/>
        </w:rPr>
        <w:t xml:space="preserve">at </w:t>
      </w:r>
      <w:r w:rsidRPr="00A022B7">
        <w:rPr>
          <w:rFonts w:ascii="Times New Roman" w:hAnsi="Times New Roman" w:cs="Times New Roman"/>
          <w:sz w:val="20"/>
          <w:szCs w:val="20"/>
        </w:rPr>
        <w:t>979</w:t>
      </w:r>
    </w:p>
  </w:footnote>
  <w:footnote w:id="52">
    <w:p w14:paraId="4012BEEC" w14:textId="05BA1A89" w:rsidR="00336EDF" w:rsidRDefault="00336EDF">
      <w:pPr>
        <w:pStyle w:val="FootnoteText"/>
      </w:pPr>
      <w:r w:rsidRPr="00C92284">
        <w:rPr>
          <w:rStyle w:val="FootnoteReference"/>
          <w:rFonts w:ascii="Times New Roman" w:hAnsi="Times New Roman" w:cs="Times New Roman"/>
        </w:rPr>
        <w:footnoteRef/>
      </w:r>
      <w:r>
        <w:t xml:space="preserve"> </w:t>
      </w:r>
      <w:bookmarkStart w:id="77" w:name="f51"/>
      <w:bookmarkEnd w:id="77"/>
      <w:r w:rsidRPr="00C92284">
        <w:rPr>
          <w:rFonts w:ascii="Times New Roman" w:hAnsi="Times New Roman" w:cs="Times New Roman"/>
        </w:rPr>
        <w:t>10 L</w:t>
      </w:r>
      <w:r w:rsidRPr="00C92284">
        <w:rPr>
          <w:rFonts w:ascii="Times New Roman" w:hAnsi="Times New Roman" w:cs="Times New Roman"/>
          <w:smallCaps/>
        </w:rPr>
        <w:t>arson's</w:t>
      </w:r>
      <w:r w:rsidRPr="00C92284">
        <w:rPr>
          <w:rFonts w:ascii="Times New Roman" w:hAnsi="Times New Roman" w:cs="Times New Roman"/>
        </w:rPr>
        <w:t xml:space="preserve"> W</w:t>
      </w:r>
      <w:r w:rsidRPr="00C92284">
        <w:rPr>
          <w:rFonts w:ascii="Times New Roman" w:hAnsi="Times New Roman" w:cs="Times New Roman"/>
          <w:smallCaps/>
        </w:rPr>
        <w:t>orkers’</w:t>
      </w:r>
      <w:r w:rsidRPr="00C92284">
        <w:rPr>
          <w:rFonts w:ascii="Times New Roman" w:hAnsi="Times New Roman" w:cs="Times New Roman"/>
        </w:rPr>
        <w:t xml:space="preserve"> C</w:t>
      </w:r>
      <w:r w:rsidRPr="00C92284">
        <w:rPr>
          <w:rFonts w:ascii="Times New Roman" w:hAnsi="Times New Roman" w:cs="Times New Roman"/>
          <w:smallCaps/>
        </w:rPr>
        <w:t>ompensation</w:t>
      </w:r>
      <w:r w:rsidRPr="00C92284">
        <w:rPr>
          <w:rFonts w:ascii="Times New Roman" w:hAnsi="Times New Roman" w:cs="Times New Roman"/>
        </w:rPr>
        <w:t xml:space="preserve"> L</w:t>
      </w:r>
      <w:r w:rsidRPr="00C92284">
        <w:rPr>
          <w:rFonts w:ascii="Times New Roman" w:hAnsi="Times New Roman" w:cs="Times New Roman"/>
          <w:smallCaps/>
        </w:rPr>
        <w:t>aw</w:t>
      </w:r>
      <w:r w:rsidRPr="00C92284">
        <w:rPr>
          <w:rFonts w:ascii="Times New Roman" w:hAnsi="Times New Roman" w:cs="Times New Roman"/>
        </w:rPr>
        <w:t xml:space="preserve"> § 111.02</w:t>
      </w:r>
    </w:p>
  </w:footnote>
  <w:footnote w:id="53">
    <w:p w14:paraId="48A6CB3B" w14:textId="6CCB7417" w:rsidR="00336EDF" w:rsidRDefault="00336EDF">
      <w:pPr>
        <w:pStyle w:val="FootnoteText"/>
      </w:pPr>
      <w:r w:rsidRPr="00133E6D">
        <w:rPr>
          <w:rStyle w:val="FootnoteReference"/>
          <w:rFonts w:ascii="Times New Roman" w:hAnsi="Times New Roman" w:cs="Times New Roman"/>
        </w:rPr>
        <w:footnoteRef/>
      </w:r>
      <w:r w:rsidRPr="00133E6D">
        <w:rPr>
          <w:rStyle w:val="FootnoteReference"/>
          <w:rFonts w:ascii="Times New Roman" w:hAnsi="Times New Roman" w:cs="Times New Roman"/>
        </w:rPr>
        <w:t xml:space="preserve"> </w:t>
      </w:r>
      <w:bookmarkStart w:id="78" w:name="f52"/>
      <w:bookmarkEnd w:id="78"/>
      <w:r w:rsidRPr="00133E6D">
        <w:rPr>
          <w:rFonts w:ascii="Times New Roman" w:hAnsi="Times New Roman" w:cs="Times New Roman"/>
          <w:smallCaps/>
        </w:rPr>
        <w:t>101 C.J.S. Workers' Compensation § 1802</w:t>
      </w:r>
    </w:p>
  </w:footnote>
  <w:footnote w:id="54">
    <w:p w14:paraId="782DC32F" w14:textId="4272A666" w:rsidR="00336EDF" w:rsidRDefault="00336EDF">
      <w:pPr>
        <w:pStyle w:val="FootnoteText"/>
      </w:pPr>
      <w:r w:rsidRPr="009103F8">
        <w:rPr>
          <w:rStyle w:val="FootnoteReference"/>
          <w:rFonts w:ascii="Times New Roman" w:hAnsi="Times New Roman" w:cs="Times New Roman"/>
        </w:rPr>
        <w:footnoteRef/>
      </w:r>
      <w:r>
        <w:t xml:space="preserve"> </w:t>
      </w:r>
      <w:bookmarkStart w:id="79" w:name="f53"/>
      <w:bookmarkEnd w:id="79"/>
      <w:r w:rsidRPr="00E44156">
        <w:rPr>
          <w:rFonts w:ascii="Times New Roman" w:hAnsi="Times New Roman" w:cs="Times New Roman"/>
          <w:i/>
        </w:rPr>
        <w:t>See e.g.</w:t>
      </w:r>
      <w:r w:rsidRPr="009103F8">
        <w:rPr>
          <w:rFonts w:ascii="Times New Roman" w:hAnsi="Times New Roman" w:cs="Times New Roman"/>
        </w:rPr>
        <w:t xml:space="preserve"> Hockett v. Chapman, </w:t>
      </w:r>
      <w:hyperlink r:id="rId33" w:history="1">
        <w:r w:rsidRPr="00F61741">
          <w:rPr>
            <w:rStyle w:val="Hyperlink"/>
            <w:rFonts w:ascii="Times New Roman" w:hAnsi="Times New Roman" w:cs="Times New Roman"/>
          </w:rPr>
          <w:t>366 P.2d 850</w:t>
        </w:r>
      </w:hyperlink>
      <w:r w:rsidRPr="009103F8">
        <w:rPr>
          <w:rFonts w:ascii="Times New Roman" w:hAnsi="Times New Roman" w:cs="Times New Roman"/>
        </w:rPr>
        <w:t xml:space="preserve"> (N.M. 1961)</w:t>
      </w:r>
    </w:p>
  </w:footnote>
  <w:footnote w:id="55">
    <w:p w14:paraId="1058076D" w14:textId="30FAD930" w:rsidR="00336EDF" w:rsidRDefault="00336EDF">
      <w:pPr>
        <w:pStyle w:val="FootnoteText"/>
      </w:pPr>
      <w:r w:rsidRPr="009103F8">
        <w:rPr>
          <w:rStyle w:val="FootnoteReference"/>
          <w:rFonts w:ascii="Times New Roman" w:hAnsi="Times New Roman" w:cs="Times New Roman"/>
        </w:rPr>
        <w:footnoteRef/>
      </w:r>
      <w:r w:rsidRPr="009103F8">
        <w:rPr>
          <w:rStyle w:val="FootnoteReference"/>
          <w:rFonts w:ascii="Times New Roman" w:hAnsi="Times New Roman" w:cs="Times New Roman"/>
        </w:rPr>
        <w:t xml:space="preserve"> </w:t>
      </w:r>
      <w:bookmarkStart w:id="80" w:name="f54"/>
      <w:bookmarkEnd w:id="80"/>
      <w:r w:rsidRPr="00361ED6">
        <w:rPr>
          <w:rFonts w:ascii="Times New Roman" w:hAnsi="Times New Roman" w:cs="Times New Roman"/>
        </w:rPr>
        <w:t>10 L</w:t>
      </w:r>
      <w:r w:rsidRPr="00361ED6">
        <w:rPr>
          <w:rFonts w:ascii="Times New Roman" w:hAnsi="Times New Roman" w:cs="Times New Roman"/>
          <w:smallCaps/>
        </w:rPr>
        <w:t>arson's</w:t>
      </w:r>
      <w:r w:rsidRPr="00361ED6">
        <w:rPr>
          <w:rFonts w:ascii="Times New Roman" w:hAnsi="Times New Roman" w:cs="Times New Roman"/>
        </w:rPr>
        <w:t xml:space="preserve"> W</w:t>
      </w:r>
      <w:r w:rsidRPr="00361ED6">
        <w:rPr>
          <w:rFonts w:ascii="Times New Roman" w:hAnsi="Times New Roman" w:cs="Times New Roman"/>
          <w:smallCaps/>
        </w:rPr>
        <w:t>orkers</w:t>
      </w:r>
      <w:r>
        <w:rPr>
          <w:rFonts w:ascii="Times New Roman" w:hAnsi="Times New Roman" w:cs="Times New Roman"/>
        </w:rPr>
        <w:t>’</w:t>
      </w:r>
      <w:r w:rsidRPr="00361ED6">
        <w:rPr>
          <w:rFonts w:ascii="Times New Roman" w:hAnsi="Times New Roman" w:cs="Times New Roman"/>
        </w:rPr>
        <w:t xml:space="preserve"> C</w:t>
      </w:r>
      <w:r w:rsidRPr="00E72D6E">
        <w:rPr>
          <w:rFonts w:ascii="Times New Roman" w:hAnsi="Times New Roman" w:cs="Times New Roman"/>
          <w:smallCaps/>
        </w:rPr>
        <w:t>ompensation</w:t>
      </w:r>
      <w:r w:rsidRPr="00361ED6">
        <w:rPr>
          <w:rFonts w:ascii="Times New Roman" w:hAnsi="Times New Roman" w:cs="Times New Roman"/>
        </w:rPr>
        <w:t xml:space="preserve"> L</w:t>
      </w:r>
      <w:r w:rsidRPr="00E72D6E">
        <w:rPr>
          <w:rFonts w:ascii="Times New Roman" w:hAnsi="Times New Roman" w:cs="Times New Roman"/>
          <w:smallCaps/>
        </w:rPr>
        <w:t>aw</w:t>
      </w:r>
      <w:r w:rsidRPr="00361ED6">
        <w:rPr>
          <w:rFonts w:ascii="Times New Roman" w:hAnsi="Times New Roman" w:cs="Times New Roman"/>
        </w:rPr>
        <w:t xml:space="preserve"> § 111.03 [2]</w:t>
      </w:r>
    </w:p>
  </w:footnote>
  <w:footnote w:id="56">
    <w:p w14:paraId="52B549D6" w14:textId="5767E226" w:rsidR="00336EDF" w:rsidRDefault="00336EDF">
      <w:pPr>
        <w:pStyle w:val="FootnoteText"/>
      </w:pPr>
      <w:r w:rsidRPr="00361ED6">
        <w:rPr>
          <w:rStyle w:val="FootnoteReference"/>
          <w:rFonts w:ascii="Times New Roman" w:hAnsi="Times New Roman" w:cs="Times New Roman"/>
        </w:rPr>
        <w:footnoteRef/>
      </w:r>
      <w:r>
        <w:t xml:space="preserve"> </w:t>
      </w:r>
      <w:bookmarkStart w:id="81" w:name="f55"/>
      <w:bookmarkEnd w:id="81"/>
      <w:r w:rsidRPr="00361ED6">
        <w:rPr>
          <w:rFonts w:ascii="Times New Roman" w:hAnsi="Times New Roman" w:cs="Times New Roman"/>
        </w:rPr>
        <w:t>Code of Ala. § 25-5-14</w:t>
      </w:r>
      <w:r>
        <w:rPr>
          <w:rFonts w:ascii="Times New Roman" w:hAnsi="Times New Roman" w:cs="Times New Roman"/>
        </w:rPr>
        <w:t xml:space="preserve"> upheld against constitutional attack in </w:t>
      </w:r>
      <w:r w:rsidRPr="00361ED6">
        <w:rPr>
          <w:rFonts w:ascii="Times New Roman" w:hAnsi="Times New Roman" w:cs="Times New Roman"/>
        </w:rPr>
        <w:t xml:space="preserve">Reed v. Brunson, </w:t>
      </w:r>
      <w:hyperlink r:id="rId34" w:history="1">
        <w:r w:rsidRPr="00F61741">
          <w:rPr>
            <w:rStyle w:val="Hyperlink"/>
            <w:rFonts w:ascii="Times New Roman" w:hAnsi="Times New Roman" w:cs="Times New Roman"/>
          </w:rPr>
          <w:t>527 So. 2d 102</w:t>
        </w:r>
      </w:hyperlink>
      <w:r>
        <w:rPr>
          <w:rFonts w:ascii="Times New Roman" w:hAnsi="Times New Roman" w:cs="Times New Roman"/>
        </w:rPr>
        <w:t xml:space="preserve"> (Ala. 1998)</w:t>
      </w:r>
    </w:p>
  </w:footnote>
  <w:footnote w:id="57">
    <w:p w14:paraId="63553FDE" w14:textId="50A29613" w:rsidR="00336EDF" w:rsidRDefault="00336EDF" w:rsidP="00BC5B6E">
      <w:pPr>
        <w:spacing w:after="0"/>
      </w:pPr>
      <w:r w:rsidRPr="00912B72">
        <w:rPr>
          <w:rStyle w:val="FootnoteReference"/>
          <w:rFonts w:ascii="Times New Roman" w:hAnsi="Times New Roman" w:cs="Times New Roman"/>
          <w:sz w:val="20"/>
          <w:szCs w:val="20"/>
        </w:rPr>
        <w:footnoteRef/>
      </w:r>
      <w:bookmarkStart w:id="83" w:name="f56"/>
      <w:bookmarkEnd w:id="83"/>
      <w:r w:rsidRPr="00912B72">
        <w:rPr>
          <w:rStyle w:val="FootnoteReference"/>
          <w:rFonts w:ascii="Times New Roman" w:hAnsi="Times New Roman" w:cs="Times New Roman"/>
          <w:sz w:val="20"/>
          <w:szCs w:val="20"/>
        </w:rPr>
        <w:t xml:space="preserve"> </w:t>
      </w:r>
      <w:r w:rsidRPr="00912B72">
        <w:rPr>
          <w:rFonts w:ascii="Times New Roman" w:hAnsi="Times New Roman" w:cs="Times New Roman"/>
          <w:sz w:val="20"/>
          <w:szCs w:val="20"/>
        </w:rPr>
        <w:t>Formisano v. Gaston</w:t>
      </w:r>
      <w:r>
        <w:rPr>
          <w:rFonts w:ascii="Times New Roman" w:hAnsi="Times New Roman" w:cs="Times New Roman"/>
          <w:sz w:val="20"/>
          <w:szCs w:val="20"/>
        </w:rPr>
        <w:t xml:space="preserve">, </w:t>
      </w:r>
      <w:hyperlink r:id="rId35" w:history="1">
        <w:r w:rsidRPr="00F61741">
          <w:rPr>
            <w:rStyle w:val="Hyperlink"/>
            <w:rFonts w:ascii="Times New Roman" w:hAnsi="Times New Roman" w:cs="Times New Roman"/>
            <w:sz w:val="20"/>
            <w:szCs w:val="20"/>
          </w:rPr>
          <w:t>246 P.3d 286</w:t>
        </w:r>
      </w:hyperlink>
      <w:r>
        <w:rPr>
          <w:rFonts w:ascii="Times New Roman" w:hAnsi="Times New Roman" w:cs="Times New Roman"/>
          <w:sz w:val="20"/>
          <w:szCs w:val="20"/>
        </w:rPr>
        <w:t>, 290 (Wyo. 2011) (emphasis supplied)</w:t>
      </w:r>
    </w:p>
  </w:footnote>
  <w:footnote w:id="58">
    <w:p w14:paraId="595D7948" w14:textId="362B52FA" w:rsidR="00336EDF" w:rsidRDefault="00336EDF">
      <w:pPr>
        <w:pStyle w:val="FootnoteText"/>
      </w:pPr>
      <w:r w:rsidRPr="00BC5B6E">
        <w:rPr>
          <w:rStyle w:val="FootnoteReference"/>
          <w:rFonts w:ascii="Times New Roman" w:hAnsi="Times New Roman" w:cs="Times New Roman"/>
        </w:rPr>
        <w:footnoteRef/>
      </w:r>
      <w:r>
        <w:t xml:space="preserve"> </w:t>
      </w:r>
      <w:bookmarkStart w:id="84" w:name="f57"/>
      <w:bookmarkEnd w:id="84"/>
      <w:r w:rsidRPr="00BC5B6E">
        <w:rPr>
          <w:rFonts w:ascii="Times New Roman" w:hAnsi="Times New Roman" w:cs="Times New Roman"/>
          <w:i/>
        </w:rPr>
        <w:t>Id.</w:t>
      </w:r>
    </w:p>
  </w:footnote>
  <w:footnote w:id="59">
    <w:p w14:paraId="11DA2395" w14:textId="0D51C36E" w:rsidR="00336EDF" w:rsidRDefault="00336EDF">
      <w:pPr>
        <w:pStyle w:val="FootnoteText"/>
      </w:pPr>
      <w:r w:rsidRPr="00BC5B6E">
        <w:rPr>
          <w:rStyle w:val="FootnoteReference"/>
          <w:rFonts w:ascii="Times New Roman" w:hAnsi="Times New Roman" w:cs="Times New Roman"/>
        </w:rPr>
        <w:footnoteRef/>
      </w:r>
      <w:r>
        <w:t xml:space="preserve"> </w:t>
      </w:r>
      <w:bookmarkStart w:id="85" w:name="f58"/>
      <w:bookmarkEnd w:id="85"/>
      <w:r w:rsidRPr="00BC5B6E">
        <w:rPr>
          <w:rFonts w:ascii="Times New Roman" w:hAnsi="Times New Roman" w:cs="Times New Roman"/>
          <w:i/>
        </w:rPr>
        <w:t>Id.</w:t>
      </w:r>
      <w:r w:rsidRPr="00BC5B6E">
        <w:rPr>
          <w:rFonts w:ascii="Times New Roman" w:hAnsi="Times New Roman" w:cs="Times New Roman"/>
        </w:rPr>
        <w:t xml:space="preserve"> 289-290</w:t>
      </w:r>
    </w:p>
  </w:footnote>
  <w:footnote w:id="60">
    <w:p w14:paraId="1796A4F6" w14:textId="0FA07364" w:rsidR="00336EDF" w:rsidRPr="00BC5B6E" w:rsidRDefault="00336EDF" w:rsidP="00BC5B6E">
      <w:pPr>
        <w:pStyle w:val="FootnoteText"/>
        <w:jc w:val="both"/>
        <w:rPr>
          <w:rFonts w:ascii="Times New Roman" w:hAnsi="Times New Roman" w:cs="Times New Roman"/>
        </w:rPr>
      </w:pPr>
      <w:r w:rsidRPr="00BC5B6E">
        <w:rPr>
          <w:rStyle w:val="FootnoteReference"/>
          <w:rFonts w:ascii="Times New Roman" w:hAnsi="Times New Roman" w:cs="Times New Roman"/>
        </w:rPr>
        <w:footnoteRef/>
      </w:r>
      <w:bookmarkStart w:id="86" w:name="f59"/>
      <w:bookmarkEnd w:id="86"/>
      <w:r w:rsidRPr="00BC5B6E">
        <w:rPr>
          <w:rFonts w:ascii="Times New Roman" w:hAnsi="Times New Roman" w:cs="Times New Roman"/>
          <w:i/>
        </w:rPr>
        <w:t>See e.g.</w:t>
      </w:r>
      <w:r>
        <w:rPr>
          <w:rFonts w:ascii="Times New Roman" w:hAnsi="Times New Roman" w:cs="Times New Roman"/>
          <w:i/>
        </w:rPr>
        <w:t xml:space="preserve"> </w:t>
      </w:r>
      <w:r w:rsidRPr="00780F47">
        <w:rPr>
          <w:rFonts w:ascii="Times New Roman" w:hAnsi="Times New Roman" w:cs="Times New Roman"/>
        </w:rPr>
        <w:t xml:space="preserve">Hannifan v. American National Bank of Cheyenne, </w:t>
      </w:r>
      <w:hyperlink r:id="rId36" w:history="1">
        <w:r w:rsidRPr="004A3596">
          <w:rPr>
            <w:rStyle w:val="Hyperlink"/>
            <w:rFonts w:ascii="Times New Roman" w:hAnsi="Times New Roman" w:cs="Times New Roman"/>
          </w:rPr>
          <w:t>185 P.3d 679</w:t>
        </w:r>
      </w:hyperlink>
      <w:r w:rsidRPr="00780F47">
        <w:rPr>
          <w:rFonts w:ascii="Times New Roman" w:hAnsi="Times New Roman" w:cs="Times New Roman"/>
        </w:rPr>
        <w:t>, 695 (Wyo.2008)</w:t>
      </w:r>
      <w:r>
        <w:rPr>
          <w:rFonts w:ascii="Times New Roman" w:hAnsi="Times New Roman" w:cs="Times New Roman"/>
        </w:rPr>
        <w:t xml:space="preserve">; </w:t>
      </w:r>
      <w:r w:rsidRPr="00BC5B6E">
        <w:rPr>
          <w:rFonts w:ascii="Times New Roman" w:hAnsi="Times New Roman" w:cs="Times New Roman"/>
        </w:rPr>
        <w:t xml:space="preserve">Bertagnolli v. Louderback, </w:t>
      </w:r>
      <w:hyperlink r:id="rId37" w:history="1">
        <w:r w:rsidRPr="004A3596">
          <w:rPr>
            <w:rStyle w:val="Hyperlink"/>
            <w:rFonts w:ascii="Times New Roman" w:hAnsi="Times New Roman" w:cs="Times New Roman"/>
          </w:rPr>
          <w:t>67 P.3d 627</w:t>
        </w:r>
      </w:hyperlink>
      <w:r w:rsidRPr="00BC5B6E">
        <w:rPr>
          <w:rFonts w:ascii="Times New Roman" w:hAnsi="Times New Roman" w:cs="Times New Roman"/>
        </w:rPr>
        <w:t>, 632 (Wyo.2003);</w:t>
      </w:r>
      <w:r>
        <w:rPr>
          <w:rFonts w:ascii="Times New Roman" w:hAnsi="Times New Roman" w:cs="Times New Roman"/>
        </w:rPr>
        <w:t xml:space="preserve"> </w:t>
      </w:r>
      <w:r w:rsidRPr="00BC5B6E">
        <w:rPr>
          <w:rFonts w:ascii="Times New Roman" w:hAnsi="Times New Roman" w:cs="Times New Roman"/>
        </w:rPr>
        <w:t xml:space="preserve">Smith v. Throckmartin, </w:t>
      </w:r>
      <w:hyperlink r:id="rId38" w:history="1">
        <w:r w:rsidRPr="004A3596">
          <w:rPr>
            <w:rStyle w:val="Hyperlink"/>
            <w:rFonts w:ascii="Times New Roman" w:hAnsi="Times New Roman" w:cs="Times New Roman"/>
          </w:rPr>
          <w:t>893 P.2d 712</w:t>
        </w:r>
      </w:hyperlink>
      <w:r w:rsidRPr="00BC5B6E">
        <w:rPr>
          <w:rFonts w:ascii="Times New Roman" w:hAnsi="Times New Roman" w:cs="Times New Roman"/>
        </w:rPr>
        <w:t xml:space="preserve"> (Wyo.1995)</w:t>
      </w:r>
      <w:r>
        <w:rPr>
          <w:rFonts w:ascii="Times New Roman" w:hAnsi="Times New Roman" w:cs="Times New Roman"/>
        </w:rPr>
        <w:t xml:space="preserve">; and </w:t>
      </w:r>
      <w:r w:rsidRPr="00BC5B6E">
        <w:rPr>
          <w:rFonts w:ascii="Times New Roman" w:hAnsi="Times New Roman" w:cs="Times New Roman"/>
        </w:rPr>
        <w:t xml:space="preserve">Harbel v. Wintermute, </w:t>
      </w:r>
      <w:hyperlink r:id="rId39" w:history="1">
        <w:r w:rsidRPr="004A3596">
          <w:rPr>
            <w:rStyle w:val="Hyperlink"/>
            <w:rFonts w:ascii="Times New Roman" w:hAnsi="Times New Roman" w:cs="Times New Roman"/>
          </w:rPr>
          <w:t>883 P.2d 359</w:t>
        </w:r>
      </w:hyperlink>
      <w:r w:rsidRPr="00BC5B6E">
        <w:rPr>
          <w:rFonts w:ascii="Times New Roman" w:hAnsi="Times New Roman" w:cs="Times New Roman"/>
        </w:rPr>
        <w:t>, 363 (Wyo.1994)</w:t>
      </w:r>
      <w:r>
        <w:rPr>
          <w:rFonts w:ascii="Times New Roman" w:hAnsi="Times New Roman" w:cs="Times New Roman"/>
        </w:rPr>
        <w:t>.</w:t>
      </w:r>
      <w:r w:rsidRPr="00BC5B6E">
        <w:rPr>
          <w:rFonts w:ascii="Times New Roman" w:hAnsi="Times New Roman" w:cs="Times New Roman"/>
        </w:rPr>
        <w:t xml:space="preserve"> </w:t>
      </w:r>
    </w:p>
  </w:footnote>
  <w:footnote w:id="61">
    <w:p w14:paraId="43E87F44" w14:textId="463920AC" w:rsidR="00336EDF" w:rsidRDefault="00336EDF" w:rsidP="00776A82">
      <w:pPr>
        <w:pStyle w:val="FootnoteText"/>
      </w:pPr>
      <w:r w:rsidRPr="00780F47">
        <w:rPr>
          <w:rStyle w:val="FootnoteReference"/>
          <w:rFonts w:ascii="Times New Roman" w:hAnsi="Times New Roman" w:cs="Times New Roman"/>
        </w:rPr>
        <w:footnoteRef/>
      </w:r>
      <w:r w:rsidRPr="00780F47">
        <w:rPr>
          <w:rFonts w:ascii="Times New Roman" w:hAnsi="Times New Roman" w:cs="Times New Roman"/>
        </w:rPr>
        <w:t xml:space="preserve"> </w:t>
      </w:r>
      <w:bookmarkStart w:id="87" w:name="f60"/>
      <w:bookmarkEnd w:id="87"/>
      <w:r w:rsidRPr="00780F47">
        <w:rPr>
          <w:rFonts w:ascii="Times New Roman" w:hAnsi="Times New Roman" w:cs="Times New Roman"/>
        </w:rPr>
        <w:t xml:space="preserve">Formisano, </w:t>
      </w:r>
      <w:r w:rsidRPr="00780F47">
        <w:rPr>
          <w:rFonts w:ascii="Times New Roman" w:hAnsi="Times New Roman" w:cs="Times New Roman"/>
          <w:i/>
        </w:rPr>
        <w:t>supra</w:t>
      </w:r>
      <w:r w:rsidRPr="00780F47">
        <w:rPr>
          <w:rFonts w:ascii="Times New Roman" w:hAnsi="Times New Roman" w:cs="Times New Roman"/>
        </w:rPr>
        <w:t>., 246 P.3d at 291</w:t>
      </w:r>
      <w:r>
        <w:rPr>
          <w:rFonts w:ascii="Times New Roman" w:hAnsi="Times New Roman" w:cs="Times New Roman"/>
        </w:rPr>
        <w:t xml:space="preserve"> (emphases supplied)</w:t>
      </w:r>
    </w:p>
  </w:footnote>
  <w:footnote w:id="62">
    <w:p w14:paraId="4660F4CA" w14:textId="78418C4D" w:rsidR="00336EDF" w:rsidRDefault="00336EDF" w:rsidP="00C459D7">
      <w:pPr>
        <w:pStyle w:val="FootnoteText"/>
        <w:jc w:val="both"/>
      </w:pPr>
      <w:r w:rsidRPr="000042A4">
        <w:rPr>
          <w:rStyle w:val="FootnoteReference"/>
          <w:rFonts w:ascii="Times New Roman" w:hAnsi="Times New Roman" w:cs="Times New Roman"/>
        </w:rPr>
        <w:footnoteRef/>
      </w:r>
      <w:r>
        <w:t xml:space="preserve"> </w:t>
      </w:r>
      <w:bookmarkStart w:id="88" w:name="f61"/>
      <w:bookmarkEnd w:id="88"/>
      <w:r w:rsidRPr="000042A4">
        <w:rPr>
          <w:rFonts w:ascii="Times New Roman" w:hAnsi="Times New Roman" w:cs="Times New Roman"/>
          <w:i/>
        </w:rPr>
        <w:t>See</w:t>
      </w:r>
      <w:r w:rsidRPr="000042A4">
        <w:rPr>
          <w:rFonts w:ascii="Times New Roman" w:hAnsi="Times New Roman" w:cs="Times New Roman"/>
        </w:rPr>
        <w:t xml:space="preserve"> Herrera v. Phillipps, </w:t>
      </w:r>
      <w:hyperlink r:id="rId40" w:history="1">
        <w:r w:rsidRPr="004A3596">
          <w:rPr>
            <w:rStyle w:val="Hyperlink"/>
            <w:rFonts w:ascii="Times New Roman" w:hAnsi="Times New Roman" w:cs="Times New Roman"/>
          </w:rPr>
          <w:t>334 P.3d 1225</w:t>
        </w:r>
      </w:hyperlink>
      <w:r w:rsidRPr="000042A4">
        <w:rPr>
          <w:rFonts w:ascii="Times New Roman" w:hAnsi="Times New Roman" w:cs="Times New Roman"/>
        </w:rPr>
        <w:t>, 1231 (Wyo. 2014)</w:t>
      </w:r>
      <w:r>
        <w:rPr>
          <w:rFonts w:ascii="Times New Roman" w:hAnsi="Times New Roman" w:cs="Times New Roman"/>
        </w:rPr>
        <w:t xml:space="preserve"> and </w:t>
      </w:r>
      <w:r w:rsidRPr="000042A4">
        <w:rPr>
          <w:rFonts w:ascii="Times New Roman" w:hAnsi="Times New Roman" w:cs="Times New Roman"/>
        </w:rPr>
        <w:t>Vandre v. Kuznia</w:t>
      </w:r>
      <w:r>
        <w:rPr>
          <w:rFonts w:ascii="Times New Roman" w:hAnsi="Times New Roman" w:cs="Times New Roman"/>
        </w:rPr>
        <w:t xml:space="preserve">, </w:t>
      </w:r>
      <w:hyperlink r:id="rId41" w:history="1">
        <w:r w:rsidRPr="004A3596">
          <w:rPr>
            <w:rStyle w:val="Hyperlink"/>
            <w:rFonts w:ascii="Times New Roman" w:hAnsi="Times New Roman" w:cs="Times New Roman"/>
          </w:rPr>
          <w:t>310 P.3d 919</w:t>
        </w:r>
      </w:hyperlink>
      <w:r>
        <w:rPr>
          <w:rFonts w:ascii="Times New Roman" w:hAnsi="Times New Roman" w:cs="Times New Roman"/>
        </w:rPr>
        <w:t>, 922-923 (Wyo. 2013)</w:t>
      </w:r>
    </w:p>
  </w:footnote>
  <w:footnote w:id="63">
    <w:p w14:paraId="698BBB1D" w14:textId="5123DED2" w:rsidR="00064BA2" w:rsidRDefault="00064BA2">
      <w:pPr>
        <w:pStyle w:val="FootnoteText"/>
      </w:pPr>
      <w:r w:rsidRPr="00DC204C">
        <w:rPr>
          <w:rStyle w:val="FootnoteReference"/>
          <w:rFonts w:ascii="Times New Roman" w:hAnsi="Times New Roman" w:cs="Times New Roman"/>
        </w:rPr>
        <w:footnoteRef/>
      </w:r>
      <w:r>
        <w:t xml:space="preserve"> </w:t>
      </w:r>
      <w:r w:rsidRPr="00DC204C">
        <w:rPr>
          <w:rFonts w:ascii="Times New Roman" w:hAnsi="Times New Roman" w:cs="Times New Roman"/>
        </w:rPr>
        <w:t>Wyoming Constitution, Art. X, Sec. 4(c)</w:t>
      </w:r>
    </w:p>
  </w:footnote>
  <w:footnote w:id="64">
    <w:p w14:paraId="1190EAC9" w14:textId="108A3E2A" w:rsidR="00545CF7" w:rsidRDefault="00545CF7">
      <w:pPr>
        <w:pStyle w:val="FootnoteText"/>
      </w:pPr>
      <w:r w:rsidRPr="00DC204C">
        <w:rPr>
          <w:rStyle w:val="FootnoteReference"/>
          <w:rFonts w:ascii="Times New Roman" w:hAnsi="Times New Roman" w:cs="Times New Roman"/>
        </w:rPr>
        <w:footnoteRef/>
      </w:r>
      <w:r>
        <w:t xml:space="preserve"> </w:t>
      </w:r>
      <w:r w:rsidRPr="00DC204C">
        <w:rPr>
          <w:rFonts w:ascii="Times New Roman" w:hAnsi="Times New Roman" w:cs="Times New Roman"/>
          <w:i/>
          <w:iCs/>
        </w:rPr>
        <w:t>Id.</w:t>
      </w:r>
    </w:p>
  </w:footnote>
  <w:footnote w:id="65">
    <w:p w14:paraId="096CED76" w14:textId="5FDA0D2A" w:rsidR="00337244" w:rsidRDefault="00337244">
      <w:pPr>
        <w:pStyle w:val="FootnoteText"/>
      </w:pPr>
      <w:r w:rsidRPr="00DC204C">
        <w:rPr>
          <w:rStyle w:val="FootnoteReference"/>
          <w:rFonts w:ascii="Times New Roman" w:hAnsi="Times New Roman" w:cs="Times New Roman"/>
        </w:rPr>
        <w:footnoteRef/>
      </w:r>
      <w:r w:rsidR="00064BA2" w:rsidRPr="00DC204C">
        <w:rPr>
          <w:rFonts w:ascii="Times New Roman" w:hAnsi="Times New Roman" w:cs="Times New Roman"/>
          <w:i/>
          <w:iCs/>
        </w:rPr>
        <w:t xml:space="preserve"> Id.</w:t>
      </w:r>
    </w:p>
  </w:footnote>
  <w:footnote w:id="66">
    <w:p w14:paraId="49488FD1" w14:textId="26D8F29D" w:rsidR="00336EDF" w:rsidRDefault="00336EDF">
      <w:pPr>
        <w:pStyle w:val="FootnoteText"/>
      </w:pPr>
      <w:r w:rsidRPr="00C459D7">
        <w:rPr>
          <w:rStyle w:val="FootnoteReference"/>
          <w:rFonts w:ascii="Times New Roman" w:hAnsi="Times New Roman" w:cs="Times New Roman"/>
        </w:rPr>
        <w:footnoteRef/>
      </w:r>
      <w:r>
        <w:t xml:space="preserve"> </w:t>
      </w:r>
      <w:bookmarkStart w:id="89" w:name="f62"/>
      <w:bookmarkEnd w:id="89"/>
      <w:r w:rsidRPr="00C459D7">
        <w:rPr>
          <w:rFonts w:ascii="Times New Roman" w:hAnsi="Times New Roman" w:cs="Times New Roman"/>
        </w:rPr>
        <w:t xml:space="preserve">State v. Heiner, </w:t>
      </w:r>
      <w:hyperlink r:id="rId42" w:history="1">
        <w:r w:rsidRPr="004A3596">
          <w:rPr>
            <w:rStyle w:val="Hyperlink"/>
            <w:rFonts w:ascii="Times New Roman" w:hAnsi="Times New Roman" w:cs="Times New Roman"/>
          </w:rPr>
          <w:t>683 P.2d 629</w:t>
        </w:r>
      </w:hyperlink>
      <w:r w:rsidRPr="00C459D7">
        <w:rPr>
          <w:rFonts w:ascii="Times New Roman" w:hAnsi="Times New Roman" w:cs="Times New Roman"/>
        </w:rPr>
        <w:t>, 649 (Wyo. 1984); State v. Stovall,</w:t>
      </w:r>
      <w:r>
        <w:rPr>
          <w:rFonts w:ascii="Times New Roman" w:hAnsi="Times New Roman" w:cs="Times New Roman"/>
        </w:rPr>
        <w:t xml:space="preserve"> </w:t>
      </w:r>
      <w:hyperlink r:id="rId43" w:history="1">
        <w:r w:rsidRPr="004A3596">
          <w:rPr>
            <w:rStyle w:val="Hyperlink"/>
            <w:rFonts w:ascii="Times New Roman" w:hAnsi="Times New Roman" w:cs="Times New Roman"/>
          </w:rPr>
          <w:t>648 P.2d 543</w:t>
        </w:r>
      </w:hyperlink>
      <w:r w:rsidRPr="00C459D7">
        <w:rPr>
          <w:rFonts w:ascii="Times New Roman" w:hAnsi="Times New Roman" w:cs="Times New Roman"/>
        </w:rPr>
        <w:t>, 547–548 (</w:t>
      </w:r>
      <w:r>
        <w:rPr>
          <w:rFonts w:ascii="Times New Roman" w:hAnsi="Times New Roman" w:cs="Times New Roman"/>
        </w:rPr>
        <w:t xml:space="preserve">Wyo. </w:t>
      </w:r>
      <w:r w:rsidRPr="00C459D7">
        <w:rPr>
          <w:rFonts w:ascii="Times New Roman" w:hAnsi="Times New Roman" w:cs="Times New Roman"/>
        </w:rPr>
        <w:t>1982)</w:t>
      </w:r>
    </w:p>
  </w:footnote>
  <w:footnote w:id="67">
    <w:p w14:paraId="2BB3AE65" w14:textId="2A457478" w:rsidR="007732F4" w:rsidRDefault="007732F4">
      <w:pPr>
        <w:pStyle w:val="FootnoteText"/>
      </w:pPr>
      <w:r w:rsidRPr="00DC204C">
        <w:rPr>
          <w:rStyle w:val="FootnoteReference"/>
          <w:rFonts w:ascii="Times New Roman" w:hAnsi="Times New Roman" w:cs="Times New Roman"/>
        </w:rPr>
        <w:footnoteRef/>
      </w:r>
      <w:r w:rsidRPr="00DC204C">
        <w:rPr>
          <w:rStyle w:val="FootnoteReference"/>
          <w:rFonts w:ascii="Times New Roman" w:hAnsi="Times New Roman" w:cs="Times New Roman"/>
        </w:rPr>
        <w:t xml:space="preserve"> </w:t>
      </w:r>
      <w:hyperlink r:id="rId44" w:history="1">
        <w:r w:rsidRPr="00DC204C">
          <w:rPr>
            <w:rStyle w:val="Hyperlink"/>
            <w:rFonts w:ascii="Times New Roman" w:hAnsi="Times New Roman" w:cs="Times New Roman"/>
          </w:rPr>
          <w:t>466 P.3d 285</w:t>
        </w:r>
      </w:hyperlink>
      <w:r w:rsidRPr="00DC204C">
        <w:rPr>
          <w:rFonts w:ascii="Times New Roman" w:hAnsi="Times New Roman" w:cs="Times New Roman"/>
        </w:rPr>
        <w:t xml:space="preserve"> (Wyo. 2020)</w:t>
      </w:r>
    </w:p>
  </w:footnote>
  <w:footnote w:id="68">
    <w:p w14:paraId="2ED415A7" w14:textId="00844213" w:rsidR="00FC5E13" w:rsidRDefault="00FC5E13">
      <w:pPr>
        <w:pStyle w:val="FootnoteText"/>
      </w:pPr>
      <w:r w:rsidRPr="00DC204C">
        <w:rPr>
          <w:rStyle w:val="FootnoteReference"/>
          <w:rFonts w:ascii="Times New Roman" w:hAnsi="Times New Roman" w:cs="Times New Roman"/>
        </w:rPr>
        <w:footnoteRef/>
      </w:r>
      <w:r>
        <w:t xml:space="preserve"> </w:t>
      </w:r>
      <w:r w:rsidRPr="00DC204C">
        <w:rPr>
          <w:rStyle w:val="Hyperlink"/>
          <w:rFonts w:ascii="Times New Roman" w:hAnsi="Times New Roman" w:cs="Times New Roman"/>
          <w:i/>
          <w:iCs/>
        </w:rPr>
        <w:t>Id</w:t>
      </w:r>
      <w:r w:rsidRPr="00DC204C">
        <w:rPr>
          <w:rStyle w:val="Hyperlink"/>
          <w:rFonts w:ascii="Times New Roman" w:hAnsi="Times New Roman" w:cs="Times New Roman"/>
        </w:rPr>
        <w:t>. at 288</w:t>
      </w:r>
    </w:p>
  </w:footnote>
  <w:footnote w:id="69">
    <w:p w14:paraId="3C9A0DBD" w14:textId="19F64495" w:rsidR="00FC5E13" w:rsidRDefault="00FC5E13">
      <w:pPr>
        <w:pStyle w:val="FootnoteText"/>
      </w:pPr>
      <w:r w:rsidRPr="00DC204C">
        <w:rPr>
          <w:rStyle w:val="FootnoteReference"/>
          <w:rFonts w:ascii="Times New Roman" w:hAnsi="Times New Roman" w:cs="Times New Roman"/>
        </w:rPr>
        <w:footnoteRef/>
      </w:r>
      <w:r>
        <w:t xml:space="preserve"> </w:t>
      </w:r>
      <w:r w:rsidRPr="00DC204C">
        <w:rPr>
          <w:rStyle w:val="Hyperlink"/>
          <w:rFonts w:ascii="Times New Roman" w:hAnsi="Times New Roman" w:cs="Times New Roman"/>
          <w:i/>
          <w:iCs/>
        </w:rPr>
        <w:t>Id.</w:t>
      </w:r>
    </w:p>
  </w:footnote>
  <w:footnote w:id="70">
    <w:p w14:paraId="6FA4F18A" w14:textId="00E8CDB8" w:rsidR="00FC5E13" w:rsidRDefault="00FC5E13">
      <w:pPr>
        <w:pStyle w:val="FootnoteText"/>
      </w:pPr>
      <w:r w:rsidRPr="00DC204C">
        <w:rPr>
          <w:rStyle w:val="FootnoteReference"/>
          <w:rFonts w:ascii="Times New Roman" w:hAnsi="Times New Roman" w:cs="Times New Roman"/>
        </w:rPr>
        <w:footnoteRef/>
      </w:r>
      <w:r>
        <w:t xml:space="preserve"> </w:t>
      </w:r>
      <w:r w:rsidRPr="00DC204C">
        <w:rPr>
          <w:rFonts w:ascii="Times New Roman" w:hAnsi="Times New Roman" w:cs="Times New Roman"/>
          <w:i/>
          <w:iCs/>
        </w:rPr>
        <w:t>Id</w:t>
      </w:r>
      <w:r w:rsidRPr="00DC204C">
        <w:rPr>
          <w:rFonts w:ascii="Times New Roman" w:hAnsi="Times New Roman" w:cs="Times New Roman"/>
        </w:rPr>
        <w:t>. at 289</w:t>
      </w:r>
    </w:p>
  </w:footnote>
  <w:footnote w:id="71">
    <w:p w14:paraId="5D1E1468" w14:textId="4CD97E66" w:rsidR="00A15274" w:rsidRDefault="00A15274">
      <w:pPr>
        <w:pStyle w:val="FootnoteText"/>
      </w:pPr>
      <w:r w:rsidRPr="00DC204C">
        <w:rPr>
          <w:rStyle w:val="FootnoteReference"/>
          <w:rFonts w:ascii="Times New Roman" w:hAnsi="Times New Roman" w:cs="Times New Roman"/>
        </w:rPr>
        <w:footnoteRef/>
      </w:r>
      <w:r>
        <w:t xml:space="preserve"> </w:t>
      </w:r>
      <w:r w:rsidRPr="00DC204C">
        <w:rPr>
          <w:rFonts w:ascii="Times New Roman" w:hAnsi="Times New Roman" w:cs="Times New Roman"/>
          <w:i/>
          <w:iCs/>
        </w:rPr>
        <w:t>Id</w:t>
      </w:r>
      <w:r w:rsidRPr="00DC204C">
        <w:rPr>
          <w:rFonts w:ascii="Times New Roman" w:hAnsi="Times New Roman" w:cs="Times New Roman"/>
        </w:rPr>
        <w:t>. at 290-294</w:t>
      </w:r>
    </w:p>
  </w:footnote>
  <w:footnote w:id="72">
    <w:p w14:paraId="36613796" w14:textId="10E4E58F" w:rsidR="008E14E3" w:rsidRDefault="008E14E3">
      <w:pPr>
        <w:pStyle w:val="FootnoteText"/>
      </w:pPr>
      <w:r w:rsidRPr="00DC204C">
        <w:rPr>
          <w:rStyle w:val="FootnoteReference"/>
          <w:rFonts w:ascii="Times New Roman" w:hAnsi="Times New Roman" w:cs="Times New Roman"/>
        </w:rPr>
        <w:footnoteRef/>
      </w:r>
      <w:r w:rsidRPr="00DC204C">
        <w:rPr>
          <w:rFonts w:ascii="Times New Roman" w:hAnsi="Times New Roman" w:cs="Times New Roman"/>
        </w:rPr>
        <w:t xml:space="preserve"> </w:t>
      </w:r>
      <w:r w:rsidRPr="00DC204C">
        <w:rPr>
          <w:rFonts w:ascii="Times New Roman" w:hAnsi="Times New Roman" w:cs="Times New Roman"/>
          <w:i/>
          <w:iCs/>
        </w:rPr>
        <w:t>Id</w:t>
      </w:r>
      <w:r w:rsidRPr="00DC204C">
        <w:rPr>
          <w:rFonts w:ascii="Times New Roman" w:hAnsi="Times New Roman" w:cs="Times New Roman"/>
        </w:rPr>
        <w:t>. at 295</w:t>
      </w:r>
    </w:p>
  </w:footnote>
  <w:footnote w:id="73">
    <w:p w14:paraId="06E952CC" w14:textId="6BF641C0" w:rsidR="008E14E3" w:rsidRDefault="008E14E3">
      <w:pPr>
        <w:pStyle w:val="FootnoteText"/>
      </w:pPr>
      <w:r w:rsidRPr="00DC204C">
        <w:rPr>
          <w:rStyle w:val="FootnoteReference"/>
          <w:rFonts w:ascii="Times New Roman" w:hAnsi="Times New Roman" w:cs="Times New Roman"/>
        </w:rPr>
        <w:footnoteRef/>
      </w:r>
      <w:r>
        <w:t xml:space="preserve"> </w:t>
      </w:r>
      <w:r w:rsidRPr="00DC204C">
        <w:rPr>
          <w:rFonts w:ascii="Times New Roman" w:hAnsi="Times New Roman" w:cs="Times New Roman"/>
          <w:i/>
          <w:iCs/>
        </w:rPr>
        <w:t>Id.</w:t>
      </w:r>
    </w:p>
  </w:footnote>
  <w:footnote w:id="74">
    <w:p w14:paraId="08FABDAA" w14:textId="19D72310" w:rsidR="00664FC8" w:rsidRDefault="00664FC8">
      <w:pPr>
        <w:pStyle w:val="FootnoteText"/>
      </w:pPr>
      <w:r w:rsidRPr="00DC204C">
        <w:rPr>
          <w:rStyle w:val="FootnoteReference"/>
          <w:rFonts w:ascii="Times New Roman" w:hAnsi="Times New Roman" w:cs="Times New Roman"/>
        </w:rPr>
        <w:footnoteRef/>
      </w:r>
      <w:r>
        <w:t xml:space="preserve"> </w:t>
      </w:r>
      <w:r w:rsidRPr="00DC204C">
        <w:rPr>
          <w:rFonts w:ascii="Times New Roman" w:hAnsi="Times New Roman" w:cs="Times New Roman"/>
          <w:i/>
          <w:iCs/>
        </w:rPr>
        <w:t>Id</w:t>
      </w:r>
      <w:r w:rsidRPr="00DC204C">
        <w:rPr>
          <w:rFonts w:ascii="Times New Roman" w:hAnsi="Times New Roman" w:cs="Times New Roman"/>
        </w:rPr>
        <w:t>. at 296</w:t>
      </w:r>
    </w:p>
  </w:footnote>
  <w:footnote w:id="75">
    <w:p w14:paraId="3B13AE63" w14:textId="11A6A8FE" w:rsidR="00073E88" w:rsidRPr="00DC204C" w:rsidRDefault="00BA47B8" w:rsidP="00DC204C">
      <w:pPr>
        <w:pStyle w:val="FootnoteText"/>
        <w:jc w:val="both"/>
        <w:rPr>
          <w:rFonts w:ascii="Times New Roman" w:hAnsi="Times New Roman" w:cs="Times New Roman"/>
        </w:rPr>
      </w:pPr>
      <w:r w:rsidRPr="00DC204C">
        <w:rPr>
          <w:rStyle w:val="FootnoteReference"/>
          <w:rFonts w:ascii="Times New Roman" w:hAnsi="Times New Roman" w:cs="Times New Roman"/>
        </w:rPr>
        <w:footnoteRef/>
      </w:r>
      <w:r w:rsidRPr="00DC204C">
        <w:rPr>
          <w:rFonts w:ascii="Times New Roman" w:hAnsi="Times New Roman" w:cs="Times New Roman"/>
        </w:rPr>
        <w:t xml:space="preserve"> This is so because approximately</w:t>
      </w:r>
      <w:r w:rsidR="007E4E2E">
        <w:rPr>
          <w:rFonts w:ascii="Times New Roman" w:hAnsi="Times New Roman" w:cs="Times New Roman"/>
        </w:rPr>
        <w:t xml:space="preserve"> forty</w:t>
      </w:r>
      <w:r w:rsidRPr="00DC204C">
        <w:rPr>
          <w:rFonts w:ascii="Times New Roman" w:hAnsi="Times New Roman" w:cs="Times New Roman"/>
        </w:rPr>
        <w:t xml:space="preserve"> states (as of this writing) decline to extend immunity to employers who intentionally injure their employees, particularly when the intentional conduct is assaultive. It follows that</w:t>
      </w:r>
      <w:r w:rsidR="007E4E2E">
        <w:rPr>
          <w:rFonts w:ascii="Times New Roman" w:hAnsi="Times New Roman" w:cs="Times New Roman"/>
        </w:rPr>
        <w:t>,</w:t>
      </w:r>
      <w:r w:rsidRPr="00DC204C">
        <w:rPr>
          <w:rFonts w:ascii="Times New Roman" w:hAnsi="Times New Roman" w:cs="Times New Roman"/>
        </w:rPr>
        <w:t xml:space="preserve"> in those states in which co-employee tort liability is limited to situations in which employees act intentionally or with culpable or gross negligence (which is the majority rule</w:t>
      </w:r>
      <w:r w:rsidR="00073E88" w:rsidRPr="00DC204C">
        <w:rPr>
          <w:rFonts w:ascii="Times New Roman" w:hAnsi="Times New Roman" w:cs="Times New Roman"/>
        </w:rPr>
        <w:t xml:space="preserve">, </w:t>
      </w:r>
      <w:r w:rsidR="00073E88" w:rsidRPr="007E4E2E">
        <w:rPr>
          <w:rFonts w:ascii="Times New Roman" w:hAnsi="Times New Roman" w:cs="Times New Roman"/>
          <w:i/>
        </w:rPr>
        <w:t>see</w:t>
      </w:r>
      <w:r w:rsidR="00073E88" w:rsidRPr="00DC204C">
        <w:rPr>
          <w:rFonts w:ascii="Times New Roman" w:hAnsi="Times New Roman" w:cs="Times New Roman"/>
        </w:rPr>
        <w:t xml:space="preserve"> </w:t>
      </w:r>
      <w:r w:rsidR="00073E88" w:rsidRPr="007E4E2E">
        <w:rPr>
          <w:rFonts w:ascii="Times New Roman" w:hAnsi="Times New Roman" w:cs="Times New Roman"/>
          <w:smallCaps/>
        </w:rPr>
        <w:t>10 Larson's Workers' Compensation Law § 111.03</w:t>
      </w:r>
      <w:r w:rsidRPr="00DC204C">
        <w:rPr>
          <w:rFonts w:ascii="Times New Roman" w:hAnsi="Times New Roman" w:cs="Times New Roman"/>
        </w:rPr>
        <w:t>)</w:t>
      </w:r>
      <w:r w:rsidR="007E4E2E">
        <w:rPr>
          <w:rFonts w:ascii="Times New Roman" w:hAnsi="Times New Roman" w:cs="Times New Roman"/>
        </w:rPr>
        <w:t>,</w:t>
      </w:r>
      <w:r w:rsidRPr="00DC204C">
        <w:rPr>
          <w:rFonts w:ascii="Times New Roman" w:hAnsi="Times New Roman" w:cs="Times New Roman"/>
        </w:rPr>
        <w:t xml:space="preserve"> the employer</w:t>
      </w:r>
      <w:r w:rsidR="00073E88" w:rsidRPr="00DC204C">
        <w:rPr>
          <w:rFonts w:ascii="Times New Roman" w:hAnsi="Times New Roman" w:cs="Times New Roman"/>
        </w:rPr>
        <w:t xml:space="preserve"> also may be subject to liability for actions undertaken under similar mental states. </w:t>
      </w:r>
      <w:r w:rsidR="00073E88" w:rsidRPr="007E4E2E">
        <w:rPr>
          <w:rFonts w:ascii="Times New Roman" w:hAnsi="Times New Roman" w:cs="Times New Roman"/>
          <w:i/>
        </w:rPr>
        <w:t xml:space="preserve">See generally </w:t>
      </w:r>
      <w:r w:rsidR="00073E88" w:rsidRPr="00DC204C">
        <w:rPr>
          <w:rFonts w:ascii="Times New Roman" w:hAnsi="Times New Roman" w:cs="Times New Roman"/>
        </w:rPr>
        <w:t xml:space="preserve"> </w:t>
      </w:r>
      <w:r w:rsidR="00073E88" w:rsidRPr="007E4E2E">
        <w:rPr>
          <w:rFonts w:ascii="Times New Roman" w:hAnsi="Times New Roman" w:cs="Times New Roman"/>
          <w:smallCaps/>
        </w:rPr>
        <w:t>9 Larson's Workers' Compensation Law § 105</w:t>
      </w:r>
      <w:r w:rsidR="005A7BAE">
        <w:rPr>
          <w:rFonts w:ascii="Times New Roman" w:hAnsi="Times New Roman" w:cs="Times New Roman"/>
          <w:smallCaps/>
        </w:rPr>
        <w:t>.</w:t>
      </w:r>
    </w:p>
    <w:p w14:paraId="04C4173D" w14:textId="7D15E01B" w:rsidR="00BA47B8" w:rsidRDefault="00BA47B8">
      <w:pPr>
        <w:pStyle w:val="FootnoteText"/>
      </w:pPr>
      <w:r>
        <w:t xml:space="preserve"> </w:t>
      </w:r>
    </w:p>
  </w:footnote>
  <w:footnote w:id="76">
    <w:p w14:paraId="73093B22" w14:textId="6AEE35BF" w:rsidR="00336EDF" w:rsidRPr="003D2F20" w:rsidRDefault="00336EDF">
      <w:pPr>
        <w:pStyle w:val="FootnoteText"/>
        <w:rPr>
          <w:rFonts w:ascii="Times New Roman" w:hAnsi="Times New Roman" w:cs="Times New Roman"/>
        </w:rPr>
      </w:pPr>
      <w:r w:rsidRPr="000547E5">
        <w:rPr>
          <w:rStyle w:val="FootnoteReference"/>
          <w:rFonts w:ascii="Times New Roman" w:hAnsi="Times New Roman" w:cs="Times New Roman"/>
        </w:rPr>
        <w:footnoteRef/>
      </w:r>
      <w:r w:rsidRPr="00680EC0">
        <w:rPr>
          <w:rFonts w:ascii="Times New Roman" w:hAnsi="Times New Roman" w:cs="Times New Roman"/>
        </w:rPr>
        <w:t xml:space="preserve"> </w:t>
      </w:r>
      <w:bookmarkStart w:id="92" w:name="f63"/>
      <w:bookmarkEnd w:id="92"/>
      <w:r w:rsidRPr="00680EC0">
        <w:rPr>
          <w:rFonts w:ascii="Times New Roman" w:hAnsi="Times New Roman" w:cs="Times New Roman"/>
        </w:rPr>
        <w:t xml:space="preserve">33 U.S.C.A. § 901 et seq. </w:t>
      </w:r>
    </w:p>
  </w:footnote>
  <w:footnote w:id="77">
    <w:p w14:paraId="0EB39E79" w14:textId="00B196E2" w:rsidR="00336EDF" w:rsidRPr="003D2F20" w:rsidRDefault="00336EDF">
      <w:pPr>
        <w:pStyle w:val="FootnoteText"/>
        <w:rPr>
          <w:rFonts w:ascii="Times New Roman" w:hAnsi="Times New Roman" w:cs="Times New Roman"/>
        </w:rPr>
      </w:pPr>
      <w:r w:rsidRPr="00321982">
        <w:rPr>
          <w:rStyle w:val="FootnoteReference"/>
          <w:rFonts w:ascii="Times New Roman" w:hAnsi="Times New Roman" w:cs="Times New Roman"/>
        </w:rPr>
        <w:footnoteRef/>
      </w:r>
      <w:r w:rsidRPr="00321982">
        <w:rPr>
          <w:rFonts w:ascii="Times New Roman" w:hAnsi="Times New Roman" w:cs="Times New Roman"/>
        </w:rPr>
        <w:t xml:space="preserve"> </w:t>
      </w:r>
      <w:bookmarkStart w:id="93" w:name="f64"/>
      <w:bookmarkEnd w:id="93"/>
      <w:r>
        <w:rPr>
          <w:rFonts w:ascii="Times New Roman" w:hAnsi="Times New Roman" w:cs="Times New Roman"/>
        </w:rPr>
        <w:t>46 U.S.C.A. § 30104</w:t>
      </w:r>
    </w:p>
  </w:footnote>
  <w:footnote w:id="78">
    <w:p w14:paraId="081E4F7A" w14:textId="6863CD10" w:rsidR="00336EDF" w:rsidRDefault="00336EDF">
      <w:pPr>
        <w:pStyle w:val="FootnoteText"/>
      </w:pPr>
      <w:r w:rsidRPr="000547E5">
        <w:rPr>
          <w:rStyle w:val="FootnoteReference"/>
          <w:rFonts w:ascii="Times New Roman" w:hAnsi="Times New Roman" w:cs="Times New Roman"/>
        </w:rPr>
        <w:footnoteRef/>
      </w:r>
      <w:r>
        <w:t xml:space="preserve"> </w:t>
      </w:r>
      <w:bookmarkStart w:id="95" w:name="f65"/>
      <w:bookmarkEnd w:id="95"/>
      <w:r w:rsidRPr="00241B16">
        <w:rPr>
          <w:rFonts w:ascii="Times New Roman" w:hAnsi="Times New Roman" w:cs="Times New Roman"/>
          <w:smallCaps/>
        </w:rPr>
        <w:t>Black's Law Dictionary</w:t>
      </w:r>
      <w:r w:rsidRPr="000547E5">
        <w:rPr>
          <w:rFonts w:ascii="Times New Roman" w:hAnsi="Times New Roman" w:cs="Times New Roman"/>
        </w:rPr>
        <w:t xml:space="preserve"> (10th ed. 2014)</w:t>
      </w:r>
      <w:r>
        <w:rPr>
          <w:rFonts w:ascii="Times New Roman" w:hAnsi="Times New Roman" w:cs="Times New Roman"/>
        </w:rPr>
        <w:t xml:space="preserve">; </w:t>
      </w:r>
      <w:r w:rsidRPr="00B84DAE">
        <w:rPr>
          <w:rFonts w:ascii="Times New Roman" w:hAnsi="Times New Roman" w:cs="Times New Roman"/>
          <w:i/>
        </w:rPr>
        <w:t>see</w:t>
      </w:r>
      <w:r>
        <w:rPr>
          <w:rFonts w:ascii="Times New Roman" w:hAnsi="Times New Roman" w:cs="Times New Roman"/>
        </w:rPr>
        <w:t xml:space="preserve"> </w:t>
      </w:r>
      <w:r w:rsidRPr="004E107B">
        <w:rPr>
          <w:rFonts w:ascii="Times New Roman" w:hAnsi="Times New Roman" w:cs="Times New Roman"/>
        </w:rPr>
        <w:t>5 L</w:t>
      </w:r>
      <w:r w:rsidRPr="004E107B">
        <w:rPr>
          <w:rFonts w:ascii="Times New Roman" w:hAnsi="Times New Roman" w:cs="Times New Roman"/>
          <w:smallCaps/>
        </w:rPr>
        <w:t>arson's</w:t>
      </w:r>
      <w:r w:rsidRPr="004E107B">
        <w:rPr>
          <w:rFonts w:ascii="Times New Roman" w:hAnsi="Times New Roman" w:cs="Times New Roman"/>
        </w:rPr>
        <w:t xml:space="preserve"> W</w:t>
      </w:r>
      <w:r w:rsidRPr="004E107B">
        <w:rPr>
          <w:rFonts w:ascii="Times New Roman" w:hAnsi="Times New Roman" w:cs="Times New Roman"/>
          <w:smallCaps/>
        </w:rPr>
        <w:t>orkers</w:t>
      </w:r>
      <w:r w:rsidRPr="004E107B">
        <w:rPr>
          <w:rFonts w:ascii="Times New Roman" w:hAnsi="Times New Roman" w:cs="Times New Roman"/>
        </w:rPr>
        <w:t>' C</w:t>
      </w:r>
      <w:r w:rsidRPr="004E107B">
        <w:rPr>
          <w:rFonts w:ascii="Times New Roman" w:hAnsi="Times New Roman" w:cs="Times New Roman"/>
          <w:smallCaps/>
        </w:rPr>
        <w:t>ompensation</w:t>
      </w:r>
      <w:r w:rsidRPr="004E107B">
        <w:rPr>
          <w:rFonts w:ascii="Times New Roman" w:hAnsi="Times New Roman" w:cs="Times New Roman"/>
        </w:rPr>
        <w:t xml:space="preserve"> L</w:t>
      </w:r>
      <w:r w:rsidRPr="004E107B">
        <w:rPr>
          <w:rFonts w:ascii="Times New Roman" w:hAnsi="Times New Roman" w:cs="Times New Roman"/>
          <w:smallCaps/>
        </w:rPr>
        <w:t>aw</w:t>
      </w:r>
      <w:r w:rsidRPr="004E107B">
        <w:rPr>
          <w:rFonts w:ascii="Times New Roman" w:hAnsi="Times New Roman" w:cs="Times New Roman"/>
        </w:rPr>
        <w:t xml:space="preserve"> § 60.01</w:t>
      </w:r>
    </w:p>
  </w:footnote>
  <w:footnote w:id="79">
    <w:p w14:paraId="6F86C726" w14:textId="3B227F80" w:rsidR="00336EDF" w:rsidRDefault="00336EDF" w:rsidP="00C632DB">
      <w:pPr>
        <w:pStyle w:val="FootnoteText"/>
      </w:pPr>
      <w:r w:rsidRPr="004E107B">
        <w:rPr>
          <w:rStyle w:val="FootnoteReference"/>
          <w:rFonts w:ascii="Times New Roman" w:hAnsi="Times New Roman" w:cs="Times New Roman"/>
        </w:rPr>
        <w:footnoteRef/>
      </w:r>
      <w:r>
        <w:t xml:space="preserve"> </w:t>
      </w:r>
      <w:bookmarkStart w:id="97" w:name="f66"/>
      <w:bookmarkStart w:id="98" w:name="_Hlk516901249"/>
      <w:bookmarkStart w:id="99" w:name="_Hlk516845352"/>
      <w:bookmarkEnd w:id="97"/>
      <w:r w:rsidRPr="005939F9">
        <w:rPr>
          <w:rFonts w:ascii="Times New Roman" w:hAnsi="Times New Roman" w:cs="Times New Roman"/>
        </w:rPr>
        <w:t>W.S.</w:t>
      </w:r>
      <w:r w:rsidRPr="005939F9">
        <w:t xml:space="preserve"> </w:t>
      </w:r>
      <w:r w:rsidRPr="005939F9">
        <w:rPr>
          <w:rFonts w:ascii="Times New Roman" w:hAnsi="Times New Roman" w:cs="Times New Roman"/>
        </w:rPr>
        <w:t xml:space="preserve">§ </w:t>
      </w:r>
      <w:hyperlink r:id="rId45" w:history="1">
        <w:r w:rsidRPr="005939F9">
          <w:rPr>
            <w:rStyle w:val="Hyperlink"/>
            <w:rFonts w:ascii="Times New Roman" w:hAnsi="Times New Roman" w:cs="Times New Roman"/>
          </w:rPr>
          <w:t>27-14-102</w:t>
        </w:r>
      </w:hyperlink>
      <w:r w:rsidRPr="005939F9">
        <w:rPr>
          <w:rFonts w:ascii="Times New Roman" w:hAnsi="Times New Roman" w:cs="Times New Roman"/>
        </w:rPr>
        <w:t xml:space="preserve"> (a)</w:t>
      </w:r>
      <w:r>
        <w:rPr>
          <w:rFonts w:ascii="Times New Roman" w:hAnsi="Times New Roman" w:cs="Times New Roman"/>
        </w:rPr>
        <w:t xml:space="preserve"> (vii)</w:t>
      </w:r>
      <w:bookmarkEnd w:id="98"/>
    </w:p>
    <w:bookmarkEnd w:id="99"/>
  </w:footnote>
  <w:footnote w:id="80">
    <w:p w14:paraId="40DEB49C" w14:textId="19B180D9" w:rsidR="00336EDF" w:rsidRDefault="00336EDF" w:rsidP="007C6142">
      <w:pPr>
        <w:spacing w:after="0"/>
        <w:jc w:val="both"/>
      </w:pPr>
      <w:r w:rsidRPr="00B761E3">
        <w:rPr>
          <w:rStyle w:val="FootnoteReference"/>
          <w:rFonts w:ascii="Times New Roman" w:hAnsi="Times New Roman" w:cs="Times New Roman"/>
          <w:sz w:val="20"/>
          <w:szCs w:val="20"/>
        </w:rPr>
        <w:footnoteRef/>
      </w:r>
      <w:r>
        <w:t xml:space="preserve"> </w:t>
      </w:r>
      <w:bookmarkStart w:id="102" w:name="f67"/>
      <w:bookmarkStart w:id="103" w:name="_Hlk516901336"/>
      <w:bookmarkEnd w:id="102"/>
      <w:r w:rsidRPr="005939F9">
        <w:rPr>
          <w:rStyle w:val="Hyperlink"/>
          <w:rFonts w:ascii="Times New Roman" w:hAnsi="Times New Roman" w:cs="Times New Roman"/>
          <w:color w:val="auto"/>
          <w:sz w:val="20"/>
          <w:szCs w:val="20"/>
          <w:u w:val="none"/>
        </w:rPr>
        <w:t xml:space="preserve">W.S. § </w:t>
      </w:r>
      <w:hyperlink r:id="rId46" w:history="1">
        <w:r w:rsidRPr="005939F9">
          <w:rPr>
            <w:rStyle w:val="Hyperlink"/>
            <w:rFonts w:ascii="Times New Roman" w:hAnsi="Times New Roman" w:cs="Times New Roman"/>
            <w:sz w:val="20"/>
            <w:szCs w:val="20"/>
          </w:rPr>
          <w:t>27-14-102</w:t>
        </w:r>
      </w:hyperlink>
      <w:r w:rsidRPr="005939F9">
        <w:rPr>
          <w:rStyle w:val="Hyperlink"/>
          <w:rFonts w:ascii="Times New Roman" w:hAnsi="Times New Roman" w:cs="Times New Roman"/>
          <w:color w:val="auto"/>
          <w:sz w:val="20"/>
          <w:szCs w:val="20"/>
          <w:u w:val="none"/>
        </w:rPr>
        <w:t xml:space="preserve"> (a)</w:t>
      </w:r>
      <w:r w:rsidRPr="005939F9">
        <w:rPr>
          <w:rStyle w:val="Hyperlink"/>
          <w:color w:val="auto"/>
        </w:rPr>
        <w:t xml:space="preserve"> </w:t>
      </w:r>
      <w:r w:rsidRPr="00B761E3">
        <w:rPr>
          <w:rFonts w:ascii="Times New Roman" w:hAnsi="Times New Roman" w:cs="Times New Roman"/>
          <w:sz w:val="20"/>
          <w:szCs w:val="20"/>
        </w:rPr>
        <w:t>(vii)(A)-(R). The Wyoming legislature has enacted an additional exclusion, (S), effective July 1, 2018: “A responsible broker, associate broker or salesperson licensed under the Real Estate License Act, W.S. 33–28–101 through 33–28–401, who receives compensation for the services identified in W.S. 33–28–102(b)(xlv). The receipt of additional compensation for the performance of other real estate related services shall not negate this exemption.”</w:t>
      </w:r>
      <w:bookmarkEnd w:id="103"/>
    </w:p>
  </w:footnote>
  <w:footnote w:id="81">
    <w:p w14:paraId="003510C9" w14:textId="5E0CE9B8" w:rsidR="00336EDF" w:rsidRDefault="00336EDF">
      <w:pPr>
        <w:pStyle w:val="FootnoteText"/>
      </w:pPr>
      <w:r w:rsidRPr="0066074F">
        <w:rPr>
          <w:rStyle w:val="FootnoteReference"/>
          <w:rFonts w:ascii="Times New Roman" w:hAnsi="Times New Roman" w:cs="Times New Roman"/>
        </w:rPr>
        <w:footnoteRef/>
      </w:r>
      <w:r>
        <w:t xml:space="preserve"> </w:t>
      </w:r>
      <w:bookmarkStart w:id="107" w:name="f68"/>
      <w:bookmarkEnd w:id="107"/>
      <w:r>
        <w:fldChar w:fldCharType="begin"/>
      </w:r>
      <w:r>
        <w:instrText xml:space="preserve"> HYPERLINK "https://www.leagle.com/decision/20006431p3d6421640" </w:instrText>
      </w:r>
      <w:r>
        <w:fldChar w:fldCharType="separate"/>
      </w:r>
      <w:r w:rsidRPr="0066074F">
        <w:rPr>
          <w:rStyle w:val="Hyperlink"/>
          <w:rFonts w:ascii="Times New Roman" w:hAnsi="Times New Roman" w:cs="Times New Roman"/>
        </w:rPr>
        <w:t>1 P.3d 642</w:t>
      </w:r>
      <w:r>
        <w:rPr>
          <w:rStyle w:val="Hyperlink"/>
          <w:rFonts w:ascii="Times New Roman" w:hAnsi="Times New Roman" w:cs="Times New Roman"/>
        </w:rPr>
        <w:fldChar w:fldCharType="end"/>
      </w:r>
      <w:r>
        <w:rPr>
          <w:rFonts w:ascii="Times New Roman" w:hAnsi="Times New Roman" w:cs="Times New Roman"/>
        </w:rPr>
        <w:t xml:space="preserve"> (Wyo. 2000)</w:t>
      </w:r>
    </w:p>
  </w:footnote>
  <w:footnote w:id="82">
    <w:p w14:paraId="4A79B41F" w14:textId="60DEC3C2" w:rsidR="00336EDF" w:rsidRDefault="00336EDF">
      <w:pPr>
        <w:pStyle w:val="FootnoteText"/>
      </w:pPr>
      <w:r w:rsidRPr="0066074F">
        <w:rPr>
          <w:rStyle w:val="FootnoteReference"/>
          <w:rFonts w:ascii="Times New Roman" w:hAnsi="Times New Roman" w:cs="Times New Roman"/>
        </w:rPr>
        <w:footnoteRef/>
      </w:r>
      <w:r>
        <w:t xml:space="preserve"> </w:t>
      </w:r>
      <w:bookmarkStart w:id="108" w:name="f69"/>
      <w:bookmarkEnd w:id="108"/>
      <w:r w:rsidRPr="0066074F">
        <w:rPr>
          <w:rFonts w:ascii="Times New Roman" w:hAnsi="Times New Roman" w:cs="Times New Roman"/>
          <w:i/>
          <w:iCs/>
        </w:rPr>
        <w:t>Id</w:t>
      </w:r>
      <w:r w:rsidRPr="0066074F">
        <w:rPr>
          <w:rFonts w:ascii="Times New Roman" w:hAnsi="Times New Roman" w:cs="Times New Roman"/>
        </w:rPr>
        <w:t>. at 643</w:t>
      </w:r>
    </w:p>
  </w:footnote>
  <w:footnote w:id="83">
    <w:p w14:paraId="5390A274" w14:textId="74FD1520" w:rsidR="00336EDF" w:rsidRDefault="00336EDF">
      <w:pPr>
        <w:pStyle w:val="FootnoteText"/>
      </w:pPr>
      <w:r w:rsidRPr="0066074F">
        <w:rPr>
          <w:rStyle w:val="FootnoteReference"/>
          <w:rFonts w:ascii="Times New Roman" w:hAnsi="Times New Roman" w:cs="Times New Roman"/>
        </w:rPr>
        <w:footnoteRef/>
      </w:r>
      <w:r w:rsidRPr="0066074F">
        <w:rPr>
          <w:rFonts w:ascii="Times New Roman" w:hAnsi="Times New Roman" w:cs="Times New Roman"/>
        </w:rPr>
        <w:t xml:space="preserve"> </w:t>
      </w:r>
      <w:bookmarkStart w:id="109" w:name="f70"/>
      <w:bookmarkEnd w:id="109"/>
      <w:r w:rsidRPr="0066074F">
        <w:rPr>
          <w:rFonts w:ascii="Times New Roman" w:hAnsi="Times New Roman" w:cs="Times New Roman"/>
          <w:i/>
          <w:iCs/>
        </w:rPr>
        <w:t>Id</w:t>
      </w:r>
      <w:r w:rsidRPr="0066074F">
        <w:rPr>
          <w:rFonts w:ascii="Times New Roman" w:hAnsi="Times New Roman" w:cs="Times New Roman"/>
        </w:rPr>
        <w:t>. at 646</w:t>
      </w:r>
    </w:p>
  </w:footnote>
  <w:footnote w:id="84">
    <w:p w14:paraId="69F9B509" w14:textId="2EDDC797" w:rsidR="00336EDF" w:rsidRDefault="00336EDF">
      <w:pPr>
        <w:pStyle w:val="FootnoteText"/>
      </w:pPr>
      <w:r w:rsidRPr="00183802">
        <w:rPr>
          <w:rStyle w:val="FootnoteReference"/>
          <w:rFonts w:ascii="Times New Roman" w:hAnsi="Times New Roman" w:cs="Times New Roman"/>
        </w:rPr>
        <w:footnoteRef/>
      </w:r>
      <w:r>
        <w:t xml:space="preserve"> </w:t>
      </w:r>
      <w:bookmarkStart w:id="110" w:name="f71"/>
      <w:bookmarkEnd w:id="110"/>
      <w:r w:rsidRPr="00183802">
        <w:rPr>
          <w:rFonts w:ascii="Times New Roman" w:hAnsi="Times New Roman" w:cs="Times New Roman"/>
          <w:i/>
          <w:iCs/>
        </w:rPr>
        <w:t>Id.</w:t>
      </w:r>
    </w:p>
  </w:footnote>
  <w:footnote w:id="85">
    <w:p w14:paraId="74E49BAA" w14:textId="0062F935" w:rsidR="00336EDF" w:rsidRPr="00183802" w:rsidRDefault="00336EDF">
      <w:pPr>
        <w:pStyle w:val="FootnoteText"/>
        <w:rPr>
          <w:rFonts w:ascii="Times New Roman" w:hAnsi="Times New Roman" w:cs="Times New Roman"/>
        </w:rPr>
      </w:pPr>
      <w:r w:rsidRPr="00183802">
        <w:rPr>
          <w:rStyle w:val="FootnoteReference"/>
          <w:rFonts w:ascii="Times New Roman" w:hAnsi="Times New Roman" w:cs="Times New Roman"/>
        </w:rPr>
        <w:footnoteRef/>
      </w:r>
      <w:r w:rsidRPr="00183802">
        <w:rPr>
          <w:rFonts w:ascii="Times New Roman" w:hAnsi="Times New Roman" w:cs="Times New Roman"/>
        </w:rPr>
        <w:t xml:space="preserve"> </w:t>
      </w:r>
      <w:bookmarkStart w:id="111" w:name="f72"/>
      <w:bookmarkEnd w:id="111"/>
      <w:r w:rsidRPr="00183802">
        <w:rPr>
          <w:rFonts w:ascii="Times New Roman" w:hAnsi="Times New Roman" w:cs="Times New Roman"/>
          <w:i/>
          <w:iCs/>
        </w:rPr>
        <w:t>Id</w:t>
      </w:r>
      <w:r w:rsidRPr="00183802">
        <w:rPr>
          <w:rFonts w:ascii="Times New Roman" w:hAnsi="Times New Roman" w:cs="Times New Roman"/>
        </w:rPr>
        <w:t>. at 646-647</w:t>
      </w:r>
    </w:p>
  </w:footnote>
  <w:footnote w:id="86">
    <w:p w14:paraId="3011058E" w14:textId="2468824D" w:rsidR="00336EDF" w:rsidRDefault="00336EDF">
      <w:pPr>
        <w:pStyle w:val="FootnoteText"/>
      </w:pPr>
      <w:r w:rsidRPr="00183802">
        <w:rPr>
          <w:rStyle w:val="FootnoteReference"/>
          <w:rFonts w:ascii="Times New Roman" w:hAnsi="Times New Roman" w:cs="Times New Roman"/>
        </w:rPr>
        <w:footnoteRef/>
      </w:r>
      <w:r>
        <w:t xml:space="preserve"> </w:t>
      </w:r>
      <w:bookmarkStart w:id="112" w:name="f73"/>
      <w:bookmarkEnd w:id="112"/>
      <w:r w:rsidRPr="00183802">
        <w:rPr>
          <w:rFonts w:ascii="Times New Roman" w:hAnsi="Times New Roman" w:cs="Times New Roman"/>
          <w:i/>
          <w:iCs/>
        </w:rPr>
        <w:t>Id</w:t>
      </w:r>
      <w:r w:rsidRPr="00183802">
        <w:rPr>
          <w:rFonts w:ascii="Times New Roman" w:hAnsi="Times New Roman" w:cs="Times New Roman"/>
        </w:rPr>
        <w:t>. at 646</w:t>
      </w:r>
    </w:p>
  </w:footnote>
  <w:footnote w:id="87">
    <w:p w14:paraId="35FA5DFE" w14:textId="725486A6" w:rsidR="00336EDF" w:rsidRPr="002457F9" w:rsidRDefault="00336EDF" w:rsidP="002457F9">
      <w:pPr>
        <w:pStyle w:val="FootnoteText"/>
        <w:jc w:val="both"/>
        <w:rPr>
          <w:rFonts w:ascii="Times New Roman" w:hAnsi="Times New Roman" w:cs="Times New Roman"/>
        </w:rPr>
      </w:pPr>
      <w:r w:rsidRPr="002457F9">
        <w:rPr>
          <w:rStyle w:val="FootnoteReference"/>
          <w:rFonts w:ascii="Times New Roman" w:hAnsi="Times New Roman" w:cs="Times New Roman"/>
        </w:rPr>
        <w:footnoteRef/>
      </w:r>
      <w:r>
        <w:t xml:space="preserve"> </w:t>
      </w:r>
      <w:bookmarkStart w:id="115" w:name="f74"/>
      <w:bookmarkEnd w:id="115"/>
      <w:r w:rsidRPr="00485CBF">
        <w:rPr>
          <w:rFonts w:ascii="Times New Roman" w:hAnsi="Times New Roman" w:cs="Times New Roman"/>
        </w:rPr>
        <w:t>Emphases supplied.</w:t>
      </w:r>
      <w:r>
        <w:t xml:space="preserve"> </w:t>
      </w:r>
      <w:r w:rsidRPr="002457F9">
        <w:rPr>
          <w:rFonts w:ascii="Times New Roman" w:hAnsi="Times New Roman" w:cs="Times New Roman"/>
        </w:rPr>
        <w:t xml:space="preserve">It seems likely that the development of the law </w:t>
      </w:r>
      <w:r>
        <w:rPr>
          <w:rFonts w:ascii="Times New Roman" w:hAnsi="Times New Roman" w:cs="Times New Roman"/>
        </w:rPr>
        <w:t xml:space="preserve">in this area </w:t>
      </w:r>
      <w:r w:rsidRPr="002457F9">
        <w:rPr>
          <w:rFonts w:ascii="Times New Roman" w:hAnsi="Times New Roman" w:cs="Times New Roman"/>
        </w:rPr>
        <w:t xml:space="preserve">was </w:t>
      </w:r>
      <w:r>
        <w:rPr>
          <w:rFonts w:ascii="Times New Roman" w:hAnsi="Times New Roman" w:cs="Times New Roman"/>
        </w:rPr>
        <w:t>influenced</w:t>
      </w:r>
      <w:r w:rsidRPr="002457F9">
        <w:rPr>
          <w:rFonts w:ascii="Times New Roman" w:hAnsi="Times New Roman" w:cs="Times New Roman"/>
        </w:rPr>
        <w:t xml:space="preserve"> by</w:t>
      </w:r>
      <w:r>
        <w:rPr>
          <w:rFonts w:ascii="Times New Roman" w:hAnsi="Times New Roman" w:cs="Times New Roman"/>
        </w:rPr>
        <w:t xml:space="preserve"> </w:t>
      </w:r>
      <w:r w:rsidRPr="002457F9">
        <w:rPr>
          <w:rFonts w:ascii="Times New Roman" w:hAnsi="Times New Roman" w:cs="Times New Roman"/>
          <w:i/>
        </w:rPr>
        <w:t>Romero v. Reiman Corp</w:t>
      </w:r>
      <w:r w:rsidRPr="002457F9">
        <w:rPr>
          <w:rFonts w:ascii="Times New Roman" w:hAnsi="Times New Roman" w:cs="Times New Roman"/>
        </w:rPr>
        <w:t xml:space="preserve">., </w:t>
      </w:r>
      <w:r w:rsidRPr="002457F9">
        <w:rPr>
          <w:rFonts w:ascii="Times New Roman" w:hAnsi="Times New Roman" w:cs="Times New Roman"/>
          <w:i/>
        </w:rPr>
        <w:t>see e.g</w:t>
      </w:r>
      <w:r>
        <w:rPr>
          <w:rFonts w:ascii="Times New Roman" w:hAnsi="Times New Roman" w:cs="Times New Roman"/>
        </w:rPr>
        <w:t xml:space="preserve">. </w:t>
      </w:r>
      <w:r w:rsidRPr="002457F9">
        <w:rPr>
          <w:rFonts w:ascii="Times New Roman" w:hAnsi="Times New Roman" w:cs="Times New Roman"/>
        </w:rPr>
        <w:t>2012 U.S. Dist. LEXIS 194044</w:t>
      </w:r>
      <w:r>
        <w:rPr>
          <w:rFonts w:ascii="Times New Roman" w:hAnsi="Times New Roman" w:cs="Times New Roman"/>
        </w:rPr>
        <w:t xml:space="preserve"> (February 15, 2012)</w:t>
      </w:r>
      <w:r w:rsidRPr="002457F9">
        <w:rPr>
          <w:rFonts w:ascii="Times New Roman" w:hAnsi="Times New Roman" w:cs="Times New Roman"/>
        </w:rPr>
        <w:t xml:space="preserve"> tried in the District Court of Wyoming. In that case, presided over Judge Nancy Freudenthal</w:t>
      </w:r>
      <w:r>
        <w:rPr>
          <w:rFonts w:ascii="Times New Roman" w:hAnsi="Times New Roman" w:cs="Times New Roman"/>
        </w:rPr>
        <w:t xml:space="preserve"> a federal court, sitting in diversity jurisdiction</w:t>
      </w:r>
      <w:r w:rsidRPr="002457F9">
        <w:rPr>
          <w:rFonts w:ascii="Times New Roman" w:hAnsi="Times New Roman" w:cs="Times New Roman"/>
        </w:rPr>
        <w:t xml:space="preserve">, </w:t>
      </w:r>
      <w:r>
        <w:rPr>
          <w:rFonts w:ascii="Times New Roman" w:hAnsi="Times New Roman" w:cs="Times New Roman"/>
        </w:rPr>
        <w:t xml:space="preserve">awarded </w:t>
      </w:r>
      <w:r w:rsidRPr="002457F9">
        <w:rPr>
          <w:rFonts w:ascii="Times New Roman" w:hAnsi="Times New Roman" w:cs="Times New Roman"/>
        </w:rPr>
        <w:t xml:space="preserve">an injured undocumented worker </w:t>
      </w:r>
      <w:r>
        <w:rPr>
          <w:rFonts w:ascii="Times New Roman" w:hAnsi="Times New Roman" w:cs="Times New Roman"/>
        </w:rPr>
        <w:t xml:space="preserve">a verdict of </w:t>
      </w:r>
      <w:r w:rsidRPr="002457F9">
        <w:rPr>
          <w:rFonts w:ascii="Times New Roman" w:hAnsi="Times New Roman" w:cs="Times New Roman"/>
        </w:rPr>
        <w:t xml:space="preserve">$1,000,000 </w:t>
      </w:r>
      <w:r>
        <w:rPr>
          <w:rFonts w:ascii="Times New Roman" w:hAnsi="Times New Roman" w:cs="Times New Roman"/>
        </w:rPr>
        <w:t>(</w:t>
      </w:r>
      <w:r w:rsidRPr="002457F9">
        <w:rPr>
          <w:rFonts w:ascii="Times New Roman" w:hAnsi="Times New Roman" w:cs="Times New Roman"/>
        </w:rPr>
        <w:t>less 10% for comparative negligence</w:t>
      </w:r>
      <w:r>
        <w:rPr>
          <w:rFonts w:ascii="Times New Roman" w:hAnsi="Times New Roman" w:cs="Times New Roman"/>
        </w:rPr>
        <w:t>)</w:t>
      </w:r>
      <w:r w:rsidRPr="002457F9">
        <w:rPr>
          <w:rFonts w:ascii="Times New Roman" w:hAnsi="Times New Roman" w:cs="Times New Roman"/>
        </w:rPr>
        <w:t>.</w:t>
      </w:r>
    </w:p>
  </w:footnote>
  <w:footnote w:id="88">
    <w:p w14:paraId="1F1EDD95" w14:textId="470098C6" w:rsidR="00336EDF" w:rsidRDefault="00336EDF">
      <w:pPr>
        <w:pStyle w:val="FootnoteText"/>
      </w:pPr>
      <w:r w:rsidRPr="00A80AF8">
        <w:rPr>
          <w:rStyle w:val="FootnoteReference"/>
          <w:rFonts w:ascii="Times New Roman" w:hAnsi="Times New Roman" w:cs="Times New Roman"/>
        </w:rPr>
        <w:footnoteRef/>
      </w:r>
      <w:r>
        <w:t xml:space="preserve"> </w:t>
      </w:r>
      <w:bookmarkStart w:id="116" w:name="f75"/>
      <w:bookmarkEnd w:id="116"/>
      <w:r>
        <w:fldChar w:fldCharType="begin"/>
      </w:r>
      <w:r>
        <w:instrText xml:space="preserve"> HYPERLINK "https://www.leagle.com/decision/inwyco20150218e37" </w:instrText>
      </w:r>
      <w:r>
        <w:fldChar w:fldCharType="separate"/>
      </w:r>
      <w:r w:rsidRPr="00241B16">
        <w:rPr>
          <w:rStyle w:val="Hyperlink"/>
          <w:rFonts w:ascii="Times New Roman" w:hAnsi="Times New Roman" w:cs="Times New Roman"/>
        </w:rPr>
        <w:t>344 P.3d 249</w:t>
      </w:r>
      <w:r>
        <w:rPr>
          <w:rStyle w:val="Hyperlink"/>
          <w:rFonts w:ascii="Times New Roman" w:hAnsi="Times New Roman" w:cs="Times New Roman"/>
        </w:rPr>
        <w:fldChar w:fldCharType="end"/>
      </w:r>
      <w:r w:rsidRPr="00A80AF8">
        <w:rPr>
          <w:rFonts w:ascii="Times New Roman" w:hAnsi="Times New Roman" w:cs="Times New Roman"/>
        </w:rPr>
        <w:t xml:space="preserve"> (Wyo. 2015)</w:t>
      </w:r>
    </w:p>
  </w:footnote>
  <w:footnote w:id="89">
    <w:p w14:paraId="686A30D4" w14:textId="7784A483" w:rsidR="00336EDF" w:rsidRDefault="00336EDF">
      <w:pPr>
        <w:pStyle w:val="FootnoteText"/>
      </w:pPr>
      <w:r w:rsidRPr="00A80AF8">
        <w:rPr>
          <w:rStyle w:val="FootnoteReference"/>
          <w:rFonts w:ascii="Times New Roman" w:hAnsi="Times New Roman" w:cs="Times New Roman"/>
        </w:rPr>
        <w:footnoteRef/>
      </w:r>
      <w:r>
        <w:t xml:space="preserve"> </w:t>
      </w:r>
      <w:bookmarkStart w:id="117" w:name="f76"/>
      <w:bookmarkEnd w:id="117"/>
      <w:r w:rsidRPr="00A80AF8">
        <w:rPr>
          <w:rFonts w:ascii="Times New Roman" w:hAnsi="Times New Roman" w:cs="Times New Roman"/>
          <w:i/>
        </w:rPr>
        <w:t>Id.</w:t>
      </w:r>
      <w:r>
        <w:t xml:space="preserve"> at </w:t>
      </w:r>
      <w:r w:rsidRPr="00A80AF8">
        <w:rPr>
          <w:rFonts w:ascii="Times New Roman" w:hAnsi="Times New Roman" w:cs="Times New Roman"/>
        </w:rPr>
        <w:t>251</w:t>
      </w:r>
    </w:p>
  </w:footnote>
  <w:footnote w:id="90">
    <w:p w14:paraId="7E2E6F84" w14:textId="0679E144" w:rsidR="00336EDF" w:rsidRDefault="00336EDF">
      <w:pPr>
        <w:pStyle w:val="FootnoteText"/>
      </w:pPr>
      <w:r w:rsidRPr="0073017A">
        <w:rPr>
          <w:rStyle w:val="FootnoteReference"/>
          <w:rFonts w:ascii="Times New Roman" w:hAnsi="Times New Roman" w:cs="Times New Roman"/>
        </w:rPr>
        <w:footnoteRef/>
      </w:r>
      <w:r>
        <w:t xml:space="preserve"> </w:t>
      </w:r>
      <w:bookmarkStart w:id="119" w:name="f77"/>
      <w:bookmarkEnd w:id="119"/>
      <w:r w:rsidRPr="0073017A">
        <w:rPr>
          <w:rFonts w:ascii="Times New Roman" w:hAnsi="Times New Roman" w:cs="Times New Roman"/>
          <w:i/>
        </w:rPr>
        <w:t>Id.</w:t>
      </w:r>
      <w:r>
        <w:t xml:space="preserve"> </w:t>
      </w:r>
      <w:r w:rsidRPr="0073017A">
        <w:rPr>
          <w:rFonts w:ascii="Times New Roman" w:hAnsi="Times New Roman" w:cs="Times New Roman"/>
        </w:rPr>
        <w:t>at 253</w:t>
      </w:r>
    </w:p>
  </w:footnote>
  <w:footnote w:id="91">
    <w:p w14:paraId="175349B5" w14:textId="3853F3E8" w:rsidR="00336EDF" w:rsidRDefault="00336EDF">
      <w:pPr>
        <w:pStyle w:val="FootnoteText"/>
      </w:pPr>
      <w:r w:rsidRPr="0073017A">
        <w:rPr>
          <w:rStyle w:val="FootnoteReference"/>
          <w:rFonts w:ascii="Times New Roman" w:hAnsi="Times New Roman" w:cs="Times New Roman"/>
        </w:rPr>
        <w:footnoteRef/>
      </w:r>
      <w:r>
        <w:t xml:space="preserve"> </w:t>
      </w:r>
      <w:bookmarkStart w:id="120" w:name="f78"/>
      <w:bookmarkEnd w:id="120"/>
      <w:r w:rsidRPr="0073017A">
        <w:rPr>
          <w:rFonts w:ascii="Times New Roman" w:hAnsi="Times New Roman" w:cs="Times New Roman"/>
          <w:i/>
        </w:rPr>
        <w:t>Id.</w:t>
      </w:r>
    </w:p>
  </w:footnote>
  <w:footnote w:id="92">
    <w:p w14:paraId="46DF8775" w14:textId="556198A4" w:rsidR="00336EDF" w:rsidRDefault="00336EDF">
      <w:pPr>
        <w:pStyle w:val="FootnoteText"/>
      </w:pPr>
      <w:r w:rsidRPr="001C08D9">
        <w:rPr>
          <w:rStyle w:val="FootnoteReference"/>
          <w:rFonts w:ascii="Times New Roman" w:hAnsi="Times New Roman" w:cs="Times New Roman"/>
        </w:rPr>
        <w:footnoteRef/>
      </w:r>
      <w:r w:rsidRPr="001C08D9">
        <w:rPr>
          <w:rStyle w:val="FootnoteReference"/>
          <w:rFonts w:ascii="Times New Roman" w:hAnsi="Times New Roman" w:cs="Times New Roman"/>
        </w:rPr>
        <w:t xml:space="preserve"> </w:t>
      </w:r>
      <w:bookmarkStart w:id="121" w:name="f79"/>
      <w:bookmarkEnd w:id="121"/>
      <w:r>
        <w:fldChar w:fldCharType="begin"/>
      </w:r>
      <w:r>
        <w:instrText xml:space="preserve"> HYPERLINK "https://www.leagle.com/decision/inwyco20151006i02" </w:instrText>
      </w:r>
      <w:r>
        <w:fldChar w:fldCharType="separate"/>
      </w:r>
      <w:r w:rsidRPr="00241B16">
        <w:rPr>
          <w:rStyle w:val="Hyperlink"/>
          <w:rFonts w:ascii="Times New Roman" w:hAnsi="Times New Roman" w:cs="Times New Roman"/>
        </w:rPr>
        <w:t>357 P.3d 1157</w:t>
      </w:r>
      <w:r>
        <w:rPr>
          <w:rStyle w:val="Hyperlink"/>
          <w:rFonts w:ascii="Times New Roman" w:hAnsi="Times New Roman" w:cs="Times New Roman"/>
        </w:rPr>
        <w:fldChar w:fldCharType="end"/>
      </w:r>
      <w:r>
        <w:rPr>
          <w:rFonts w:ascii="Times New Roman" w:hAnsi="Times New Roman" w:cs="Times New Roman"/>
        </w:rPr>
        <w:t xml:space="preserve"> (Wyo. 2015)</w:t>
      </w:r>
    </w:p>
  </w:footnote>
  <w:footnote w:id="93">
    <w:p w14:paraId="5308CE5C" w14:textId="1209390A" w:rsidR="00336EDF" w:rsidRDefault="00336EDF">
      <w:pPr>
        <w:pStyle w:val="FootnoteText"/>
      </w:pPr>
      <w:r w:rsidRPr="006966B1">
        <w:rPr>
          <w:rStyle w:val="FootnoteReference"/>
          <w:rFonts w:ascii="Times New Roman" w:hAnsi="Times New Roman" w:cs="Times New Roman"/>
        </w:rPr>
        <w:footnoteRef/>
      </w:r>
      <w:r>
        <w:t xml:space="preserve"> </w:t>
      </w:r>
      <w:bookmarkStart w:id="122" w:name="f80"/>
      <w:bookmarkEnd w:id="122"/>
      <w:r w:rsidRPr="006966B1">
        <w:rPr>
          <w:rFonts w:ascii="Times New Roman" w:hAnsi="Times New Roman" w:cs="Times New Roman"/>
          <w:i/>
        </w:rPr>
        <w:t>Id</w:t>
      </w:r>
      <w:r w:rsidRPr="006966B1">
        <w:rPr>
          <w:rFonts w:ascii="Times New Roman" w:hAnsi="Times New Roman" w:cs="Times New Roman"/>
        </w:rPr>
        <w:t>. at 1160</w:t>
      </w:r>
    </w:p>
  </w:footnote>
  <w:footnote w:id="94">
    <w:p w14:paraId="489DA6E9" w14:textId="51EC55E6" w:rsidR="00336EDF" w:rsidRDefault="00336EDF">
      <w:pPr>
        <w:pStyle w:val="FootnoteText"/>
      </w:pPr>
      <w:r w:rsidRPr="006966B1">
        <w:rPr>
          <w:rStyle w:val="FootnoteReference"/>
          <w:rFonts w:ascii="Times New Roman" w:hAnsi="Times New Roman" w:cs="Times New Roman"/>
        </w:rPr>
        <w:footnoteRef/>
      </w:r>
      <w:r>
        <w:t xml:space="preserve"> </w:t>
      </w:r>
      <w:bookmarkStart w:id="124" w:name="f81"/>
      <w:bookmarkEnd w:id="124"/>
      <w:r w:rsidRPr="006966B1">
        <w:rPr>
          <w:rFonts w:ascii="Times New Roman" w:hAnsi="Times New Roman" w:cs="Times New Roman"/>
          <w:i/>
        </w:rPr>
        <w:t>Id.</w:t>
      </w:r>
    </w:p>
  </w:footnote>
  <w:footnote w:id="95">
    <w:p w14:paraId="3B17CD8D" w14:textId="3237780F" w:rsidR="00336EDF" w:rsidRDefault="00336EDF">
      <w:pPr>
        <w:pStyle w:val="FootnoteText"/>
      </w:pPr>
      <w:r w:rsidRPr="006966B1">
        <w:rPr>
          <w:rStyle w:val="FootnoteReference"/>
          <w:rFonts w:ascii="Times New Roman" w:hAnsi="Times New Roman" w:cs="Times New Roman"/>
        </w:rPr>
        <w:footnoteRef/>
      </w:r>
      <w:r>
        <w:t xml:space="preserve"> </w:t>
      </w:r>
      <w:bookmarkStart w:id="125" w:name="f82"/>
      <w:bookmarkEnd w:id="125"/>
      <w:r w:rsidRPr="006966B1">
        <w:rPr>
          <w:rFonts w:ascii="Times New Roman" w:hAnsi="Times New Roman" w:cs="Times New Roman"/>
          <w:i/>
        </w:rPr>
        <w:t>Id.</w:t>
      </w:r>
    </w:p>
  </w:footnote>
  <w:footnote w:id="96">
    <w:p w14:paraId="5E414B1D" w14:textId="762A1052" w:rsidR="00336EDF" w:rsidRDefault="00336EDF">
      <w:pPr>
        <w:pStyle w:val="FootnoteText"/>
      </w:pPr>
      <w:r w:rsidRPr="006966B1">
        <w:rPr>
          <w:rStyle w:val="FootnoteReference"/>
          <w:rFonts w:ascii="Times New Roman" w:hAnsi="Times New Roman" w:cs="Times New Roman"/>
        </w:rPr>
        <w:footnoteRef/>
      </w:r>
      <w:r>
        <w:t xml:space="preserve"> </w:t>
      </w:r>
      <w:bookmarkStart w:id="126" w:name="f83"/>
      <w:bookmarkEnd w:id="126"/>
      <w:r w:rsidRPr="006966B1">
        <w:rPr>
          <w:rFonts w:ascii="Times New Roman" w:hAnsi="Times New Roman" w:cs="Times New Roman"/>
          <w:i/>
        </w:rPr>
        <w:t xml:space="preserve">Id. </w:t>
      </w:r>
      <w:r w:rsidRPr="006966B1">
        <w:rPr>
          <w:rFonts w:ascii="Times New Roman" w:hAnsi="Times New Roman" w:cs="Times New Roman"/>
        </w:rPr>
        <w:t>at 1160-61</w:t>
      </w:r>
    </w:p>
  </w:footnote>
  <w:footnote w:id="97">
    <w:p w14:paraId="60CBFE63" w14:textId="081EBBB8" w:rsidR="00336EDF" w:rsidRDefault="00336EDF">
      <w:pPr>
        <w:pStyle w:val="FootnoteText"/>
      </w:pPr>
      <w:r w:rsidRPr="00895181">
        <w:rPr>
          <w:rStyle w:val="FootnoteReference"/>
          <w:rFonts w:ascii="Times New Roman" w:hAnsi="Times New Roman" w:cs="Times New Roman"/>
        </w:rPr>
        <w:footnoteRef/>
      </w:r>
      <w:r>
        <w:t xml:space="preserve"> </w:t>
      </w:r>
      <w:bookmarkStart w:id="127" w:name="f84"/>
      <w:bookmarkEnd w:id="127"/>
      <w:r w:rsidRPr="00895181">
        <w:rPr>
          <w:rFonts w:ascii="Times New Roman" w:hAnsi="Times New Roman" w:cs="Times New Roman"/>
          <w:i/>
        </w:rPr>
        <w:t>Id.</w:t>
      </w:r>
      <w:r>
        <w:t xml:space="preserve"> </w:t>
      </w:r>
      <w:r w:rsidRPr="00895181">
        <w:rPr>
          <w:rFonts w:ascii="Times New Roman" w:hAnsi="Times New Roman" w:cs="Times New Roman"/>
        </w:rPr>
        <w:t>at 1162</w:t>
      </w:r>
    </w:p>
  </w:footnote>
  <w:footnote w:id="98">
    <w:p w14:paraId="1538E270" w14:textId="2441AF0D" w:rsidR="00336EDF" w:rsidRDefault="00336EDF">
      <w:pPr>
        <w:pStyle w:val="FootnoteText"/>
      </w:pPr>
      <w:r w:rsidRPr="00C846B4">
        <w:rPr>
          <w:rStyle w:val="FootnoteReference"/>
          <w:rFonts w:ascii="Times New Roman" w:hAnsi="Times New Roman" w:cs="Times New Roman"/>
        </w:rPr>
        <w:footnoteRef/>
      </w:r>
      <w:r>
        <w:t xml:space="preserve"> </w:t>
      </w:r>
      <w:bookmarkStart w:id="128" w:name="f85"/>
      <w:bookmarkEnd w:id="128"/>
      <w:r>
        <w:fldChar w:fldCharType="begin"/>
      </w:r>
      <w:r>
        <w:instrText xml:space="preserve"> HYPERLINK "https://www.leagle.com/decision/inwyco20140923g34" </w:instrText>
      </w:r>
      <w:r>
        <w:fldChar w:fldCharType="separate"/>
      </w:r>
      <w:r w:rsidRPr="00241B16">
        <w:rPr>
          <w:rStyle w:val="Hyperlink"/>
          <w:rFonts w:ascii="Times New Roman" w:hAnsi="Times New Roman" w:cs="Times New Roman"/>
        </w:rPr>
        <w:t>334 P.3d 1225</w:t>
      </w:r>
      <w:r>
        <w:rPr>
          <w:rStyle w:val="Hyperlink"/>
          <w:rFonts w:ascii="Times New Roman" w:hAnsi="Times New Roman" w:cs="Times New Roman"/>
        </w:rPr>
        <w:fldChar w:fldCharType="end"/>
      </w:r>
      <w:r>
        <w:rPr>
          <w:rFonts w:ascii="Times New Roman" w:hAnsi="Times New Roman" w:cs="Times New Roman"/>
        </w:rPr>
        <w:t xml:space="preserve"> (Wyo. 2014)</w:t>
      </w:r>
    </w:p>
  </w:footnote>
  <w:footnote w:id="99">
    <w:p w14:paraId="3657AAB7" w14:textId="3C9796F1" w:rsidR="00336EDF" w:rsidRDefault="00336EDF">
      <w:pPr>
        <w:pStyle w:val="FootnoteText"/>
      </w:pPr>
      <w:r w:rsidRPr="007B64D8">
        <w:rPr>
          <w:rStyle w:val="FootnoteReference"/>
          <w:rFonts w:ascii="Times New Roman" w:hAnsi="Times New Roman" w:cs="Times New Roman"/>
        </w:rPr>
        <w:footnoteRef/>
      </w:r>
      <w:r>
        <w:t xml:space="preserve"> </w:t>
      </w:r>
      <w:bookmarkStart w:id="129" w:name="f86"/>
      <w:bookmarkEnd w:id="129"/>
      <w:r w:rsidRPr="007B64D8">
        <w:rPr>
          <w:rFonts w:ascii="Times New Roman" w:hAnsi="Times New Roman" w:cs="Times New Roman"/>
          <w:i/>
        </w:rPr>
        <w:t>Id.</w:t>
      </w:r>
      <w:r>
        <w:t xml:space="preserve"> </w:t>
      </w:r>
      <w:r w:rsidRPr="007B64D8">
        <w:rPr>
          <w:rFonts w:ascii="Times New Roman" w:hAnsi="Times New Roman" w:cs="Times New Roman"/>
        </w:rPr>
        <w:t>at 1227</w:t>
      </w:r>
    </w:p>
  </w:footnote>
  <w:footnote w:id="100">
    <w:p w14:paraId="35B4E7A4" w14:textId="1430276F" w:rsidR="00336EDF" w:rsidRDefault="00336EDF">
      <w:pPr>
        <w:pStyle w:val="FootnoteText"/>
      </w:pPr>
      <w:r w:rsidRPr="007B64D8">
        <w:rPr>
          <w:rStyle w:val="FootnoteReference"/>
          <w:rFonts w:ascii="Times New Roman" w:hAnsi="Times New Roman" w:cs="Times New Roman"/>
        </w:rPr>
        <w:footnoteRef/>
      </w:r>
      <w:r w:rsidRPr="007B64D8">
        <w:rPr>
          <w:rStyle w:val="FootnoteReference"/>
          <w:rFonts w:ascii="Times New Roman" w:hAnsi="Times New Roman" w:cs="Times New Roman"/>
        </w:rPr>
        <w:t xml:space="preserve"> </w:t>
      </w:r>
      <w:bookmarkStart w:id="130" w:name="f87"/>
      <w:bookmarkEnd w:id="130"/>
      <w:r w:rsidRPr="007B64D8">
        <w:rPr>
          <w:rFonts w:ascii="Times New Roman" w:hAnsi="Times New Roman" w:cs="Times New Roman"/>
          <w:i/>
        </w:rPr>
        <w:t>Id.</w:t>
      </w:r>
      <w:r>
        <w:t xml:space="preserve"> </w:t>
      </w:r>
    </w:p>
  </w:footnote>
  <w:footnote w:id="101">
    <w:p w14:paraId="5DE33FA5" w14:textId="7C501AAC" w:rsidR="00336EDF" w:rsidRDefault="00336EDF">
      <w:pPr>
        <w:pStyle w:val="FootnoteText"/>
      </w:pPr>
      <w:r w:rsidRPr="007B64D8">
        <w:rPr>
          <w:rStyle w:val="FootnoteReference"/>
          <w:rFonts w:ascii="Times New Roman" w:hAnsi="Times New Roman" w:cs="Times New Roman"/>
        </w:rPr>
        <w:footnoteRef/>
      </w:r>
      <w:r>
        <w:t xml:space="preserve"> </w:t>
      </w:r>
      <w:bookmarkStart w:id="131" w:name="f88"/>
      <w:bookmarkEnd w:id="131"/>
      <w:r w:rsidRPr="007B64D8">
        <w:rPr>
          <w:rFonts w:ascii="Times New Roman" w:hAnsi="Times New Roman" w:cs="Times New Roman"/>
          <w:i/>
        </w:rPr>
        <w:t>Id</w:t>
      </w:r>
      <w:r>
        <w:t xml:space="preserve">. </w:t>
      </w:r>
      <w:r w:rsidRPr="007B64D8">
        <w:rPr>
          <w:rFonts w:ascii="Times New Roman" w:hAnsi="Times New Roman" w:cs="Times New Roman"/>
        </w:rPr>
        <w:t>at 1228</w:t>
      </w:r>
    </w:p>
  </w:footnote>
  <w:footnote w:id="102">
    <w:p w14:paraId="5CF17E19" w14:textId="353C49DC" w:rsidR="00336EDF" w:rsidRDefault="00336EDF">
      <w:pPr>
        <w:pStyle w:val="FootnoteText"/>
      </w:pPr>
      <w:r w:rsidRPr="007B64D8">
        <w:rPr>
          <w:rStyle w:val="FootnoteReference"/>
          <w:rFonts w:ascii="Times New Roman" w:hAnsi="Times New Roman" w:cs="Times New Roman"/>
        </w:rPr>
        <w:footnoteRef/>
      </w:r>
      <w:r>
        <w:t xml:space="preserve"> </w:t>
      </w:r>
      <w:bookmarkStart w:id="132" w:name="f89"/>
      <w:bookmarkEnd w:id="132"/>
      <w:r w:rsidRPr="007B64D8">
        <w:rPr>
          <w:rFonts w:ascii="Times New Roman" w:hAnsi="Times New Roman" w:cs="Times New Roman"/>
          <w:i/>
        </w:rPr>
        <w:t>Id.</w:t>
      </w:r>
      <w:r>
        <w:t xml:space="preserve"> </w:t>
      </w:r>
      <w:r w:rsidRPr="007B64D8">
        <w:rPr>
          <w:rFonts w:ascii="Times New Roman" w:hAnsi="Times New Roman" w:cs="Times New Roman"/>
        </w:rPr>
        <w:t>at 1230-31</w:t>
      </w:r>
    </w:p>
  </w:footnote>
  <w:footnote w:id="103">
    <w:p w14:paraId="5A2324FE" w14:textId="3346C30D" w:rsidR="00336EDF" w:rsidRPr="006B39AA" w:rsidRDefault="00336EDF" w:rsidP="006B39AA">
      <w:pPr>
        <w:pStyle w:val="FootnoteText"/>
        <w:jc w:val="both"/>
        <w:rPr>
          <w:rFonts w:ascii="Times New Roman" w:hAnsi="Times New Roman" w:cs="Times New Roman"/>
        </w:rPr>
      </w:pPr>
      <w:r w:rsidRPr="006B39AA">
        <w:rPr>
          <w:rStyle w:val="FootnoteReference"/>
          <w:rFonts w:ascii="Times New Roman" w:hAnsi="Times New Roman" w:cs="Times New Roman"/>
        </w:rPr>
        <w:footnoteRef/>
      </w:r>
      <w:r w:rsidRPr="006B39AA">
        <w:rPr>
          <w:rStyle w:val="FootnoteReference"/>
          <w:rFonts w:ascii="Times New Roman" w:hAnsi="Times New Roman" w:cs="Times New Roman"/>
        </w:rPr>
        <w:t xml:space="preserve"> </w:t>
      </w:r>
      <w:bookmarkStart w:id="133" w:name="f90"/>
      <w:bookmarkEnd w:id="133"/>
      <w:r w:rsidRPr="006B39AA">
        <w:rPr>
          <w:rFonts w:ascii="Times New Roman" w:hAnsi="Times New Roman" w:cs="Times New Roman"/>
        </w:rPr>
        <w:t xml:space="preserve">See </w:t>
      </w:r>
      <w:r w:rsidRPr="006B39AA">
        <w:rPr>
          <w:rFonts w:ascii="Times New Roman" w:hAnsi="Times New Roman" w:cs="Times New Roman"/>
          <w:i/>
        </w:rPr>
        <w:t>for example</w:t>
      </w:r>
      <w:r w:rsidRPr="006B39AA">
        <w:rPr>
          <w:rFonts w:ascii="Times New Roman" w:hAnsi="Times New Roman" w:cs="Times New Roman"/>
        </w:rPr>
        <w:t xml:space="preserve"> Mills v. Reynolds, </w:t>
      </w:r>
      <w:hyperlink r:id="rId47" w:history="1">
        <w:r w:rsidRPr="00241B16">
          <w:rPr>
            <w:rStyle w:val="Hyperlink"/>
            <w:rFonts w:ascii="Times New Roman" w:hAnsi="Times New Roman" w:cs="Times New Roman"/>
          </w:rPr>
          <w:t>837 P.2d 48</w:t>
        </w:r>
      </w:hyperlink>
      <w:r w:rsidRPr="006B39AA">
        <w:rPr>
          <w:rFonts w:ascii="Times New Roman" w:hAnsi="Times New Roman" w:cs="Times New Roman"/>
        </w:rPr>
        <w:t>, 53 (Wyo. 1992)</w:t>
      </w:r>
      <w:r>
        <w:rPr>
          <w:rFonts w:ascii="Times New Roman" w:hAnsi="Times New Roman" w:cs="Times New Roman"/>
        </w:rPr>
        <w:t xml:space="preserve">: </w:t>
      </w:r>
      <w:r w:rsidRPr="006B39AA">
        <w:rPr>
          <w:rFonts w:ascii="Times New Roman" w:hAnsi="Times New Roman" w:cs="Times New Roman"/>
        </w:rPr>
        <w:t xml:space="preserve">Generally, equal protection “‘mandates that all persons similarly situated shall be treated alike, both in the privileges conferred and in the liabilities imposed.’” Small v. State, </w:t>
      </w:r>
      <w:hyperlink r:id="rId48" w:history="1">
        <w:r w:rsidRPr="00241B16">
          <w:rPr>
            <w:rStyle w:val="Hyperlink"/>
            <w:rFonts w:ascii="Times New Roman" w:hAnsi="Times New Roman" w:cs="Times New Roman"/>
          </w:rPr>
          <w:t>689 P.2d 420</w:t>
        </w:r>
      </w:hyperlink>
      <w:r w:rsidRPr="006B39AA">
        <w:rPr>
          <w:rFonts w:ascii="Times New Roman" w:hAnsi="Times New Roman" w:cs="Times New Roman"/>
        </w:rPr>
        <w:t xml:space="preserve">, 425 (Wyo.1984), </w:t>
      </w:r>
      <w:r w:rsidRPr="00241B16">
        <w:rPr>
          <w:rFonts w:ascii="Times New Roman" w:hAnsi="Times New Roman" w:cs="Times New Roman"/>
          <w:i/>
          <w:iCs/>
        </w:rPr>
        <w:t>cert. denied</w:t>
      </w:r>
      <w:r w:rsidRPr="006B39AA">
        <w:rPr>
          <w:rFonts w:ascii="Times New Roman" w:hAnsi="Times New Roman" w:cs="Times New Roman"/>
        </w:rPr>
        <w:t>, 469 U.S. 1224</w:t>
      </w:r>
      <w:r>
        <w:rPr>
          <w:rFonts w:ascii="Times New Roman" w:hAnsi="Times New Roman" w:cs="Times New Roman"/>
        </w:rPr>
        <w:t xml:space="preserve"> </w:t>
      </w:r>
      <w:r w:rsidRPr="006B39AA">
        <w:rPr>
          <w:rFonts w:ascii="Times New Roman" w:hAnsi="Times New Roman" w:cs="Times New Roman"/>
        </w:rPr>
        <w:t>(1985) (</w:t>
      </w:r>
      <w:r w:rsidRPr="00241B16">
        <w:rPr>
          <w:rFonts w:ascii="Times New Roman" w:hAnsi="Times New Roman" w:cs="Times New Roman"/>
          <w:i/>
          <w:iCs/>
        </w:rPr>
        <w:t>quoting</w:t>
      </w:r>
      <w:r w:rsidRPr="006B39AA">
        <w:rPr>
          <w:rFonts w:ascii="Times New Roman" w:hAnsi="Times New Roman" w:cs="Times New Roman"/>
        </w:rPr>
        <w:t xml:space="preserve"> State v. Freitas, 61 Haw. 262, </w:t>
      </w:r>
      <w:hyperlink r:id="rId49" w:history="1">
        <w:r w:rsidRPr="00241B16">
          <w:rPr>
            <w:rStyle w:val="Hyperlink"/>
            <w:rFonts w:ascii="Times New Roman" w:hAnsi="Times New Roman" w:cs="Times New Roman"/>
          </w:rPr>
          <w:t>602 P.2d 914</w:t>
        </w:r>
      </w:hyperlink>
      <w:r w:rsidRPr="006B39AA">
        <w:rPr>
          <w:rFonts w:ascii="Times New Roman" w:hAnsi="Times New Roman" w:cs="Times New Roman"/>
        </w:rPr>
        <w:t>, 922 (1979)</w:t>
      </w:r>
      <w:r>
        <w:rPr>
          <w:rFonts w:ascii="Times New Roman" w:hAnsi="Times New Roman" w:cs="Times New Roman"/>
        </w:rPr>
        <w:t>). In the workers’ compensation context, while the Wyoming Supreme Court does not yet appear to have taken on the question, it has emerged in other states. In Indiana, for example, the state supreme court recently said, “</w:t>
      </w:r>
      <w:r w:rsidRPr="00CE0296">
        <w:rPr>
          <w:rFonts w:ascii="Times New Roman" w:hAnsi="Times New Roman" w:cs="Times New Roman"/>
        </w:rPr>
        <w:t>the Indiana Constitution</w:t>
      </w:r>
      <w:r>
        <w:rPr>
          <w:rFonts w:ascii="Times New Roman" w:hAnsi="Times New Roman" w:cs="Times New Roman"/>
        </w:rPr>
        <w:t>’</w:t>
      </w:r>
      <w:r w:rsidRPr="00CE0296">
        <w:rPr>
          <w:rFonts w:ascii="Times New Roman" w:hAnsi="Times New Roman" w:cs="Times New Roman"/>
        </w:rPr>
        <w:t>s Open Courts Clause allows unauthorized immigrants to pursue claims for decreased earning capacity damages.</w:t>
      </w:r>
      <w:r>
        <w:rPr>
          <w:rFonts w:ascii="Times New Roman" w:hAnsi="Times New Roman" w:cs="Times New Roman"/>
        </w:rPr>
        <w:t xml:space="preserve">” </w:t>
      </w:r>
      <w:r w:rsidRPr="00CE0296">
        <w:rPr>
          <w:rFonts w:ascii="Times New Roman" w:hAnsi="Times New Roman" w:cs="Times New Roman"/>
        </w:rPr>
        <w:t xml:space="preserve">Escamilla v. Shiel Sexton Co., </w:t>
      </w:r>
      <w:hyperlink r:id="rId50" w:history="1">
        <w:r w:rsidRPr="00241B16">
          <w:rPr>
            <w:rStyle w:val="Hyperlink"/>
            <w:rFonts w:ascii="Times New Roman" w:hAnsi="Times New Roman" w:cs="Times New Roman"/>
          </w:rPr>
          <w:t>73 N.E.3d 663</w:t>
        </w:r>
      </w:hyperlink>
      <w:r>
        <w:rPr>
          <w:rFonts w:ascii="Times New Roman" w:hAnsi="Times New Roman" w:cs="Times New Roman"/>
        </w:rPr>
        <w:t>, 664 (Ind. 2017).</w:t>
      </w:r>
    </w:p>
  </w:footnote>
  <w:footnote w:id="104">
    <w:p w14:paraId="4A03F6DC" w14:textId="61E127D1" w:rsidR="00336EDF" w:rsidRDefault="00336EDF">
      <w:pPr>
        <w:pStyle w:val="FootnoteText"/>
      </w:pPr>
      <w:r w:rsidRPr="00166803">
        <w:rPr>
          <w:rStyle w:val="FootnoteReference"/>
          <w:rFonts w:ascii="Times New Roman" w:hAnsi="Times New Roman" w:cs="Times New Roman"/>
        </w:rPr>
        <w:footnoteRef/>
      </w:r>
      <w:r>
        <w:t xml:space="preserve"> </w:t>
      </w:r>
      <w:bookmarkStart w:id="134" w:name="f91"/>
      <w:bookmarkEnd w:id="134"/>
      <w:r w:rsidRPr="00166803">
        <w:rPr>
          <w:rFonts w:ascii="Times New Roman" w:hAnsi="Times New Roman" w:cs="Times New Roman"/>
          <w:i/>
        </w:rPr>
        <w:t>See generally</w:t>
      </w:r>
      <w:r w:rsidRPr="00166803">
        <w:rPr>
          <w:rFonts w:ascii="Times New Roman" w:hAnsi="Times New Roman" w:cs="Times New Roman"/>
        </w:rPr>
        <w:t xml:space="preserve"> </w:t>
      </w:r>
      <w:r w:rsidRPr="00CE0296">
        <w:rPr>
          <w:rFonts w:ascii="Times New Roman" w:hAnsi="Times New Roman" w:cs="Times New Roman"/>
        </w:rPr>
        <w:t>Rosa v. Partners in Progress</w:t>
      </w:r>
      <w:r w:rsidRPr="00166803">
        <w:rPr>
          <w:rFonts w:ascii="Times New Roman" w:hAnsi="Times New Roman" w:cs="Times New Roman"/>
        </w:rPr>
        <w:t xml:space="preserve">, </w:t>
      </w:r>
      <w:hyperlink r:id="rId51" w:history="1">
        <w:r w:rsidRPr="00241B16">
          <w:rPr>
            <w:rStyle w:val="Hyperlink"/>
            <w:rFonts w:ascii="Times New Roman" w:hAnsi="Times New Roman" w:cs="Times New Roman"/>
          </w:rPr>
          <w:t>868 A.2d 994</w:t>
        </w:r>
      </w:hyperlink>
      <w:r w:rsidRPr="00166803">
        <w:rPr>
          <w:rFonts w:ascii="Times New Roman" w:hAnsi="Times New Roman" w:cs="Times New Roman"/>
        </w:rPr>
        <w:t>, 1000 (N.H. 2005)</w:t>
      </w:r>
      <w:r>
        <w:rPr>
          <w:rFonts w:ascii="Times New Roman" w:hAnsi="Times New Roman" w:cs="Times New Roman"/>
        </w:rPr>
        <w:t xml:space="preserve"> (discussing conflicting case law on this point).</w:t>
      </w:r>
    </w:p>
  </w:footnote>
  <w:footnote w:id="105">
    <w:p w14:paraId="16D304E6" w14:textId="158F29BA" w:rsidR="00336EDF" w:rsidRDefault="00336EDF" w:rsidP="00BC0324">
      <w:pPr>
        <w:pStyle w:val="FootnoteText"/>
        <w:jc w:val="both"/>
      </w:pPr>
      <w:r w:rsidRPr="00BC0324">
        <w:rPr>
          <w:rStyle w:val="FootnoteReference"/>
          <w:rFonts w:ascii="Times New Roman" w:hAnsi="Times New Roman" w:cs="Times New Roman"/>
        </w:rPr>
        <w:footnoteRef/>
      </w:r>
      <w:r>
        <w:t xml:space="preserve"> </w:t>
      </w:r>
      <w:bookmarkStart w:id="135" w:name="f92"/>
      <w:bookmarkEnd w:id="135"/>
      <w:r w:rsidRPr="00BC0324">
        <w:rPr>
          <w:rFonts w:ascii="Times New Roman" w:hAnsi="Times New Roman" w:cs="Times New Roman"/>
        </w:rPr>
        <w:t xml:space="preserve">David B. Torrey and Justin D. Beck, </w:t>
      </w:r>
      <w:r w:rsidRPr="00BC0324">
        <w:rPr>
          <w:rFonts w:ascii="Times New Roman" w:hAnsi="Times New Roman" w:cs="Times New Roman"/>
          <w:i/>
        </w:rPr>
        <w:t>Foreign and Undocumented Workers: Eligibility, Law Addressing Return to Work, and Related Issues</w:t>
      </w:r>
      <w:r w:rsidRPr="00BC0324">
        <w:rPr>
          <w:rFonts w:ascii="Times New Roman" w:hAnsi="Times New Roman" w:cs="Times New Roman"/>
        </w:rPr>
        <w:t xml:space="preserve">, </w:t>
      </w:r>
      <w:r w:rsidRPr="00BC0324">
        <w:rPr>
          <w:rFonts w:ascii="Times New Roman" w:hAnsi="Times New Roman" w:cs="Times New Roman"/>
          <w:smallCaps/>
        </w:rPr>
        <w:t>American Bar Association</w:t>
      </w:r>
      <w:r w:rsidRPr="00BC0324">
        <w:rPr>
          <w:rFonts w:ascii="Times New Roman" w:hAnsi="Times New Roman" w:cs="Times New Roman"/>
        </w:rPr>
        <w:t xml:space="preserve"> (2017) </w:t>
      </w:r>
      <w:r w:rsidRPr="005717A4">
        <w:rPr>
          <w:rFonts w:ascii="Times New Roman" w:hAnsi="Times New Roman" w:cs="Times New Roman"/>
          <w:i/>
          <w:iCs/>
        </w:rPr>
        <w:t>available at</w:t>
      </w:r>
      <w:r w:rsidRPr="00BC0324">
        <w:rPr>
          <w:rFonts w:ascii="Times New Roman" w:hAnsi="Times New Roman" w:cs="Times New Roman"/>
        </w:rPr>
        <w:t xml:space="preserve"> </w:t>
      </w:r>
      <w:hyperlink r:id="rId52" w:history="1">
        <w:r w:rsidRPr="005717A4">
          <w:rPr>
            <w:rStyle w:val="Hyperlink"/>
            <w:rFonts w:ascii="Times New Roman" w:hAnsi="Times New Roman" w:cs="Times New Roman"/>
          </w:rPr>
          <w:t>http://www.davetorrey.info/index.htm</w:t>
        </w:r>
      </w:hyperlink>
      <w:r>
        <w:rPr>
          <w:rFonts w:ascii="Times New Roman" w:hAnsi="Times New Roman" w:cs="Times New Roman"/>
        </w:rPr>
        <w:t>.</w:t>
      </w:r>
      <w:r>
        <w:t xml:space="preserve"> </w:t>
      </w:r>
    </w:p>
  </w:footnote>
  <w:footnote w:id="106">
    <w:p w14:paraId="5BBF9D8C" w14:textId="204598EA" w:rsidR="00336EDF" w:rsidRDefault="00336EDF">
      <w:pPr>
        <w:pStyle w:val="FootnoteText"/>
      </w:pPr>
      <w:r w:rsidRPr="00163F2F">
        <w:rPr>
          <w:rStyle w:val="FootnoteReference"/>
          <w:rFonts w:ascii="Times New Roman" w:hAnsi="Times New Roman" w:cs="Times New Roman"/>
        </w:rPr>
        <w:footnoteRef/>
      </w:r>
      <w:r>
        <w:t xml:space="preserve"> </w:t>
      </w:r>
      <w:bookmarkStart w:id="138" w:name="f93"/>
      <w:bookmarkEnd w:id="138"/>
      <w:r w:rsidRPr="00163F2F">
        <w:rPr>
          <w:rFonts w:ascii="Times New Roman" w:hAnsi="Times New Roman" w:cs="Times New Roman"/>
        </w:rPr>
        <w:t xml:space="preserve">W.S. § </w:t>
      </w:r>
      <w:hyperlink r:id="rId53" w:history="1">
        <w:r w:rsidRPr="003046AD">
          <w:rPr>
            <w:rStyle w:val="Hyperlink"/>
            <w:rFonts w:ascii="Times New Roman" w:hAnsi="Times New Roman" w:cs="Times New Roman"/>
          </w:rPr>
          <w:t>27-14-102</w:t>
        </w:r>
      </w:hyperlink>
      <w:r w:rsidRPr="00163F2F">
        <w:rPr>
          <w:rFonts w:ascii="Times New Roman" w:hAnsi="Times New Roman" w:cs="Times New Roman"/>
        </w:rPr>
        <w:t>(a)(xx</w:t>
      </w:r>
      <w:r>
        <w:rPr>
          <w:rFonts w:ascii="Times New Roman" w:hAnsi="Times New Roman" w:cs="Times New Roman"/>
        </w:rPr>
        <w:t>i</w:t>
      </w:r>
      <w:r w:rsidRPr="00163F2F">
        <w:rPr>
          <w:rFonts w:ascii="Times New Roman" w:hAnsi="Times New Roman" w:cs="Times New Roman"/>
        </w:rPr>
        <w:t>)</w:t>
      </w:r>
    </w:p>
  </w:footnote>
  <w:footnote w:id="107">
    <w:p w14:paraId="48417760" w14:textId="72A3558A" w:rsidR="00336EDF" w:rsidRDefault="00336EDF">
      <w:pPr>
        <w:pStyle w:val="FootnoteText"/>
      </w:pPr>
      <w:r w:rsidRPr="005C578A">
        <w:rPr>
          <w:rStyle w:val="FootnoteReference"/>
          <w:rFonts w:ascii="Times New Roman" w:hAnsi="Times New Roman" w:cs="Times New Roman"/>
        </w:rPr>
        <w:footnoteRef/>
      </w:r>
      <w:r>
        <w:t xml:space="preserve"> </w:t>
      </w:r>
      <w:bookmarkStart w:id="140" w:name="f94"/>
      <w:bookmarkEnd w:id="140"/>
      <w:r w:rsidRPr="005C578A">
        <w:rPr>
          <w:rFonts w:ascii="Times New Roman" w:hAnsi="Times New Roman" w:cs="Times New Roman"/>
          <w:i/>
        </w:rPr>
        <w:t>See generally</w:t>
      </w:r>
      <w:r w:rsidRPr="005C578A">
        <w:rPr>
          <w:rFonts w:ascii="Times New Roman" w:hAnsi="Times New Roman" w:cs="Times New Roman"/>
        </w:rPr>
        <w:t xml:space="preserve"> DC Production Service v. Wyoming Dept. of Employment, </w:t>
      </w:r>
      <w:hyperlink r:id="rId54" w:history="1">
        <w:r w:rsidRPr="005717A4">
          <w:rPr>
            <w:rStyle w:val="Hyperlink"/>
            <w:rFonts w:ascii="Times New Roman" w:hAnsi="Times New Roman" w:cs="Times New Roman"/>
          </w:rPr>
          <w:t>54 P.3d 768</w:t>
        </w:r>
      </w:hyperlink>
      <w:r>
        <w:rPr>
          <w:rFonts w:ascii="Times New Roman" w:hAnsi="Times New Roman" w:cs="Times New Roman"/>
        </w:rPr>
        <w:t>, 772</w:t>
      </w:r>
      <w:r w:rsidRPr="005C578A">
        <w:rPr>
          <w:rFonts w:ascii="Times New Roman" w:hAnsi="Times New Roman" w:cs="Times New Roman"/>
        </w:rPr>
        <w:t xml:space="preserve"> (Wyo. 2002)</w:t>
      </w:r>
    </w:p>
  </w:footnote>
  <w:footnote w:id="108">
    <w:p w14:paraId="4BC0F97B" w14:textId="157B64A5" w:rsidR="00336EDF" w:rsidRDefault="00336EDF">
      <w:pPr>
        <w:pStyle w:val="FootnoteText"/>
      </w:pPr>
      <w:r w:rsidRPr="00DF128E">
        <w:rPr>
          <w:rStyle w:val="FootnoteReference"/>
          <w:rFonts w:ascii="Times New Roman" w:hAnsi="Times New Roman" w:cs="Times New Roman"/>
        </w:rPr>
        <w:footnoteRef/>
      </w:r>
      <w:r>
        <w:t xml:space="preserve"> </w:t>
      </w:r>
      <w:bookmarkStart w:id="143" w:name="f95"/>
      <w:bookmarkStart w:id="144" w:name="_Hlk516843978"/>
      <w:bookmarkEnd w:id="143"/>
      <w:r w:rsidRPr="003046AD">
        <w:rPr>
          <w:rFonts w:ascii="Times New Roman" w:hAnsi="Times New Roman" w:cs="Times New Roman"/>
        </w:rPr>
        <w:t>W.S.</w:t>
      </w:r>
      <w:r w:rsidRPr="003046AD">
        <w:t xml:space="preserve"> </w:t>
      </w:r>
      <w:r w:rsidRPr="003046AD">
        <w:rPr>
          <w:rFonts w:ascii="Times New Roman" w:hAnsi="Times New Roman" w:cs="Times New Roman"/>
        </w:rPr>
        <w:t xml:space="preserve">§ </w:t>
      </w:r>
      <w:hyperlink r:id="rId55" w:history="1">
        <w:r w:rsidRPr="003046AD">
          <w:rPr>
            <w:rStyle w:val="Hyperlink"/>
            <w:rFonts w:ascii="Times New Roman" w:hAnsi="Times New Roman" w:cs="Times New Roman"/>
          </w:rPr>
          <w:t>27-14-102</w:t>
        </w:r>
      </w:hyperlink>
      <w:r w:rsidRPr="00DF128E">
        <w:rPr>
          <w:rFonts w:ascii="Times New Roman" w:hAnsi="Times New Roman" w:cs="Times New Roman"/>
        </w:rPr>
        <w:t xml:space="preserve"> (a)</w:t>
      </w:r>
      <w:bookmarkEnd w:id="144"/>
      <w:r w:rsidRPr="00DF128E">
        <w:rPr>
          <w:rFonts w:ascii="Times New Roman" w:hAnsi="Times New Roman" w:cs="Times New Roman"/>
        </w:rPr>
        <w:t xml:space="preserve"> (xxiii)</w:t>
      </w:r>
    </w:p>
  </w:footnote>
  <w:footnote w:id="109">
    <w:p w14:paraId="356C54B6" w14:textId="0CA22F58" w:rsidR="00336EDF" w:rsidRDefault="00336EDF">
      <w:pPr>
        <w:pStyle w:val="FootnoteText"/>
      </w:pPr>
      <w:r w:rsidRPr="009415C1">
        <w:rPr>
          <w:rStyle w:val="FootnoteReference"/>
          <w:rFonts w:ascii="Times New Roman" w:hAnsi="Times New Roman" w:cs="Times New Roman"/>
        </w:rPr>
        <w:footnoteRef/>
      </w:r>
      <w:r>
        <w:t xml:space="preserve"> </w:t>
      </w:r>
      <w:bookmarkStart w:id="145" w:name="f96"/>
      <w:bookmarkEnd w:id="145"/>
      <w:r>
        <w:fldChar w:fldCharType="begin"/>
      </w:r>
      <w:r>
        <w:instrText xml:space="preserve"> HYPERLINK "https://www.leagle.com/decision/inwyco20140311i47" </w:instrText>
      </w:r>
      <w:r>
        <w:fldChar w:fldCharType="separate"/>
      </w:r>
      <w:r w:rsidRPr="005717A4">
        <w:rPr>
          <w:rStyle w:val="Hyperlink"/>
          <w:rFonts w:ascii="Times New Roman" w:hAnsi="Times New Roman" w:cs="Times New Roman"/>
        </w:rPr>
        <w:t>320 P.3d 213</w:t>
      </w:r>
      <w:r>
        <w:rPr>
          <w:rStyle w:val="Hyperlink"/>
          <w:rFonts w:ascii="Times New Roman" w:hAnsi="Times New Roman" w:cs="Times New Roman"/>
        </w:rPr>
        <w:fldChar w:fldCharType="end"/>
      </w:r>
      <w:r>
        <w:rPr>
          <w:rFonts w:ascii="Times New Roman" w:hAnsi="Times New Roman" w:cs="Times New Roman"/>
        </w:rPr>
        <w:t xml:space="preserve"> (Wyo. 2014)</w:t>
      </w:r>
    </w:p>
  </w:footnote>
  <w:footnote w:id="110">
    <w:p w14:paraId="6E9C1B30" w14:textId="5196AE45" w:rsidR="00336EDF" w:rsidRDefault="00336EDF">
      <w:pPr>
        <w:pStyle w:val="FootnoteText"/>
      </w:pPr>
      <w:r w:rsidRPr="00E64FEA">
        <w:rPr>
          <w:rStyle w:val="FootnoteReference"/>
          <w:rFonts w:ascii="Times New Roman" w:hAnsi="Times New Roman" w:cs="Times New Roman"/>
        </w:rPr>
        <w:footnoteRef/>
      </w:r>
      <w:r w:rsidRPr="00E64FEA">
        <w:rPr>
          <w:rStyle w:val="FootnoteReference"/>
          <w:rFonts w:ascii="Times New Roman" w:hAnsi="Times New Roman" w:cs="Times New Roman"/>
        </w:rPr>
        <w:t xml:space="preserve"> </w:t>
      </w:r>
      <w:bookmarkStart w:id="146" w:name="f97"/>
      <w:bookmarkEnd w:id="146"/>
      <w:r w:rsidRPr="00E64FEA">
        <w:rPr>
          <w:rFonts w:ascii="Times New Roman" w:hAnsi="Times New Roman" w:cs="Times New Roman"/>
          <w:i/>
        </w:rPr>
        <w:t>Id</w:t>
      </w:r>
      <w:r w:rsidRPr="00E64FEA">
        <w:rPr>
          <w:rFonts w:ascii="Times New Roman" w:hAnsi="Times New Roman" w:cs="Times New Roman"/>
        </w:rPr>
        <w:t>. at 216</w:t>
      </w:r>
    </w:p>
  </w:footnote>
  <w:footnote w:id="111">
    <w:p w14:paraId="7B9EAA6F" w14:textId="1C2E2788" w:rsidR="00336EDF" w:rsidRDefault="00336EDF">
      <w:pPr>
        <w:pStyle w:val="FootnoteText"/>
      </w:pPr>
      <w:r w:rsidRPr="0056160D">
        <w:rPr>
          <w:rStyle w:val="FootnoteReference"/>
          <w:rFonts w:ascii="Times New Roman" w:hAnsi="Times New Roman" w:cs="Times New Roman"/>
        </w:rPr>
        <w:footnoteRef/>
      </w:r>
      <w:r>
        <w:t xml:space="preserve"> </w:t>
      </w:r>
      <w:bookmarkStart w:id="147" w:name="f98"/>
      <w:bookmarkEnd w:id="147"/>
      <w:r w:rsidRPr="0056160D">
        <w:rPr>
          <w:rFonts w:ascii="Times New Roman" w:hAnsi="Times New Roman" w:cs="Times New Roman"/>
          <w:i/>
        </w:rPr>
        <w:t>Id.</w:t>
      </w:r>
      <w:r>
        <w:t xml:space="preserve"> </w:t>
      </w:r>
    </w:p>
  </w:footnote>
  <w:footnote w:id="112">
    <w:p w14:paraId="663AA9C8" w14:textId="27E92115" w:rsidR="00336EDF" w:rsidRDefault="00336EDF" w:rsidP="00DC05B3">
      <w:pPr>
        <w:pStyle w:val="FootnoteText"/>
        <w:jc w:val="both"/>
      </w:pPr>
      <w:r w:rsidRPr="0056160D">
        <w:rPr>
          <w:rStyle w:val="FootnoteReference"/>
          <w:rFonts w:ascii="Times New Roman" w:hAnsi="Times New Roman" w:cs="Times New Roman"/>
        </w:rPr>
        <w:footnoteRef/>
      </w:r>
      <w:r>
        <w:rPr>
          <w:rFonts w:ascii="Times New Roman" w:hAnsi="Times New Roman" w:cs="Times New Roman"/>
          <w:i/>
        </w:rPr>
        <w:t xml:space="preserve"> </w:t>
      </w:r>
      <w:bookmarkStart w:id="148" w:name="f99"/>
      <w:bookmarkEnd w:id="148"/>
      <w:r w:rsidRPr="002B025E">
        <w:rPr>
          <w:rFonts w:ascii="Times New Roman" w:hAnsi="Times New Roman" w:cs="Times New Roman"/>
          <w:i/>
        </w:rPr>
        <w:t>Id</w:t>
      </w:r>
      <w:r w:rsidRPr="002B025E">
        <w:rPr>
          <w:rFonts w:ascii="Times New Roman" w:hAnsi="Times New Roman" w:cs="Times New Roman"/>
        </w:rPr>
        <w:t>. at 217</w:t>
      </w:r>
      <w:r>
        <w:rPr>
          <w:rFonts w:ascii="Times New Roman" w:hAnsi="Times New Roman" w:cs="Times New Roman"/>
        </w:rPr>
        <w:t xml:space="preserve">; </w:t>
      </w:r>
      <w:r w:rsidRPr="00DB7477">
        <w:rPr>
          <w:rFonts w:ascii="Times New Roman" w:hAnsi="Times New Roman" w:cs="Times New Roman"/>
          <w:i/>
        </w:rPr>
        <w:t>accord</w:t>
      </w:r>
      <w:r>
        <w:rPr>
          <w:rFonts w:ascii="Times New Roman" w:hAnsi="Times New Roman" w:cs="Times New Roman"/>
        </w:rPr>
        <w:t xml:space="preserve"> </w:t>
      </w:r>
      <w:r w:rsidRPr="00DB7477">
        <w:rPr>
          <w:rFonts w:ascii="Times New Roman" w:hAnsi="Times New Roman" w:cs="Times New Roman"/>
        </w:rPr>
        <w:t>Singer v. New Tech Eng</w:t>
      </w:r>
      <w:r>
        <w:rPr>
          <w:rFonts w:ascii="Times New Roman" w:hAnsi="Times New Roman" w:cs="Times New Roman"/>
        </w:rPr>
        <w:t>’</w:t>
      </w:r>
      <w:r w:rsidRPr="00DB7477">
        <w:rPr>
          <w:rFonts w:ascii="Times New Roman" w:hAnsi="Times New Roman" w:cs="Times New Roman"/>
        </w:rPr>
        <w:t xml:space="preserve">g L.P., </w:t>
      </w:r>
      <w:hyperlink r:id="rId56" w:history="1">
        <w:r w:rsidRPr="005717A4">
          <w:rPr>
            <w:rStyle w:val="Hyperlink"/>
            <w:rFonts w:ascii="Times New Roman" w:hAnsi="Times New Roman" w:cs="Times New Roman"/>
          </w:rPr>
          <w:t>227 P.3d 305</w:t>
        </w:r>
      </w:hyperlink>
      <w:r>
        <w:rPr>
          <w:rFonts w:ascii="Times New Roman" w:hAnsi="Times New Roman" w:cs="Times New Roman"/>
        </w:rPr>
        <w:t xml:space="preserve">, 311 </w:t>
      </w:r>
      <w:r w:rsidRPr="00DB7477">
        <w:rPr>
          <w:rFonts w:ascii="Times New Roman" w:hAnsi="Times New Roman" w:cs="Times New Roman"/>
        </w:rPr>
        <w:t>(Wyo. 2010) (“When a worker is an independent contractor, the employer is typically interested only in the results of the work and does not direct the details of how the work is performed.”)</w:t>
      </w:r>
    </w:p>
  </w:footnote>
  <w:footnote w:id="113">
    <w:p w14:paraId="25141318" w14:textId="1FF0677F" w:rsidR="00336EDF" w:rsidRDefault="00336EDF">
      <w:pPr>
        <w:pStyle w:val="FootnoteText"/>
      </w:pPr>
      <w:r w:rsidRPr="002B025E">
        <w:rPr>
          <w:rStyle w:val="FootnoteReference"/>
          <w:rFonts w:ascii="Times New Roman" w:hAnsi="Times New Roman" w:cs="Times New Roman"/>
        </w:rPr>
        <w:footnoteRef/>
      </w:r>
      <w:r w:rsidRPr="002B025E">
        <w:rPr>
          <w:rStyle w:val="FootnoteReference"/>
          <w:rFonts w:ascii="Times New Roman" w:hAnsi="Times New Roman" w:cs="Times New Roman"/>
        </w:rPr>
        <w:t xml:space="preserve"> </w:t>
      </w:r>
      <w:bookmarkStart w:id="149" w:name="f100"/>
      <w:bookmarkEnd w:id="149"/>
      <w:r w:rsidRPr="002B025E">
        <w:rPr>
          <w:rFonts w:ascii="Times New Roman" w:hAnsi="Times New Roman" w:cs="Times New Roman"/>
          <w:i/>
        </w:rPr>
        <w:t>Id.</w:t>
      </w:r>
    </w:p>
  </w:footnote>
  <w:footnote w:id="114">
    <w:p w14:paraId="543D0CBE" w14:textId="59C8D07D" w:rsidR="00336EDF" w:rsidRPr="00DB7477" w:rsidRDefault="00336EDF" w:rsidP="005717A4">
      <w:pPr>
        <w:pStyle w:val="FootnoteText"/>
        <w:jc w:val="both"/>
      </w:pPr>
      <w:r w:rsidRPr="00DB7477">
        <w:rPr>
          <w:rStyle w:val="FootnoteReference"/>
          <w:rFonts w:ascii="Times New Roman" w:hAnsi="Times New Roman" w:cs="Times New Roman"/>
        </w:rPr>
        <w:footnoteRef/>
      </w:r>
      <w:r>
        <w:t xml:space="preserve"> </w:t>
      </w:r>
      <w:bookmarkStart w:id="150" w:name="f101"/>
      <w:bookmarkEnd w:id="150"/>
      <w:r w:rsidRPr="00DB7477">
        <w:rPr>
          <w:rFonts w:ascii="Times New Roman" w:hAnsi="Times New Roman" w:cs="Times New Roman"/>
          <w:i/>
        </w:rPr>
        <w:t>Accord</w:t>
      </w:r>
      <w:r>
        <w:rPr>
          <w:rFonts w:ascii="Times New Roman" w:hAnsi="Times New Roman" w:cs="Times New Roman"/>
          <w:i/>
        </w:rPr>
        <w:t xml:space="preserve"> </w:t>
      </w:r>
      <w:r w:rsidRPr="00DB7477">
        <w:rPr>
          <w:rFonts w:ascii="Times New Roman" w:hAnsi="Times New Roman" w:cs="Times New Roman"/>
        </w:rPr>
        <w:t xml:space="preserve">Pool v. Dravo Coal Co., </w:t>
      </w:r>
      <w:hyperlink r:id="rId57" w:history="1">
        <w:r w:rsidRPr="00DC05B3">
          <w:rPr>
            <w:rStyle w:val="Hyperlink"/>
            <w:rFonts w:ascii="Times New Roman" w:hAnsi="Times New Roman" w:cs="Times New Roman"/>
          </w:rPr>
          <w:t>788 P.2d 1146</w:t>
        </w:r>
      </w:hyperlink>
      <w:r w:rsidRPr="00DB7477">
        <w:rPr>
          <w:rFonts w:ascii="Times New Roman" w:hAnsi="Times New Roman" w:cs="Times New Roman"/>
        </w:rPr>
        <w:t xml:space="preserve"> (Wyo. 1990)</w:t>
      </w:r>
      <w:r>
        <w:rPr>
          <w:rFonts w:ascii="Times New Roman" w:hAnsi="Times New Roman" w:cs="Times New Roman"/>
        </w:rPr>
        <w:t xml:space="preserve">; </w:t>
      </w:r>
      <w:r w:rsidRPr="00DB7477">
        <w:rPr>
          <w:rFonts w:ascii="Times New Roman" w:hAnsi="Times New Roman" w:cs="Times New Roman"/>
        </w:rPr>
        <w:t xml:space="preserve">Noonan v. Texaco, Inc., </w:t>
      </w:r>
      <w:hyperlink r:id="rId58" w:history="1">
        <w:r w:rsidRPr="00DC05B3">
          <w:rPr>
            <w:rStyle w:val="Hyperlink"/>
            <w:rFonts w:ascii="Times New Roman" w:hAnsi="Times New Roman" w:cs="Times New Roman"/>
          </w:rPr>
          <w:t>713 P.2d 160</w:t>
        </w:r>
      </w:hyperlink>
      <w:r w:rsidRPr="00DB7477">
        <w:rPr>
          <w:rFonts w:ascii="Times New Roman" w:hAnsi="Times New Roman" w:cs="Times New Roman"/>
        </w:rPr>
        <w:t>, 165 (Wyo.1986)</w:t>
      </w:r>
    </w:p>
  </w:footnote>
  <w:footnote w:id="115">
    <w:p w14:paraId="2DEF45C0" w14:textId="585CA4AA" w:rsidR="00336EDF" w:rsidRDefault="00336EDF">
      <w:pPr>
        <w:pStyle w:val="FootnoteText"/>
      </w:pPr>
      <w:r w:rsidRPr="00E01762">
        <w:rPr>
          <w:rStyle w:val="FootnoteReference"/>
          <w:rFonts w:ascii="Times New Roman" w:hAnsi="Times New Roman" w:cs="Times New Roman"/>
        </w:rPr>
        <w:footnoteRef/>
      </w:r>
      <w:bookmarkStart w:id="151" w:name="f102"/>
      <w:bookmarkEnd w:id="151"/>
      <w:r>
        <w:t xml:space="preserve"> </w:t>
      </w:r>
      <w:r w:rsidRPr="00E01762">
        <w:rPr>
          <w:rFonts w:ascii="Times New Roman" w:hAnsi="Times New Roman" w:cs="Times New Roman"/>
          <w:i/>
        </w:rPr>
        <w:t>Id.</w:t>
      </w:r>
    </w:p>
  </w:footnote>
  <w:footnote w:id="116">
    <w:p w14:paraId="11B51685" w14:textId="401E013F" w:rsidR="00336EDF" w:rsidRDefault="00336EDF">
      <w:pPr>
        <w:pStyle w:val="FootnoteText"/>
      </w:pPr>
      <w:r w:rsidRPr="003569FF">
        <w:rPr>
          <w:rStyle w:val="FootnoteReference"/>
          <w:rFonts w:ascii="Times New Roman" w:hAnsi="Times New Roman" w:cs="Times New Roman"/>
        </w:rPr>
        <w:footnoteRef/>
      </w:r>
      <w:r w:rsidRPr="003569FF">
        <w:rPr>
          <w:rFonts w:ascii="Times New Roman" w:hAnsi="Times New Roman" w:cs="Times New Roman"/>
          <w:i/>
        </w:rPr>
        <w:t xml:space="preserve"> </w:t>
      </w:r>
      <w:bookmarkStart w:id="152" w:name="f103"/>
      <w:bookmarkEnd w:id="152"/>
      <w:r w:rsidRPr="003569FF">
        <w:rPr>
          <w:rFonts w:ascii="Times New Roman" w:hAnsi="Times New Roman" w:cs="Times New Roman"/>
          <w:i/>
        </w:rPr>
        <w:t>Id</w:t>
      </w:r>
      <w:r>
        <w:t xml:space="preserve">. </w:t>
      </w:r>
      <w:r w:rsidRPr="003569FF">
        <w:rPr>
          <w:rFonts w:ascii="Times New Roman" w:hAnsi="Times New Roman" w:cs="Times New Roman"/>
        </w:rPr>
        <w:t>at 218</w:t>
      </w:r>
    </w:p>
  </w:footnote>
  <w:footnote w:id="117">
    <w:p w14:paraId="5DD344E7" w14:textId="436C261E" w:rsidR="00336EDF" w:rsidRDefault="00336EDF" w:rsidP="00DB7477">
      <w:pPr>
        <w:pStyle w:val="FootnoteText"/>
        <w:jc w:val="both"/>
      </w:pPr>
      <w:r w:rsidRPr="000E075B">
        <w:rPr>
          <w:rStyle w:val="FootnoteReference"/>
          <w:rFonts w:ascii="Times New Roman" w:hAnsi="Times New Roman" w:cs="Times New Roman"/>
        </w:rPr>
        <w:footnoteRef/>
      </w:r>
      <w:r>
        <w:t xml:space="preserve"> </w:t>
      </w:r>
      <w:bookmarkStart w:id="153" w:name="f104"/>
      <w:bookmarkEnd w:id="153"/>
      <w:r w:rsidRPr="006F698A">
        <w:rPr>
          <w:rFonts w:ascii="Times New Roman" w:hAnsi="Times New Roman" w:cs="Times New Roman"/>
        </w:rPr>
        <w:t>Emphasis supplied.</w:t>
      </w:r>
      <w:r>
        <w:t xml:space="preserve"> </w:t>
      </w:r>
      <w:r w:rsidRPr="003569FF">
        <w:rPr>
          <w:rFonts w:ascii="Times New Roman" w:hAnsi="Times New Roman" w:cs="Times New Roman"/>
          <w:i/>
        </w:rPr>
        <w:t>Id. citing</w:t>
      </w:r>
      <w:r>
        <w:t xml:space="preserve"> </w:t>
      </w:r>
      <w:r w:rsidRPr="003569FF">
        <w:rPr>
          <w:rFonts w:ascii="Times New Roman" w:hAnsi="Times New Roman" w:cs="Times New Roman"/>
        </w:rPr>
        <w:t xml:space="preserve">Coates v. Anderson, </w:t>
      </w:r>
      <w:hyperlink r:id="rId59" w:history="1">
        <w:r w:rsidRPr="00DC05B3">
          <w:rPr>
            <w:rStyle w:val="Hyperlink"/>
            <w:rFonts w:ascii="Times New Roman" w:hAnsi="Times New Roman" w:cs="Times New Roman"/>
          </w:rPr>
          <w:t>84 P.3d 953</w:t>
        </w:r>
      </w:hyperlink>
      <w:r w:rsidRPr="003569FF">
        <w:rPr>
          <w:rFonts w:ascii="Times New Roman" w:hAnsi="Times New Roman" w:cs="Times New Roman"/>
        </w:rPr>
        <w:t>, 957 (Wyo. 2004)</w:t>
      </w:r>
      <w:r>
        <w:rPr>
          <w:rFonts w:ascii="Times New Roman" w:hAnsi="Times New Roman" w:cs="Times New Roman"/>
        </w:rPr>
        <w:t xml:space="preserve">; </w:t>
      </w:r>
      <w:r w:rsidRPr="00DB7477">
        <w:rPr>
          <w:rFonts w:ascii="Times New Roman" w:hAnsi="Times New Roman" w:cs="Times New Roman"/>
          <w:i/>
        </w:rPr>
        <w:t>see also</w:t>
      </w:r>
      <w:r>
        <w:rPr>
          <w:rFonts w:ascii="Times New Roman" w:hAnsi="Times New Roman" w:cs="Times New Roman"/>
        </w:rPr>
        <w:t xml:space="preserve"> </w:t>
      </w:r>
      <w:r w:rsidRPr="00DB7477">
        <w:rPr>
          <w:rFonts w:ascii="Times New Roman" w:hAnsi="Times New Roman" w:cs="Times New Roman"/>
        </w:rPr>
        <w:t xml:space="preserve">Fox Park Timber Company v. Baker, </w:t>
      </w:r>
      <w:hyperlink r:id="rId60" w:history="1">
        <w:r w:rsidRPr="00DC05B3">
          <w:rPr>
            <w:rStyle w:val="Hyperlink"/>
            <w:rFonts w:ascii="Times New Roman" w:hAnsi="Times New Roman" w:cs="Times New Roman"/>
          </w:rPr>
          <w:t>84 P.2d 736</w:t>
        </w:r>
      </w:hyperlink>
      <w:r w:rsidRPr="00DB7477">
        <w:rPr>
          <w:rFonts w:ascii="Times New Roman" w:hAnsi="Times New Roman" w:cs="Times New Roman"/>
        </w:rPr>
        <w:t xml:space="preserve"> (Wyo. 1938)], Brubaker v. Glenrock Lodge [Int'l Order of Odd Fellows</w:t>
      </w:r>
      <w:r>
        <w:rPr>
          <w:rFonts w:ascii="Times New Roman" w:hAnsi="Times New Roman" w:cs="Times New Roman"/>
        </w:rPr>
        <w:t>]</w:t>
      </w:r>
      <w:r w:rsidRPr="00DB7477">
        <w:rPr>
          <w:rFonts w:ascii="Times New Roman" w:hAnsi="Times New Roman" w:cs="Times New Roman"/>
        </w:rPr>
        <w:t xml:space="preserve">, </w:t>
      </w:r>
      <w:hyperlink r:id="rId61" w:history="1">
        <w:r w:rsidRPr="00DC05B3">
          <w:rPr>
            <w:rStyle w:val="Hyperlink"/>
            <w:rFonts w:ascii="Times New Roman" w:hAnsi="Times New Roman" w:cs="Times New Roman"/>
          </w:rPr>
          <w:t>526 P.2d 52</w:t>
        </w:r>
      </w:hyperlink>
      <w:r w:rsidRPr="00DB7477">
        <w:rPr>
          <w:rFonts w:ascii="Times New Roman" w:hAnsi="Times New Roman" w:cs="Times New Roman"/>
        </w:rPr>
        <w:t xml:space="preserve"> (Wyo. 1974)], Combined Ins. Co. v. Sinclair, </w:t>
      </w:r>
      <w:hyperlink r:id="rId62" w:history="1">
        <w:r w:rsidRPr="00DC05B3">
          <w:rPr>
            <w:rStyle w:val="Hyperlink"/>
            <w:rFonts w:ascii="Times New Roman" w:hAnsi="Times New Roman" w:cs="Times New Roman"/>
          </w:rPr>
          <w:t>584 P.2d 1034</w:t>
        </w:r>
      </w:hyperlink>
      <w:r w:rsidRPr="00DB7477">
        <w:rPr>
          <w:rFonts w:ascii="Times New Roman" w:hAnsi="Times New Roman" w:cs="Times New Roman"/>
        </w:rPr>
        <w:t xml:space="preserve"> at 1042-43.</w:t>
      </w:r>
    </w:p>
  </w:footnote>
  <w:footnote w:id="118">
    <w:p w14:paraId="0A163F33" w14:textId="5C1EFD14" w:rsidR="00336EDF" w:rsidRDefault="00336EDF">
      <w:pPr>
        <w:pStyle w:val="FootnoteText"/>
      </w:pPr>
      <w:r w:rsidRPr="000E075B">
        <w:rPr>
          <w:rStyle w:val="FootnoteReference"/>
          <w:rFonts w:ascii="Times New Roman" w:hAnsi="Times New Roman" w:cs="Times New Roman"/>
        </w:rPr>
        <w:footnoteRef/>
      </w:r>
      <w:r>
        <w:t xml:space="preserve"> </w:t>
      </w:r>
      <w:bookmarkStart w:id="154" w:name="f105"/>
      <w:bookmarkEnd w:id="154"/>
      <w:r w:rsidRPr="000E075B">
        <w:rPr>
          <w:rFonts w:ascii="Times New Roman" w:hAnsi="Times New Roman" w:cs="Times New Roman"/>
        </w:rPr>
        <w:t xml:space="preserve">Circle C, </w:t>
      </w:r>
      <w:r w:rsidRPr="000E075B">
        <w:rPr>
          <w:rFonts w:ascii="Times New Roman" w:hAnsi="Times New Roman" w:cs="Times New Roman"/>
          <w:i/>
        </w:rPr>
        <w:t>supra</w:t>
      </w:r>
      <w:r w:rsidRPr="000E075B">
        <w:rPr>
          <w:rFonts w:ascii="Times New Roman" w:hAnsi="Times New Roman" w:cs="Times New Roman"/>
        </w:rPr>
        <w:t>. at 218</w:t>
      </w:r>
      <w:r>
        <w:t xml:space="preserve"> </w:t>
      </w:r>
    </w:p>
  </w:footnote>
  <w:footnote w:id="119">
    <w:p w14:paraId="09A78462" w14:textId="31205786" w:rsidR="00336EDF" w:rsidRPr="00F8077B" w:rsidRDefault="00336EDF">
      <w:pPr>
        <w:pStyle w:val="FootnoteText"/>
      </w:pPr>
      <w:r w:rsidRPr="00F8077B">
        <w:rPr>
          <w:rStyle w:val="FootnoteReference"/>
          <w:rFonts w:ascii="Times New Roman" w:hAnsi="Times New Roman" w:cs="Times New Roman"/>
        </w:rPr>
        <w:footnoteRef/>
      </w:r>
      <w:r>
        <w:t xml:space="preserve"> </w:t>
      </w:r>
      <w:bookmarkStart w:id="155" w:name="f106"/>
      <w:bookmarkEnd w:id="155"/>
      <w:r w:rsidRPr="00F8077B">
        <w:rPr>
          <w:rFonts w:ascii="Times New Roman" w:hAnsi="Times New Roman" w:cs="Times New Roman"/>
          <w:i/>
        </w:rPr>
        <w:t>Id.</w:t>
      </w:r>
      <w:r>
        <w:rPr>
          <w:rFonts w:ascii="Times New Roman" w:hAnsi="Times New Roman" w:cs="Times New Roman"/>
          <w:i/>
        </w:rPr>
        <w:t xml:space="preserve"> </w:t>
      </w:r>
      <w:r>
        <w:rPr>
          <w:rFonts w:ascii="Times New Roman" w:hAnsi="Times New Roman" w:cs="Times New Roman"/>
        </w:rPr>
        <w:t>at 219</w:t>
      </w:r>
    </w:p>
  </w:footnote>
  <w:footnote w:id="120">
    <w:p w14:paraId="32B77FC3" w14:textId="77A82642" w:rsidR="00336EDF" w:rsidRDefault="00336EDF">
      <w:pPr>
        <w:pStyle w:val="FootnoteText"/>
      </w:pPr>
      <w:r w:rsidRPr="00F8077B">
        <w:rPr>
          <w:rStyle w:val="FootnoteReference"/>
          <w:rFonts w:ascii="Times New Roman" w:hAnsi="Times New Roman" w:cs="Times New Roman"/>
        </w:rPr>
        <w:footnoteRef/>
      </w:r>
      <w:bookmarkStart w:id="156" w:name="f107"/>
      <w:bookmarkEnd w:id="156"/>
      <w:r w:rsidRPr="00F8077B">
        <w:rPr>
          <w:rStyle w:val="FootnoteReference"/>
          <w:rFonts w:ascii="Times New Roman" w:hAnsi="Times New Roman" w:cs="Times New Roman"/>
        </w:rPr>
        <w:t xml:space="preserve"> </w:t>
      </w:r>
      <w:r w:rsidRPr="00F8077B">
        <w:rPr>
          <w:rFonts w:ascii="Times New Roman" w:hAnsi="Times New Roman" w:cs="Times New Roman"/>
          <w:i/>
        </w:rPr>
        <w:t>Id.</w:t>
      </w:r>
    </w:p>
  </w:footnote>
  <w:footnote w:id="121">
    <w:p w14:paraId="53FEEC59" w14:textId="55D87E1C" w:rsidR="00336EDF" w:rsidRDefault="00336EDF">
      <w:pPr>
        <w:pStyle w:val="FootnoteText"/>
      </w:pPr>
      <w:r w:rsidRPr="00120772">
        <w:rPr>
          <w:rStyle w:val="FootnoteReference"/>
          <w:rFonts w:ascii="Times New Roman" w:hAnsi="Times New Roman" w:cs="Times New Roman"/>
        </w:rPr>
        <w:footnoteRef/>
      </w:r>
      <w:r>
        <w:t xml:space="preserve"> </w:t>
      </w:r>
      <w:bookmarkStart w:id="157" w:name="f108"/>
      <w:bookmarkEnd w:id="157"/>
      <w:r w:rsidRPr="00120772">
        <w:rPr>
          <w:rFonts w:ascii="Times New Roman" w:hAnsi="Times New Roman" w:cs="Times New Roman"/>
          <w:i/>
        </w:rPr>
        <w:t>Id.</w:t>
      </w:r>
    </w:p>
  </w:footnote>
  <w:footnote w:id="122">
    <w:p w14:paraId="3473EAD1" w14:textId="153CF7F1" w:rsidR="00336EDF" w:rsidRDefault="00336EDF">
      <w:pPr>
        <w:pStyle w:val="FootnoteText"/>
      </w:pPr>
      <w:r w:rsidRPr="00120772">
        <w:rPr>
          <w:rStyle w:val="FootnoteReference"/>
          <w:rFonts w:ascii="Times New Roman" w:hAnsi="Times New Roman" w:cs="Times New Roman"/>
        </w:rPr>
        <w:footnoteRef/>
      </w:r>
      <w:r>
        <w:t xml:space="preserve"> </w:t>
      </w:r>
      <w:bookmarkStart w:id="158" w:name="f109"/>
      <w:bookmarkEnd w:id="158"/>
      <w:r w:rsidRPr="00120772">
        <w:rPr>
          <w:rFonts w:ascii="Times New Roman" w:hAnsi="Times New Roman" w:cs="Times New Roman"/>
          <w:i/>
        </w:rPr>
        <w:t>Id.</w:t>
      </w:r>
      <w:r>
        <w:rPr>
          <w:rFonts w:ascii="Times New Roman" w:hAnsi="Times New Roman" w:cs="Times New Roman"/>
          <w:i/>
        </w:rPr>
        <w:t xml:space="preserve"> </w:t>
      </w:r>
      <w:r w:rsidRPr="007C4C12">
        <w:rPr>
          <w:rFonts w:ascii="Times New Roman" w:hAnsi="Times New Roman" w:cs="Times New Roman"/>
        </w:rPr>
        <w:t>at 220</w:t>
      </w:r>
    </w:p>
  </w:footnote>
  <w:footnote w:id="123">
    <w:p w14:paraId="5814035E" w14:textId="076C728C" w:rsidR="00336EDF" w:rsidRDefault="00336EDF">
      <w:pPr>
        <w:pStyle w:val="FootnoteText"/>
      </w:pPr>
      <w:r w:rsidRPr="007C4C12">
        <w:rPr>
          <w:rStyle w:val="FootnoteReference"/>
          <w:rFonts w:ascii="Times New Roman" w:hAnsi="Times New Roman" w:cs="Times New Roman"/>
        </w:rPr>
        <w:footnoteRef/>
      </w:r>
      <w:r w:rsidRPr="007C4C12">
        <w:rPr>
          <w:i/>
        </w:rPr>
        <w:t xml:space="preserve"> </w:t>
      </w:r>
      <w:bookmarkStart w:id="159" w:name="f110"/>
      <w:bookmarkEnd w:id="159"/>
      <w:r w:rsidRPr="007C4C12">
        <w:rPr>
          <w:rFonts w:ascii="Times New Roman" w:hAnsi="Times New Roman" w:cs="Times New Roman"/>
          <w:i/>
        </w:rPr>
        <w:t xml:space="preserve">Id. </w:t>
      </w:r>
    </w:p>
  </w:footnote>
  <w:footnote w:id="124">
    <w:p w14:paraId="6674235B" w14:textId="1FCD8F22" w:rsidR="00336EDF" w:rsidRPr="00C330C0" w:rsidRDefault="00336EDF" w:rsidP="00C330C0">
      <w:pPr>
        <w:pStyle w:val="FootnoteText"/>
        <w:jc w:val="both"/>
        <w:rPr>
          <w:rFonts w:ascii="Times New Roman" w:hAnsi="Times New Roman" w:cs="Times New Roman"/>
        </w:rPr>
      </w:pPr>
      <w:r w:rsidRPr="00C330C0">
        <w:rPr>
          <w:rStyle w:val="FootnoteReference"/>
          <w:rFonts w:ascii="Times New Roman" w:hAnsi="Times New Roman" w:cs="Times New Roman"/>
        </w:rPr>
        <w:footnoteRef/>
      </w:r>
      <w:r w:rsidRPr="00C330C0">
        <w:rPr>
          <w:rStyle w:val="FootnoteReference"/>
          <w:rFonts w:ascii="Times New Roman" w:hAnsi="Times New Roman" w:cs="Times New Roman"/>
        </w:rPr>
        <w:t xml:space="preserve"> </w:t>
      </w:r>
      <w:bookmarkStart w:id="160" w:name="f111"/>
      <w:bookmarkEnd w:id="160"/>
      <w:r w:rsidRPr="00C330C0">
        <w:rPr>
          <w:rFonts w:ascii="Times New Roman" w:hAnsi="Times New Roman" w:cs="Times New Roman"/>
        </w:rPr>
        <w:t xml:space="preserve">Stratman v. Admiral Beverage Corp., 760 P.2d 974, 980 (Wyo. 1988); Cline v. State, Dep't. of Family Services, </w:t>
      </w:r>
      <w:hyperlink r:id="rId63" w:history="1">
        <w:r w:rsidRPr="00DC05B3">
          <w:rPr>
            <w:rStyle w:val="Hyperlink"/>
            <w:rFonts w:ascii="Times New Roman" w:hAnsi="Times New Roman" w:cs="Times New Roman"/>
          </w:rPr>
          <w:t>927 P.2d 261</w:t>
        </w:r>
      </w:hyperlink>
      <w:r w:rsidRPr="00C330C0">
        <w:rPr>
          <w:rFonts w:ascii="Times New Roman" w:hAnsi="Times New Roman" w:cs="Times New Roman"/>
        </w:rPr>
        <w:t xml:space="preserve">, 263 (Wyo. 1996); Noonan v. Texaco, Inc., 713 P.2d 160, 164 (Wyo. 1986), Coates v. Anderson, 2004 WY 11, P 7, 84 P.3d 953, 957 (Wyo. 2004), Tauer v. Williams, </w:t>
      </w:r>
      <w:hyperlink r:id="rId64" w:history="1">
        <w:r w:rsidRPr="00DC05B3">
          <w:rPr>
            <w:rStyle w:val="Hyperlink"/>
            <w:rFonts w:ascii="Times New Roman" w:hAnsi="Times New Roman" w:cs="Times New Roman"/>
          </w:rPr>
          <w:t>242 P.2d 518</w:t>
        </w:r>
      </w:hyperlink>
      <w:r w:rsidRPr="00C330C0">
        <w:rPr>
          <w:rFonts w:ascii="Times New Roman" w:hAnsi="Times New Roman" w:cs="Times New Roman"/>
        </w:rPr>
        <w:t xml:space="preserve"> (Wyo. 1952)</w:t>
      </w:r>
      <w:r>
        <w:rPr>
          <w:rFonts w:ascii="Times New Roman" w:hAnsi="Times New Roman" w:cs="Times New Roman"/>
        </w:rPr>
        <w:t xml:space="preserve">; </w:t>
      </w:r>
      <w:bookmarkStart w:id="161" w:name="_Hlk516919567"/>
      <w:r w:rsidRPr="00146E20">
        <w:rPr>
          <w:rFonts w:ascii="Times New Roman" w:hAnsi="Times New Roman" w:cs="Times New Roman"/>
        </w:rPr>
        <w:t xml:space="preserve">Burnett v. Roberts, </w:t>
      </w:r>
      <w:hyperlink r:id="rId65" w:history="1">
        <w:r w:rsidRPr="00DC05B3">
          <w:rPr>
            <w:rStyle w:val="Hyperlink"/>
            <w:rFonts w:ascii="Times New Roman" w:hAnsi="Times New Roman" w:cs="Times New Roman"/>
          </w:rPr>
          <w:t>121 P.2d 896</w:t>
        </w:r>
      </w:hyperlink>
      <w:r>
        <w:rPr>
          <w:rFonts w:ascii="Times New Roman" w:hAnsi="Times New Roman" w:cs="Times New Roman"/>
        </w:rPr>
        <w:t xml:space="preserve"> (Wyo. 1942)</w:t>
      </w:r>
    </w:p>
    <w:bookmarkEnd w:id="161"/>
  </w:footnote>
  <w:footnote w:id="125">
    <w:p w14:paraId="70CD0B71" w14:textId="112E0BA4" w:rsidR="00336EDF" w:rsidRPr="00B779E8" w:rsidRDefault="00336EDF" w:rsidP="00B779E8">
      <w:pPr>
        <w:pStyle w:val="FootnoteText"/>
        <w:jc w:val="both"/>
        <w:rPr>
          <w:rFonts w:ascii="Times New Roman" w:hAnsi="Times New Roman" w:cs="Times New Roman"/>
        </w:rPr>
      </w:pPr>
      <w:r w:rsidRPr="00B779E8">
        <w:rPr>
          <w:rStyle w:val="FootnoteReference"/>
          <w:rFonts w:ascii="Times New Roman" w:hAnsi="Times New Roman" w:cs="Times New Roman"/>
        </w:rPr>
        <w:footnoteRef/>
      </w:r>
      <w:r>
        <w:t xml:space="preserve"> </w:t>
      </w:r>
      <w:bookmarkStart w:id="162" w:name="f112"/>
      <w:bookmarkEnd w:id="162"/>
      <w:r>
        <w:rPr>
          <w:rFonts w:ascii="Times New Roman" w:hAnsi="Times New Roman" w:cs="Times New Roman"/>
        </w:rPr>
        <w:t>A</w:t>
      </w:r>
      <w:r w:rsidRPr="00B779E8">
        <w:rPr>
          <w:rFonts w:ascii="Times New Roman" w:hAnsi="Times New Roman" w:cs="Times New Roman"/>
        </w:rPr>
        <w:t xml:space="preserve">n older case superficially suggesting otherwise, Burnett v. Roberts, </w:t>
      </w:r>
      <w:r w:rsidRPr="00B779E8">
        <w:rPr>
          <w:rFonts w:ascii="Times New Roman" w:hAnsi="Times New Roman" w:cs="Times New Roman"/>
          <w:i/>
        </w:rPr>
        <w:t>supra</w:t>
      </w:r>
      <w:r w:rsidRPr="00B779E8">
        <w:rPr>
          <w:rFonts w:ascii="Times New Roman" w:hAnsi="Times New Roman" w:cs="Times New Roman"/>
        </w:rPr>
        <w:t>., was decided in 1942, when the Wyoming courts were using a common law standard</w:t>
      </w:r>
      <w:r>
        <w:rPr>
          <w:rFonts w:ascii="Times New Roman" w:hAnsi="Times New Roman" w:cs="Times New Roman"/>
        </w:rPr>
        <w:t>,</w:t>
      </w:r>
      <w:r w:rsidRPr="00B779E8">
        <w:rPr>
          <w:rFonts w:ascii="Times New Roman" w:hAnsi="Times New Roman" w:cs="Times New Roman"/>
        </w:rPr>
        <w:t xml:space="preserve"> and the legislature had not yet enacted the three-factor test.</w:t>
      </w:r>
    </w:p>
  </w:footnote>
  <w:footnote w:id="126">
    <w:p w14:paraId="0C1894D2" w14:textId="778EFE1F" w:rsidR="00336EDF" w:rsidRPr="00130DD2" w:rsidRDefault="00336EDF" w:rsidP="00130DD2">
      <w:pPr>
        <w:pStyle w:val="FootnoteText"/>
        <w:jc w:val="both"/>
        <w:rPr>
          <w:rFonts w:ascii="Times New Roman" w:hAnsi="Times New Roman" w:cs="Times New Roman"/>
        </w:rPr>
      </w:pPr>
      <w:r w:rsidRPr="00130DD2">
        <w:rPr>
          <w:rStyle w:val="FootnoteReference"/>
          <w:rFonts w:ascii="Times New Roman" w:hAnsi="Times New Roman" w:cs="Times New Roman"/>
        </w:rPr>
        <w:footnoteRef/>
      </w:r>
      <w:r>
        <w:t xml:space="preserve"> </w:t>
      </w:r>
      <w:bookmarkStart w:id="163" w:name="f113"/>
      <w:bookmarkEnd w:id="163"/>
      <w:r w:rsidRPr="00130DD2">
        <w:rPr>
          <w:rFonts w:ascii="Times New Roman" w:hAnsi="Times New Roman" w:cs="Times New Roman"/>
        </w:rPr>
        <w:t xml:space="preserve">Claims of Naylor, </w:t>
      </w:r>
      <w:hyperlink r:id="rId66" w:history="1">
        <w:r w:rsidRPr="00163F50">
          <w:rPr>
            <w:rStyle w:val="Hyperlink"/>
            <w:rFonts w:ascii="Times New Roman" w:hAnsi="Times New Roman" w:cs="Times New Roman"/>
          </w:rPr>
          <w:t>723 P.2d 1237</w:t>
        </w:r>
      </w:hyperlink>
      <w:r w:rsidRPr="00130DD2">
        <w:rPr>
          <w:rFonts w:ascii="Times New Roman" w:hAnsi="Times New Roman" w:cs="Times New Roman"/>
        </w:rPr>
        <w:t xml:space="preserve"> (</w:t>
      </w:r>
      <w:r>
        <w:rPr>
          <w:rFonts w:ascii="Times New Roman" w:hAnsi="Times New Roman" w:cs="Times New Roman"/>
        </w:rPr>
        <w:t xml:space="preserve">Wyo. </w:t>
      </w:r>
      <w:r w:rsidRPr="00130DD2">
        <w:rPr>
          <w:rFonts w:ascii="Times New Roman" w:hAnsi="Times New Roman" w:cs="Times New Roman"/>
        </w:rPr>
        <w:t>1986); Tauer v. Williams, 242 P.2d 518 (</w:t>
      </w:r>
      <w:r>
        <w:rPr>
          <w:rFonts w:ascii="Times New Roman" w:hAnsi="Times New Roman" w:cs="Times New Roman"/>
        </w:rPr>
        <w:t xml:space="preserve">Wyo. </w:t>
      </w:r>
      <w:r w:rsidRPr="00130DD2">
        <w:rPr>
          <w:rFonts w:ascii="Times New Roman" w:hAnsi="Times New Roman" w:cs="Times New Roman"/>
        </w:rPr>
        <w:t xml:space="preserve">1952); Fox Park Timber Co. v. Baker, </w:t>
      </w:r>
      <w:hyperlink r:id="rId67" w:history="1">
        <w:r w:rsidRPr="00AB183F">
          <w:rPr>
            <w:rStyle w:val="Hyperlink"/>
            <w:rFonts w:ascii="Times New Roman" w:hAnsi="Times New Roman" w:cs="Times New Roman"/>
          </w:rPr>
          <w:t>84 P.2d 736</w:t>
        </w:r>
      </w:hyperlink>
      <w:r w:rsidRPr="00130DD2">
        <w:rPr>
          <w:rFonts w:ascii="Times New Roman" w:hAnsi="Times New Roman" w:cs="Times New Roman"/>
        </w:rPr>
        <w:t xml:space="preserve"> (</w:t>
      </w:r>
      <w:r>
        <w:rPr>
          <w:rFonts w:ascii="Times New Roman" w:hAnsi="Times New Roman" w:cs="Times New Roman"/>
        </w:rPr>
        <w:t xml:space="preserve">Wyo. </w:t>
      </w:r>
      <w:r w:rsidRPr="00130DD2">
        <w:rPr>
          <w:rFonts w:ascii="Times New Roman" w:hAnsi="Times New Roman" w:cs="Times New Roman"/>
        </w:rPr>
        <w:t>1938)</w:t>
      </w:r>
    </w:p>
  </w:footnote>
  <w:footnote w:id="127">
    <w:p w14:paraId="6846C0B7" w14:textId="5A35986E" w:rsidR="00336EDF" w:rsidRPr="00AB183F" w:rsidRDefault="00336EDF">
      <w:pPr>
        <w:pStyle w:val="FootnoteText"/>
        <w:rPr>
          <w:rFonts w:ascii="Times New Roman" w:hAnsi="Times New Roman" w:cs="Times New Roman"/>
        </w:rPr>
      </w:pPr>
      <w:r w:rsidRPr="00AB183F">
        <w:rPr>
          <w:rStyle w:val="FootnoteReference"/>
          <w:rFonts w:ascii="Times New Roman" w:hAnsi="Times New Roman" w:cs="Times New Roman"/>
        </w:rPr>
        <w:footnoteRef/>
      </w:r>
      <w:r>
        <w:t xml:space="preserve"> </w:t>
      </w:r>
      <w:bookmarkStart w:id="164" w:name="f114"/>
      <w:bookmarkEnd w:id="164"/>
      <w:r w:rsidRPr="00AB183F">
        <w:rPr>
          <w:rFonts w:ascii="Times New Roman" w:hAnsi="Times New Roman" w:cs="Times New Roman"/>
        </w:rPr>
        <w:t xml:space="preserve">Flint Engineering &amp; Const. Co. v. Richardson, </w:t>
      </w:r>
      <w:hyperlink r:id="rId68" w:history="1">
        <w:r w:rsidRPr="00642ABA">
          <w:rPr>
            <w:rStyle w:val="Hyperlink"/>
            <w:rFonts w:ascii="Times New Roman" w:hAnsi="Times New Roman" w:cs="Times New Roman"/>
          </w:rPr>
          <w:t>726 P.2d 511</w:t>
        </w:r>
      </w:hyperlink>
      <w:r>
        <w:rPr>
          <w:rFonts w:ascii="Times New Roman" w:hAnsi="Times New Roman" w:cs="Times New Roman"/>
        </w:rPr>
        <w:t>, 513</w:t>
      </w:r>
      <w:r w:rsidRPr="00AB183F">
        <w:rPr>
          <w:rFonts w:ascii="Times New Roman" w:hAnsi="Times New Roman" w:cs="Times New Roman"/>
        </w:rPr>
        <w:t xml:space="preserve"> (Wyo. 1986)</w:t>
      </w:r>
    </w:p>
  </w:footnote>
  <w:footnote w:id="128">
    <w:p w14:paraId="10AEF142" w14:textId="0413B471" w:rsidR="00336EDF" w:rsidRPr="00F922CA" w:rsidRDefault="00336EDF" w:rsidP="00F922CA">
      <w:pPr>
        <w:pStyle w:val="FootnoteText"/>
        <w:jc w:val="both"/>
        <w:rPr>
          <w:rFonts w:ascii="Times New Roman" w:hAnsi="Times New Roman" w:cs="Times New Roman"/>
        </w:rPr>
      </w:pPr>
      <w:r w:rsidRPr="00F922CA">
        <w:rPr>
          <w:rStyle w:val="FootnoteReference"/>
          <w:rFonts w:ascii="Times New Roman" w:hAnsi="Times New Roman" w:cs="Times New Roman"/>
        </w:rPr>
        <w:footnoteRef/>
      </w:r>
      <w:r>
        <w:t xml:space="preserve"> </w:t>
      </w:r>
      <w:bookmarkStart w:id="167" w:name="f115"/>
      <w:bookmarkEnd w:id="167"/>
      <w:r w:rsidRPr="00F922CA">
        <w:rPr>
          <w:rFonts w:ascii="Times New Roman" w:hAnsi="Times New Roman" w:cs="Times New Roman"/>
        </w:rPr>
        <w:t xml:space="preserve">One of the best discussions of these observations is the dissenting opinion in Powell v. Appeal Bd. Of Mich. Employment Sec. Commission, </w:t>
      </w:r>
      <w:hyperlink r:id="rId69" w:history="1">
        <w:r w:rsidRPr="00163F50">
          <w:rPr>
            <w:rStyle w:val="Hyperlink"/>
            <w:rFonts w:ascii="Times New Roman" w:hAnsi="Times New Roman" w:cs="Times New Roman"/>
          </w:rPr>
          <w:t>75 N.W.2d 874</w:t>
        </w:r>
      </w:hyperlink>
      <w:r w:rsidRPr="00F922CA">
        <w:rPr>
          <w:rFonts w:ascii="Times New Roman" w:hAnsi="Times New Roman" w:cs="Times New Roman"/>
        </w:rPr>
        <w:t xml:space="preserve"> (Mich. 1956) </w:t>
      </w:r>
      <w:r w:rsidRPr="00F922CA">
        <w:rPr>
          <w:rFonts w:ascii="Times New Roman" w:hAnsi="Times New Roman" w:cs="Times New Roman"/>
          <w:i/>
        </w:rPr>
        <w:t>discussed in</w:t>
      </w:r>
      <w:r w:rsidRPr="00F922CA">
        <w:rPr>
          <w:rFonts w:ascii="Times New Roman" w:hAnsi="Times New Roman" w:cs="Times New Roman"/>
        </w:rPr>
        <w:t xml:space="preserve"> </w:t>
      </w:r>
      <w:bookmarkStart w:id="168" w:name="_Hlk520405664"/>
      <w:r w:rsidRPr="00F922CA">
        <w:rPr>
          <w:rFonts w:ascii="Times New Roman" w:hAnsi="Times New Roman" w:cs="Times New Roman"/>
        </w:rPr>
        <w:t>D</w:t>
      </w:r>
      <w:r w:rsidRPr="00F922CA">
        <w:rPr>
          <w:rFonts w:ascii="Times New Roman" w:hAnsi="Times New Roman" w:cs="Times New Roman"/>
          <w:smallCaps/>
        </w:rPr>
        <w:t>uff</w:t>
      </w:r>
      <w:r w:rsidRPr="00F922CA">
        <w:rPr>
          <w:rFonts w:ascii="Times New Roman" w:hAnsi="Times New Roman" w:cs="Times New Roman"/>
        </w:rPr>
        <w:t>, W</w:t>
      </w:r>
      <w:r w:rsidRPr="00F922CA">
        <w:rPr>
          <w:rFonts w:ascii="Times New Roman" w:hAnsi="Times New Roman" w:cs="Times New Roman"/>
          <w:smallCaps/>
        </w:rPr>
        <w:t>orkers</w:t>
      </w:r>
      <w:r w:rsidRPr="00F922CA">
        <w:rPr>
          <w:rFonts w:ascii="Times New Roman" w:hAnsi="Times New Roman" w:cs="Times New Roman"/>
        </w:rPr>
        <w:t>’ C</w:t>
      </w:r>
      <w:r w:rsidRPr="00F922CA">
        <w:rPr>
          <w:rFonts w:ascii="Times New Roman" w:hAnsi="Times New Roman" w:cs="Times New Roman"/>
          <w:smallCaps/>
        </w:rPr>
        <w:t>ompensation</w:t>
      </w:r>
      <w:r w:rsidRPr="00F922CA">
        <w:rPr>
          <w:rFonts w:ascii="Times New Roman" w:hAnsi="Times New Roman" w:cs="Times New Roman"/>
        </w:rPr>
        <w:t xml:space="preserve"> L</w:t>
      </w:r>
      <w:r w:rsidRPr="00F922CA">
        <w:rPr>
          <w:rFonts w:ascii="Times New Roman" w:hAnsi="Times New Roman" w:cs="Times New Roman"/>
          <w:smallCaps/>
        </w:rPr>
        <w:t>aw</w:t>
      </w:r>
      <w:r w:rsidRPr="00F922CA">
        <w:rPr>
          <w:rFonts w:ascii="Times New Roman" w:hAnsi="Times New Roman" w:cs="Times New Roman"/>
        </w:rPr>
        <w:t xml:space="preserve"> at 210-211</w:t>
      </w:r>
    </w:p>
    <w:bookmarkEnd w:id="168"/>
  </w:footnote>
  <w:footnote w:id="129">
    <w:p w14:paraId="1EE945A9" w14:textId="4FE514AC" w:rsidR="00336EDF" w:rsidRDefault="00336EDF">
      <w:pPr>
        <w:pStyle w:val="FootnoteText"/>
      </w:pPr>
      <w:r w:rsidRPr="00596CB0">
        <w:rPr>
          <w:rStyle w:val="FootnoteReference"/>
          <w:rFonts w:ascii="Times New Roman" w:hAnsi="Times New Roman" w:cs="Times New Roman"/>
        </w:rPr>
        <w:footnoteRef/>
      </w:r>
      <w:r w:rsidRPr="00596CB0">
        <w:rPr>
          <w:rStyle w:val="FootnoteReference"/>
          <w:rFonts w:ascii="Times New Roman" w:hAnsi="Times New Roman" w:cs="Times New Roman"/>
        </w:rPr>
        <w:t xml:space="preserve"> </w:t>
      </w:r>
      <w:bookmarkStart w:id="169" w:name="f116"/>
      <w:bookmarkEnd w:id="169"/>
      <w:r w:rsidRPr="00596CB0">
        <w:rPr>
          <w:rFonts w:ascii="Times New Roman" w:hAnsi="Times New Roman" w:cs="Times New Roman"/>
          <w:i/>
        </w:rPr>
        <w:t>Id.</w:t>
      </w:r>
    </w:p>
  </w:footnote>
  <w:footnote w:id="130">
    <w:p w14:paraId="18D1EA51" w14:textId="4D99689A" w:rsidR="00336EDF" w:rsidRDefault="00336EDF">
      <w:pPr>
        <w:pStyle w:val="FootnoteText"/>
      </w:pPr>
      <w:r w:rsidRPr="00E40E81">
        <w:rPr>
          <w:rStyle w:val="FootnoteReference"/>
          <w:rFonts w:ascii="Times New Roman" w:hAnsi="Times New Roman" w:cs="Times New Roman"/>
        </w:rPr>
        <w:footnoteRef/>
      </w:r>
      <w:r>
        <w:t xml:space="preserve"> </w:t>
      </w:r>
      <w:bookmarkStart w:id="171" w:name="f117"/>
      <w:bookmarkEnd w:id="171"/>
      <w:r w:rsidRPr="00E40E81">
        <w:rPr>
          <w:rFonts w:ascii="Times New Roman" w:hAnsi="Times New Roman" w:cs="Times New Roman"/>
        </w:rPr>
        <w:t>5 L</w:t>
      </w:r>
      <w:r w:rsidRPr="00E40E81">
        <w:rPr>
          <w:rFonts w:ascii="Times New Roman" w:hAnsi="Times New Roman" w:cs="Times New Roman"/>
          <w:smallCaps/>
        </w:rPr>
        <w:t>arson's</w:t>
      </w:r>
      <w:r w:rsidRPr="00E40E81">
        <w:rPr>
          <w:rFonts w:ascii="Times New Roman" w:hAnsi="Times New Roman" w:cs="Times New Roman"/>
        </w:rPr>
        <w:t xml:space="preserve"> W</w:t>
      </w:r>
      <w:r w:rsidRPr="00E40E81">
        <w:rPr>
          <w:rFonts w:ascii="Times New Roman" w:hAnsi="Times New Roman" w:cs="Times New Roman"/>
          <w:smallCaps/>
        </w:rPr>
        <w:t>orkers</w:t>
      </w:r>
      <w:r w:rsidRPr="00E40E81">
        <w:rPr>
          <w:rFonts w:ascii="Times New Roman" w:hAnsi="Times New Roman" w:cs="Times New Roman"/>
        </w:rPr>
        <w:t>' C</w:t>
      </w:r>
      <w:r w:rsidRPr="00E40E81">
        <w:rPr>
          <w:rFonts w:ascii="Times New Roman" w:hAnsi="Times New Roman" w:cs="Times New Roman"/>
          <w:smallCaps/>
        </w:rPr>
        <w:t>ompensation</w:t>
      </w:r>
      <w:r w:rsidRPr="00E40E81">
        <w:rPr>
          <w:rFonts w:ascii="Times New Roman" w:hAnsi="Times New Roman" w:cs="Times New Roman"/>
        </w:rPr>
        <w:t xml:space="preserve"> L</w:t>
      </w:r>
      <w:r w:rsidRPr="00E40E81">
        <w:rPr>
          <w:rFonts w:ascii="Times New Roman" w:hAnsi="Times New Roman" w:cs="Times New Roman"/>
          <w:smallCaps/>
        </w:rPr>
        <w:t>aw</w:t>
      </w:r>
      <w:r w:rsidRPr="00E40E81">
        <w:rPr>
          <w:rFonts w:ascii="Times New Roman" w:hAnsi="Times New Roman" w:cs="Times New Roman"/>
        </w:rPr>
        <w:t xml:space="preserve"> § 60.01</w:t>
      </w:r>
    </w:p>
  </w:footnote>
  <w:footnote w:id="131">
    <w:p w14:paraId="08AFAEF7" w14:textId="00378250" w:rsidR="00336EDF" w:rsidRDefault="00336EDF">
      <w:pPr>
        <w:pStyle w:val="FootnoteText"/>
      </w:pPr>
      <w:r w:rsidRPr="007E34E1">
        <w:rPr>
          <w:rStyle w:val="FootnoteReference"/>
          <w:rFonts w:ascii="Times New Roman" w:hAnsi="Times New Roman" w:cs="Times New Roman"/>
        </w:rPr>
        <w:footnoteRef/>
      </w:r>
      <w:r>
        <w:t xml:space="preserve"> </w:t>
      </w:r>
      <w:bookmarkStart w:id="172" w:name="f118"/>
      <w:bookmarkEnd w:id="172"/>
      <w:r w:rsidRPr="007E34E1">
        <w:rPr>
          <w:rFonts w:ascii="Times New Roman" w:hAnsi="Times New Roman" w:cs="Times New Roman"/>
          <w:i/>
        </w:rPr>
        <w:t>Id.</w:t>
      </w:r>
    </w:p>
  </w:footnote>
  <w:footnote w:id="132">
    <w:p w14:paraId="41BB6DA6" w14:textId="4F3CC59A" w:rsidR="00336EDF" w:rsidRDefault="00336EDF">
      <w:pPr>
        <w:pStyle w:val="FootnoteText"/>
      </w:pPr>
      <w:r w:rsidRPr="00C4753C">
        <w:rPr>
          <w:rStyle w:val="FootnoteReference"/>
          <w:rFonts w:ascii="Times New Roman" w:hAnsi="Times New Roman" w:cs="Times New Roman"/>
        </w:rPr>
        <w:footnoteRef/>
      </w:r>
      <w:r w:rsidRPr="00C4753C">
        <w:rPr>
          <w:rFonts w:ascii="Times New Roman" w:hAnsi="Times New Roman" w:cs="Times New Roman"/>
        </w:rPr>
        <w:t xml:space="preserve"> </w:t>
      </w:r>
      <w:bookmarkStart w:id="176" w:name="f119"/>
      <w:bookmarkEnd w:id="176"/>
      <w:r w:rsidRPr="00800E69">
        <w:rPr>
          <w:rFonts w:ascii="Times New Roman" w:hAnsi="Times New Roman" w:cs="Times New Roman"/>
        </w:rPr>
        <w:t xml:space="preserve">For a typical expression of the standard </w:t>
      </w:r>
      <w:r w:rsidRPr="00800E69">
        <w:rPr>
          <w:rFonts w:ascii="Times New Roman" w:hAnsi="Times New Roman" w:cs="Times New Roman"/>
          <w:i/>
        </w:rPr>
        <w:t>see</w:t>
      </w:r>
      <w:r w:rsidRPr="00800E69">
        <w:rPr>
          <w:rFonts w:ascii="Times New Roman" w:hAnsi="Times New Roman" w:cs="Times New Roman"/>
        </w:rPr>
        <w:t xml:space="preserve"> Hargrove v. Sleepy's, LLC, </w:t>
      </w:r>
      <w:hyperlink r:id="rId70" w:history="1">
        <w:r w:rsidRPr="00163F50">
          <w:rPr>
            <w:rStyle w:val="Hyperlink"/>
            <w:rFonts w:ascii="Times New Roman" w:hAnsi="Times New Roman" w:cs="Times New Roman"/>
          </w:rPr>
          <w:t>106 A.3d 449</w:t>
        </w:r>
      </w:hyperlink>
      <w:r w:rsidRPr="00800E69">
        <w:rPr>
          <w:rFonts w:ascii="Times New Roman" w:hAnsi="Times New Roman" w:cs="Times New Roman"/>
        </w:rPr>
        <w:t xml:space="preserve"> </w:t>
      </w:r>
      <w:r>
        <w:rPr>
          <w:rFonts w:ascii="Times New Roman" w:hAnsi="Times New Roman" w:cs="Times New Roman"/>
        </w:rPr>
        <w:t>(</w:t>
      </w:r>
      <w:r w:rsidRPr="00800E69">
        <w:rPr>
          <w:rFonts w:ascii="Times New Roman" w:hAnsi="Times New Roman" w:cs="Times New Roman"/>
        </w:rPr>
        <w:t>N.J. 2015)</w:t>
      </w:r>
    </w:p>
  </w:footnote>
  <w:footnote w:id="133">
    <w:p w14:paraId="611A34DB" w14:textId="67F5A52A" w:rsidR="00336EDF" w:rsidRDefault="00336EDF">
      <w:pPr>
        <w:pStyle w:val="FootnoteText"/>
      </w:pPr>
      <w:r w:rsidRPr="00C4753C">
        <w:rPr>
          <w:rStyle w:val="FootnoteReference"/>
          <w:rFonts w:ascii="Times New Roman" w:hAnsi="Times New Roman" w:cs="Times New Roman"/>
        </w:rPr>
        <w:footnoteRef/>
      </w:r>
      <w:r>
        <w:t xml:space="preserve"> </w:t>
      </w:r>
      <w:bookmarkStart w:id="177" w:name="f120"/>
      <w:bookmarkEnd w:id="177"/>
      <w:r w:rsidRPr="00C4753C">
        <w:rPr>
          <w:rFonts w:ascii="Times New Roman" w:hAnsi="Times New Roman" w:cs="Times New Roman"/>
        </w:rPr>
        <w:t>1 L</w:t>
      </w:r>
      <w:r w:rsidRPr="00C4753C">
        <w:rPr>
          <w:rFonts w:ascii="Times New Roman" w:hAnsi="Times New Roman" w:cs="Times New Roman"/>
          <w:smallCaps/>
        </w:rPr>
        <w:t>arson'</w:t>
      </w:r>
      <w:r w:rsidRPr="00C4753C">
        <w:rPr>
          <w:rFonts w:ascii="Times New Roman" w:hAnsi="Times New Roman" w:cs="Times New Roman"/>
        </w:rPr>
        <w:t>s W</w:t>
      </w:r>
      <w:r w:rsidRPr="00C4753C">
        <w:rPr>
          <w:rFonts w:ascii="Times New Roman" w:hAnsi="Times New Roman" w:cs="Times New Roman"/>
          <w:smallCaps/>
        </w:rPr>
        <w:t>orkers</w:t>
      </w:r>
      <w:r>
        <w:rPr>
          <w:rFonts w:ascii="Times New Roman" w:hAnsi="Times New Roman" w:cs="Times New Roman"/>
        </w:rPr>
        <w:t>’</w:t>
      </w:r>
      <w:r w:rsidRPr="00C4753C">
        <w:rPr>
          <w:rFonts w:ascii="Times New Roman" w:hAnsi="Times New Roman" w:cs="Times New Roman"/>
        </w:rPr>
        <w:t xml:space="preserve"> C</w:t>
      </w:r>
      <w:r w:rsidRPr="00C4753C">
        <w:rPr>
          <w:rFonts w:ascii="Times New Roman" w:hAnsi="Times New Roman" w:cs="Times New Roman"/>
          <w:smallCaps/>
        </w:rPr>
        <w:t>ompensation</w:t>
      </w:r>
      <w:r w:rsidRPr="00C4753C">
        <w:rPr>
          <w:rFonts w:ascii="Times New Roman" w:hAnsi="Times New Roman" w:cs="Times New Roman"/>
        </w:rPr>
        <w:t xml:space="preserve"> L</w:t>
      </w:r>
      <w:r w:rsidRPr="00C4753C">
        <w:rPr>
          <w:rFonts w:ascii="Times New Roman" w:hAnsi="Times New Roman" w:cs="Times New Roman"/>
          <w:smallCaps/>
        </w:rPr>
        <w:t>aw</w:t>
      </w:r>
      <w:r w:rsidRPr="00C4753C">
        <w:rPr>
          <w:rFonts w:ascii="Times New Roman" w:hAnsi="Times New Roman" w:cs="Times New Roman"/>
        </w:rPr>
        <w:t xml:space="preserve"> § 1.03</w:t>
      </w:r>
    </w:p>
  </w:footnote>
  <w:footnote w:id="134">
    <w:p w14:paraId="5AE4541B" w14:textId="05F719E5" w:rsidR="00336EDF" w:rsidRDefault="00336EDF">
      <w:pPr>
        <w:pStyle w:val="FootnoteText"/>
      </w:pPr>
      <w:r w:rsidRPr="00852155">
        <w:rPr>
          <w:rStyle w:val="FootnoteReference"/>
          <w:rFonts w:ascii="Times New Roman" w:hAnsi="Times New Roman" w:cs="Times New Roman"/>
        </w:rPr>
        <w:footnoteRef/>
      </w:r>
      <w:r>
        <w:t xml:space="preserve"> </w:t>
      </w:r>
      <w:bookmarkStart w:id="178" w:name="f121"/>
      <w:bookmarkEnd w:id="178"/>
      <w:r>
        <w:fldChar w:fldCharType="begin"/>
      </w:r>
      <w:r>
        <w:instrText xml:space="preserve"> HYPERLINK "https://casetext.com/case/dynamex-operations-w-inc-v-superior-court-of-l-a-cnty-1" </w:instrText>
      </w:r>
      <w:r>
        <w:fldChar w:fldCharType="separate"/>
      </w:r>
      <w:r w:rsidRPr="00163F50">
        <w:rPr>
          <w:rStyle w:val="Hyperlink"/>
          <w:rFonts w:ascii="Times New Roman" w:hAnsi="Times New Roman" w:cs="Times New Roman"/>
        </w:rPr>
        <w:t>416 P.3d 1</w:t>
      </w:r>
      <w:r>
        <w:rPr>
          <w:rStyle w:val="Hyperlink"/>
          <w:rFonts w:ascii="Times New Roman" w:hAnsi="Times New Roman" w:cs="Times New Roman"/>
        </w:rPr>
        <w:fldChar w:fldCharType="end"/>
      </w:r>
      <w:r w:rsidRPr="00852155">
        <w:rPr>
          <w:rFonts w:ascii="Times New Roman" w:hAnsi="Times New Roman" w:cs="Times New Roman"/>
        </w:rPr>
        <w:t xml:space="preserve"> (Cal. 2018)</w:t>
      </w:r>
    </w:p>
  </w:footnote>
  <w:footnote w:id="135">
    <w:p w14:paraId="69DF6BF1" w14:textId="2FD68932" w:rsidR="00C62828" w:rsidRPr="005A7BAE" w:rsidRDefault="00C62828" w:rsidP="00D10591">
      <w:pPr>
        <w:pStyle w:val="FootnoteText"/>
        <w:jc w:val="both"/>
        <w:rPr>
          <w:rFonts w:ascii="Times New Roman" w:hAnsi="Times New Roman" w:cs="Times New Roman"/>
        </w:rPr>
      </w:pPr>
      <w:r w:rsidRPr="005A7BAE">
        <w:rPr>
          <w:rStyle w:val="FootnoteReference"/>
          <w:rFonts w:ascii="Times New Roman" w:hAnsi="Times New Roman" w:cs="Times New Roman"/>
        </w:rPr>
        <w:footnoteRef/>
      </w:r>
      <w:r w:rsidRPr="005A7BAE">
        <w:rPr>
          <w:rFonts w:ascii="Times New Roman" w:hAnsi="Times New Roman" w:cs="Times New Roman"/>
        </w:rPr>
        <w:t xml:space="preserve"> Suhauna Hussain, Johana Bhuiyan, Ryan Menezes, “How Uber and Lyft persuaded California to vote their way,” </w:t>
      </w:r>
      <w:r w:rsidRPr="005A7BAE">
        <w:rPr>
          <w:rFonts w:ascii="Times New Roman" w:hAnsi="Times New Roman" w:cs="Times New Roman"/>
          <w:smallCaps/>
        </w:rPr>
        <w:t>Los Angeles Times</w:t>
      </w:r>
      <w:r w:rsidRPr="005A7BAE">
        <w:rPr>
          <w:rFonts w:ascii="Times New Roman" w:hAnsi="Times New Roman" w:cs="Times New Roman"/>
        </w:rPr>
        <w:t xml:space="preserve">, November 13, 2020 </w:t>
      </w:r>
      <w:r w:rsidRPr="005A7BAE">
        <w:rPr>
          <w:rFonts w:ascii="Times New Roman" w:hAnsi="Times New Roman" w:cs="Times New Roman"/>
          <w:i/>
          <w:iCs/>
        </w:rPr>
        <w:t>available at</w:t>
      </w:r>
      <w:r w:rsidRPr="005A7BAE">
        <w:rPr>
          <w:rFonts w:ascii="Times New Roman" w:hAnsi="Times New Roman" w:cs="Times New Roman"/>
        </w:rPr>
        <w:t xml:space="preserve">  https://www.latimes.com/business/technology/story/2020-11-13/how-uber-lyft-doordash-won-proposition-22</w:t>
      </w:r>
    </w:p>
  </w:footnote>
  <w:footnote w:id="136">
    <w:p w14:paraId="3EF7CAC7" w14:textId="00F7061B" w:rsidR="00336EDF" w:rsidRDefault="00336EDF">
      <w:pPr>
        <w:pStyle w:val="FootnoteText"/>
      </w:pPr>
      <w:r w:rsidRPr="0028201D">
        <w:rPr>
          <w:rStyle w:val="FootnoteReference"/>
          <w:rFonts w:ascii="Times New Roman" w:hAnsi="Times New Roman" w:cs="Times New Roman"/>
        </w:rPr>
        <w:footnoteRef/>
      </w:r>
      <w:r>
        <w:t xml:space="preserve"> </w:t>
      </w:r>
      <w:bookmarkStart w:id="182" w:name="f122"/>
      <w:bookmarkStart w:id="183" w:name="_Hlk517015511"/>
      <w:bookmarkEnd w:id="182"/>
      <w:r w:rsidRPr="003046AD">
        <w:rPr>
          <w:rFonts w:ascii="Times New Roman" w:hAnsi="Times New Roman" w:cs="Times New Roman"/>
        </w:rPr>
        <w:t xml:space="preserve">W.S. § </w:t>
      </w:r>
      <w:hyperlink r:id="rId71" w:history="1">
        <w:r w:rsidRPr="003046AD">
          <w:rPr>
            <w:rStyle w:val="Hyperlink"/>
            <w:rFonts w:ascii="Times New Roman" w:hAnsi="Times New Roman" w:cs="Times New Roman"/>
          </w:rPr>
          <w:t>27-14-108</w:t>
        </w:r>
      </w:hyperlink>
      <w:r w:rsidRPr="0028201D">
        <w:rPr>
          <w:rFonts w:ascii="Times New Roman" w:hAnsi="Times New Roman" w:cs="Times New Roman"/>
        </w:rPr>
        <w:t>(a)-(g)</w:t>
      </w:r>
      <w:bookmarkEnd w:id="183"/>
    </w:p>
  </w:footnote>
  <w:footnote w:id="137">
    <w:p w14:paraId="5AC8C14C" w14:textId="610FDEFC" w:rsidR="00336EDF" w:rsidRDefault="00336EDF">
      <w:pPr>
        <w:pStyle w:val="FootnoteText"/>
      </w:pPr>
      <w:r w:rsidRPr="0028201D">
        <w:rPr>
          <w:rStyle w:val="FootnoteReference"/>
          <w:rFonts w:ascii="Times New Roman" w:hAnsi="Times New Roman" w:cs="Times New Roman"/>
        </w:rPr>
        <w:footnoteRef/>
      </w:r>
      <w:r>
        <w:t xml:space="preserve"> </w:t>
      </w:r>
      <w:bookmarkStart w:id="184" w:name="f123"/>
      <w:bookmarkEnd w:id="184"/>
      <w:r w:rsidRPr="003046AD">
        <w:rPr>
          <w:rFonts w:ascii="Times New Roman" w:hAnsi="Times New Roman" w:cs="Times New Roman"/>
        </w:rPr>
        <w:t xml:space="preserve">W.S. § </w:t>
      </w:r>
      <w:hyperlink r:id="rId72" w:history="1">
        <w:r w:rsidRPr="003046AD">
          <w:rPr>
            <w:rStyle w:val="Hyperlink"/>
            <w:rFonts w:ascii="Times New Roman" w:hAnsi="Times New Roman" w:cs="Times New Roman"/>
          </w:rPr>
          <w:t>27-14-108</w:t>
        </w:r>
      </w:hyperlink>
      <w:r w:rsidRPr="0028201D">
        <w:rPr>
          <w:rFonts w:ascii="Times New Roman" w:hAnsi="Times New Roman" w:cs="Times New Roman"/>
        </w:rPr>
        <w:t>(j)</w:t>
      </w:r>
    </w:p>
  </w:footnote>
  <w:footnote w:id="138">
    <w:p w14:paraId="63B21C50" w14:textId="4C24F640" w:rsidR="00336EDF" w:rsidRDefault="00336EDF">
      <w:pPr>
        <w:pStyle w:val="FootnoteText"/>
      </w:pPr>
      <w:r w:rsidRPr="007A3C72">
        <w:rPr>
          <w:rStyle w:val="FootnoteReference"/>
          <w:rFonts w:ascii="Times New Roman" w:hAnsi="Times New Roman" w:cs="Times New Roman"/>
        </w:rPr>
        <w:footnoteRef/>
      </w:r>
      <w:r>
        <w:t xml:space="preserve"> </w:t>
      </w:r>
      <w:bookmarkStart w:id="188" w:name="f124"/>
      <w:bookmarkEnd w:id="188"/>
      <w:r w:rsidRPr="007A3C72">
        <w:rPr>
          <w:rFonts w:ascii="Times New Roman" w:hAnsi="Times New Roman" w:cs="Times New Roman"/>
        </w:rPr>
        <w:t xml:space="preserve">Matter of Patch, </w:t>
      </w:r>
      <w:hyperlink r:id="rId73" w:history="1">
        <w:r w:rsidRPr="00163F50">
          <w:rPr>
            <w:rStyle w:val="Hyperlink"/>
            <w:rFonts w:ascii="Times New Roman" w:hAnsi="Times New Roman" w:cs="Times New Roman"/>
          </w:rPr>
          <w:t>798 P.2d 839</w:t>
        </w:r>
      </w:hyperlink>
      <w:r>
        <w:rPr>
          <w:rFonts w:ascii="Times New Roman" w:hAnsi="Times New Roman" w:cs="Times New Roman"/>
        </w:rPr>
        <w:t>, 841</w:t>
      </w:r>
      <w:r w:rsidRPr="007A3C72">
        <w:rPr>
          <w:rFonts w:ascii="Times New Roman" w:hAnsi="Times New Roman" w:cs="Times New Roman"/>
        </w:rPr>
        <w:t xml:space="preserve"> (Wyo. 1990)</w:t>
      </w:r>
    </w:p>
  </w:footnote>
  <w:footnote w:id="139">
    <w:p w14:paraId="50A78D4A" w14:textId="6E0F534B" w:rsidR="00336EDF" w:rsidRDefault="00336EDF">
      <w:pPr>
        <w:pStyle w:val="FootnoteText"/>
      </w:pPr>
      <w:r w:rsidRPr="00D364E4">
        <w:rPr>
          <w:rStyle w:val="FootnoteReference"/>
          <w:rFonts w:ascii="Times New Roman" w:hAnsi="Times New Roman" w:cs="Times New Roman"/>
        </w:rPr>
        <w:footnoteRef/>
      </w:r>
      <w:r>
        <w:t xml:space="preserve"> </w:t>
      </w:r>
      <w:bookmarkStart w:id="190" w:name="f125"/>
      <w:bookmarkStart w:id="191" w:name="_Hlk517012234"/>
      <w:bookmarkEnd w:id="190"/>
      <w:r w:rsidRPr="00D364E4">
        <w:rPr>
          <w:rFonts w:ascii="Times New Roman" w:hAnsi="Times New Roman" w:cs="Times New Roman"/>
        </w:rPr>
        <w:t xml:space="preserve">Clark v. Industrial Co. of Steamboat Springs, Inc., </w:t>
      </w:r>
      <w:hyperlink r:id="rId74" w:history="1">
        <w:r w:rsidRPr="00163F50">
          <w:rPr>
            <w:rStyle w:val="Hyperlink"/>
            <w:rFonts w:ascii="Times New Roman" w:hAnsi="Times New Roman" w:cs="Times New Roman"/>
          </w:rPr>
          <w:t>818 P.2d 626</w:t>
        </w:r>
      </w:hyperlink>
      <w:r w:rsidRPr="00D364E4">
        <w:rPr>
          <w:rFonts w:ascii="Times New Roman" w:hAnsi="Times New Roman" w:cs="Times New Roman"/>
        </w:rPr>
        <w:t>, 629 (Wyo. 1991)</w:t>
      </w:r>
      <w:bookmarkEnd w:id="191"/>
    </w:p>
  </w:footnote>
  <w:footnote w:id="140">
    <w:p w14:paraId="1D64190B" w14:textId="2AC9F4B9" w:rsidR="00336EDF" w:rsidRDefault="00336EDF">
      <w:pPr>
        <w:pStyle w:val="FootnoteText"/>
      </w:pPr>
      <w:r w:rsidRPr="00E046BC">
        <w:rPr>
          <w:rStyle w:val="FootnoteReference"/>
          <w:rFonts w:ascii="Times New Roman" w:hAnsi="Times New Roman" w:cs="Times New Roman"/>
        </w:rPr>
        <w:footnoteRef/>
      </w:r>
      <w:r>
        <w:t xml:space="preserve"> </w:t>
      </w:r>
      <w:bookmarkStart w:id="193" w:name="f126"/>
      <w:bookmarkEnd w:id="193"/>
      <w:r w:rsidRPr="003046AD">
        <w:rPr>
          <w:rFonts w:ascii="Times New Roman" w:hAnsi="Times New Roman" w:cs="Times New Roman"/>
        </w:rPr>
        <w:t xml:space="preserve">W.S. § </w:t>
      </w:r>
      <w:hyperlink r:id="rId75" w:history="1">
        <w:r w:rsidRPr="003046AD">
          <w:rPr>
            <w:rStyle w:val="Hyperlink"/>
            <w:rFonts w:ascii="Times New Roman" w:hAnsi="Times New Roman" w:cs="Times New Roman"/>
          </w:rPr>
          <w:t>27-14-102</w:t>
        </w:r>
      </w:hyperlink>
      <w:r w:rsidRPr="00E046BC">
        <w:rPr>
          <w:rFonts w:ascii="Times New Roman" w:hAnsi="Times New Roman" w:cs="Times New Roman"/>
        </w:rPr>
        <w:t>(a)(xxi)</w:t>
      </w:r>
    </w:p>
  </w:footnote>
  <w:footnote w:id="141">
    <w:p w14:paraId="22201963" w14:textId="61A56E2F" w:rsidR="00336EDF" w:rsidRPr="006046D9" w:rsidRDefault="00336EDF">
      <w:pPr>
        <w:pStyle w:val="FootnoteText"/>
        <w:rPr>
          <w:rFonts w:ascii="Times New Roman" w:hAnsi="Times New Roman" w:cs="Times New Roman"/>
        </w:rPr>
      </w:pPr>
      <w:r w:rsidRPr="006046D9">
        <w:rPr>
          <w:rStyle w:val="FootnoteReference"/>
          <w:rFonts w:ascii="Times New Roman" w:hAnsi="Times New Roman" w:cs="Times New Roman"/>
        </w:rPr>
        <w:footnoteRef/>
      </w:r>
      <w:r>
        <w:t xml:space="preserve"> </w:t>
      </w:r>
      <w:bookmarkStart w:id="194" w:name="f127"/>
      <w:bookmarkEnd w:id="194"/>
      <w:r w:rsidRPr="006046D9">
        <w:rPr>
          <w:rFonts w:ascii="Times New Roman" w:hAnsi="Times New Roman" w:cs="Times New Roman"/>
        </w:rPr>
        <w:t xml:space="preserve">This is consistent with the definition of joint employee under the </w:t>
      </w:r>
      <w:r>
        <w:rPr>
          <w:rFonts w:ascii="Times New Roman" w:hAnsi="Times New Roman" w:cs="Times New Roman"/>
        </w:rPr>
        <w:t>A</w:t>
      </w:r>
      <w:r w:rsidRPr="006046D9">
        <w:rPr>
          <w:rFonts w:ascii="Times New Roman" w:hAnsi="Times New Roman" w:cs="Times New Roman"/>
        </w:rPr>
        <w:t xml:space="preserve">ct at </w:t>
      </w:r>
      <w:r w:rsidRPr="003046AD">
        <w:rPr>
          <w:rFonts w:ascii="Times New Roman" w:hAnsi="Times New Roman" w:cs="Times New Roman"/>
        </w:rPr>
        <w:t xml:space="preserve">W.S. § </w:t>
      </w:r>
      <w:hyperlink r:id="rId76" w:history="1">
        <w:r w:rsidRPr="003046AD">
          <w:rPr>
            <w:rStyle w:val="Hyperlink"/>
            <w:rFonts w:ascii="Times New Roman" w:hAnsi="Times New Roman" w:cs="Times New Roman"/>
          </w:rPr>
          <w:t>27-14-102</w:t>
        </w:r>
      </w:hyperlink>
      <w:r w:rsidRPr="006046D9">
        <w:rPr>
          <w:rFonts w:ascii="Times New Roman" w:hAnsi="Times New Roman" w:cs="Times New Roman"/>
        </w:rPr>
        <w:t>(a)(xxi)</w:t>
      </w:r>
    </w:p>
  </w:footnote>
  <w:footnote w:id="142">
    <w:p w14:paraId="71CDF12E" w14:textId="031FA587" w:rsidR="00336EDF" w:rsidRDefault="00336EDF">
      <w:pPr>
        <w:pStyle w:val="FootnoteText"/>
      </w:pPr>
      <w:r w:rsidRPr="001F42A8">
        <w:rPr>
          <w:rStyle w:val="FootnoteReference"/>
          <w:rFonts w:ascii="Times New Roman" w:hAnsi="Times New Roman" w:cs="Times New Roman"/>
        </w:rPr>
        <w:footnoteRef/>
      </w:r>
      <w:r w:rsidRPr="001F42A8">
        <w:rPr>
          <w:rStyle w:val="FootnoteReference"/>
          <w:rFonts w:ascii="Times New Roman" w:hAnsi="Times New Roman" w:cs="Times New Roman"/>
        </w:rPr>
        <w:t xml:space="preserve"> </w:t>
      </w:r>
      <w:bookmarkStart w:id="195" w:name="f128"/>
      <w:bookmarkEnd w:id="195"/>
      <w:r>
        <w:fldChar w:fldCharType="begin"/>
      </w:r>
      <w:r>
        <w:instrText xml:space="preserve"> HYPERLINK "https://law.justia.com/cases/wyoming/supreme-court/1988/121986.html" </w:instrText>
      </w:r>
      <w:r>
        <w:fldChar w:fldCharType="separate"/>
      </w:r>
      <w:r w:rsidRPr="00163F50">
        <w:rPr>
          <w:rStyle w:val="Hyperlink"/>
          <w:rFonts w:ascii="Times New Roman" w:hAnsi="Times New Roman" w:cs="Times New Roman"/>
        </w:rPr>
        <w:t>760 P.2d 974</w:t>
      </w:r>
      <w:r>
        <w:rPr>
          <w:rStyle w:val="Hyperlink"/>
          <w:rFonts w:ascii="Times New Roman" w:hAnsi="Times New Roman" w:cs="Times New Roman"/>
        </w:rPr>
        <w:fldChar w:fldCharType="end"/>
      </w:r>
      <w:r w:rsidRPr="001F42A8">
        <w:rPr>
          <w:rFonts w:ascii="Times New Roman" w:hAnsi="Times New Roman" w:cs="Times New Roman"/>
        </w:rPr>
        <w:t xml:space="preserve"> (Wyo. 1988)</w:t>
      </w:r>
    </w:p>
  </w:footnote>
  <w:footnote w:id="143">
    <w:p w14:paraId="51392479" w14:textId="5AE4B38C" w:rsidR="00336EDF" w:rsidRDefault="00336EDF">
      <w:pPr>
        <w:pStyle w:val="FootnoteText"/>
      </w:pPr>
      <w:r w:rsidRPr="006D1C39">
        <w:rPr>
          <w:rStyle w:val="FootnoteReference"/>
          <w:rFonts w:ascii="Times New Roman" w:hAnsi="Times New Roman" w:cs="Times New Roman"/>
        </w:rPr>
        <w:footnoteRef/>
      </w:r>
      <w:r>
        <w:t xml:space="preserve"> </w:t>
      </w:r>
      <w:bookmarkStart w:id="196" w:name="f129"/>
      <w:bookmarkEnd w:id="196"/>
      <w:r w:rsidRPr="006D1C39">
        <w:rPr>
          <w:rFonts w:ascii="Times New Roman" w:hAnsi="Times New Roman" w:cs="Times New Roman"/>
          <w:i/>
        </w:rPr>
        <w:t>Id</w:t>
      </w:r>
      <w:r w:rsidRPr="006D1C39">
        <w:rPr>
          <w:rFonts w:ascii="Times New Roman" w:hAnsi="Times New Roman" w:cs="Times New Roman"/>
        </w:rPr>
        <w:t>. at 980</w:t>
      </w:r>
    </w:p>
  </w:footnote>
  <w:footnote w:id="144">
    <w:p w14:paraId="5A518CCF" w14:textId="77676916" w:rsidR="00336EDF" w:rsidRDefault="00336EDF">
      <w:pPr>
        <w:pStyle w:val="FootnoteText"/>
      </w:pPr>
      <w:r w:rsidRPr="00F9424C">
        <w:rPr>
          <w:rStyle w:val="FootnoteReference"/>
          <w:rFonts w:ascii="Times New Roman" w:hAnsi="Times New Roman" w:cs="Times New Roman"/>
        </w:rPr>
        <w:footnoteRef/>
      </w:r>
      <w:r>
        <w:t xml:space="preserve"> </w:t>
      </w:r>
      <w:bookmarkStart w:id="197" w:name="f130"/>
      <w:bookmarkEnd w:id="197"/>
      <w:r w:rsidRPr="00F9424C">
        <w:rPr>
          <w:rFonts w:ascii="Times New Roman" w:hAnsi="Times New Roman" w:cs="Times New Roman"/>
          <w:i/>
        </w:rPr>
        <w:t>Id</w:t>
      </w:r>
      <w:r>
        <w:t xml:space="preserve">. </w:t>
      </w:r>
      <w:r w:rsidRPr="00F9424C">
        <w:rPr>
          <w:rFonts w:ascii="Times New Roman" w:hAnsi="Times New Roman" w:cs="Times New Roman"/>
        </w:rPr>
        <w:t>at 981</w:t>
      </w:r>
    </w:p>
  </w:footnote>
  <w:footnote w:id="145">
    <w:p w14:paraId="277AEA50" w14:textId="7FF9A841" w:rsidR="00336EDF" w:rsidRDefault="00336EDF">
      <w:pPr>
        <w:pStyle w:val="FootnoteText"/>
      </w:pPr>
      <w:r w:rsidRPr="00F9424C">
        <w:rPr>
          <w:rStyle w:val="FootnoteReference"/>
          <w:rFonts w:ascii="Times New Roman" w:hAnsi="Times New Roman" w:cs="Times New Roman"/>
        </w:rPr>
        <w:footnoteRef/>
      </w:r>
      <w:r w:rsidRPr="00337653">
        <w:rPr>
          <w:rStyle w:val="FootnoteReference"/>
          <w:rFonts w:ascii="Times New Roman" w:hAnsi="Times New Roman" w:cs="Times New Roman"/>
        </w:rPr>
        <w:t xml:space="preserve"> </w:t>
      </w:r>
      <w:bookmarkStart w:id="198" w:name="f131"/>
      <w:bookmarkEnd w:id="198"/>
      <w:r w:rsidRPr="00337653">
        <w:rPr>
          <w:rFonts w:ascii="Times New Roman" w:hAnsi="Times New Roman" w:cs="Times New Roman"/>
          <w:i/>
        </w:rPr>
        <w:t>Id.</w:t>
      </w:r>
      <w:r w:rsidRPr="00337653">
        <w:rPr>
          <w:rFonts w:ascii="Times New Roman" w:hAnsi="Times New Roman" w:cs="Times New Roman"/>
        </w:rPr>
        <w:t xml:space="preserve"> citing</w:t>
      </w:r>
      <w:r>
        <w:t xml:space="preserve"> </w:t>
      </w:r>
      <w:r w:rsidRPr="00F9424C">
        <w:rPr>
          <w:rFonts w:ascii="Times New Roman" w:hAnsi="Times New Roman" w:cs="Times New Roman"/>
        </w:rPr>
        <w:t xml:space="preserve">Peterson v. Trailways, Inc., </w:t>
      </w:r>
      <w:hyperlink r:id="rId77" w:history="1">
        <w:r w:rsidRPr="00163F50">
          <w:rPr>
            <w:rStyle w:val="Hyperlink"/>
            <w:rFonts w:ascii="Times New Roman" w:hAnsi="Times New Roman" w:cs="Times New Roman"/>
          </w:rPr>
          <w:t>555 F.Supp. 827</w:t>
        </w:r>
      </w:hyperlink>
      <w:r>
        <w:rPr>
          <w:rFonts w:ascii="Times New Roman" w:hAnsi="Times New Roman" w:cs="Times New Roman"/>
        </w:rPr>
        <w:t>, 833</w:t>
      </w:r>
      <w:r w:rsidRPr="00F9424C">
        <w:rPr>
          <w:rFonts w:ascii="Times New Roman" w:hAnsi="Times New Roman" w:cs="Times New Roman"/>
        </w:rPr>
        <w:t xml:space="preserve"> (D.Colo.1983)</w:t>
      </w:r>
    </w:p>
  </w:footnote>
  <w:footnote w:id="146">
    <w:p w14:paraId="0E3C6849" w14:textId="08493BE3" w:rsidR="00336EDF" w:rsidRDefault="00336EDF">
      <w:pPr>
        <w:pStyle w:val="FootnoteText"/>
      </w:pPr>
      <w:r w:rsidRPr="000E6FF5">
        <w:rPr>
          <w:rStyle w:val="FootnoteReference"/>
          <w:rFonts w:ascii="Times New Roman" w:hAnsi="Times New Roman" w:cs="Times New Roman"/>
        </w:rPr>
        <w:footnoteRef/>
      </w:r>
      <w:r w:rsidRPr="000E6FF5">
        <w:rPr>
          <w:rFonts w:ascii="Times New Roman" w:hAnsi="Times New Roman" w:cs="Times New Roman"/>
          <w:i/>
        </w:rPr>
        <w:t xml:space="preserve"> </w:t>
      </w:r>
      <w:bookmarkStart w:id="199" w:name="f132"/>
      <w:bookmarkEnd w:id="199"/>
      <w:r w:rsidRPr="000E6FF5">
        <w:rPr>
          <w:rFonts w:ascii="Times New Roman" w:hAnsi="Times New Roman" w:cs="Times New Roman"/>
          <w:i/>
        </w:rPr>
        <w:t>Id</w:t>
      </w:r>
      <w:r>
        <w:t>.</w:t>
      </w:r>
      <w:r w:rsidRPr="000E6FF5">
        <w:rPr>
          <w:rFonts w:ascii="Times New Roman" w:hAnsi="Times New Roman" w:cs="Times New Roman"/>
        </w:rPr>
        <w:t>at 983-84</w:t>
      </w:r>
    </w:p>
  </w:footnote>
  <w:footnote w:id="147">
    <w:p w14:paraId="2863DA17" w14:textId="33880F1E" w:rsidR="00336EDF" w:rsidRDefault="00336EDF" w:rsidP="00A710FA">
      <w:pPr>
        <w:pStyle w:val="FootnoteText"/>
        <w:jc w:val="both"/>
      </w:pPr>
      <w:r w:rsidRPr="000E6FF5">
        <w:rPr>
          <w:rStyle w:val="FootnoteReference"/>
          <w:rFonts w:ascii="Times New Roman" w:hAnsi="Times New Roman" w:cs="Times New Roman"/>
        </w:rPr>
        <w:footnoteRef/>
      </w:r>
      <w:r>
        <w:t xml:space="preserve"> </w:t>
      </w:r>
      <w:bookmarkStart w:id="200" w:name="f133"/>
      <w:bookmarkEnd w:id="200"/>
      <w:r w:rsidRPr="000E6FF5">
        <w:rPr>
          <w:rFonts w:ascii="Times New Roman" w:hAnsi="Times New Roman" w:cs="Times New Roman"/>
          <w:i/>
        </w:rPr>
        <w:t>Id</w:t>
      </w:r>
      <w:r w:rsidRPr="000E6FF5">
        <w:rPr>
          <w:rFonts w:ascii="Times New Roman" w:hAnsi="Times New Roman" w:cs="Times New Roman"/>
        </w:rPr>
        <w:t>. at 988</w:t>
      </w:r>
      <w:r>
        <w:rPr>
          <w:rFonts w:ascii="Times New Roman" w:hAnsi="Times New Roman" w:cs="Times New Roman"/>
        </w:rPr>
        <w:t>. The Court also remanded on the question of whether Admiral has contributed to the state fund in a manner contemplated by the statute.</w:t>
      </w:r>
    </w:p>
  </w:footnote>
  <w:footnote w:id="148">
    <w:p w14:paraId="18974C81" w14:textId="41188E20" w:rsidR="00336EDF" w:rsidRDefault="00336EDF">
      <w:pPr>
        <w:pStyle w:val="FootnoteText"/>
      </w:pPr>
      <w:r w:rsidRPr="00665EBC">
        <w:rPr>
          <w:rStyle w:val="FootnoteReference"/>
          <w:rFonts w:ascii="Times New Roman" w:hAnsi="Times New Roman" w:cs="Times New Roman"/>
        </w:rPr>
        <w:footnoteRef/>
      </w:r>
      <w:r>
        <w:t xml:space="preserve"> </w:t>
      </w:r>
      <w:bookmarkStart w:id="201" w:name="f134"/>
      <w:bookmarkEnd w:id="201"/>
      <w:r w:rsidRPr="00D364E4">
        <w:rPr>
          <w:rFonts w:ascii="Times New Roman" w:hAnsi="Times New Roman" w:cs="Times New Roman"/>
        </w:rPr>
        <w:t xml:space="preserve">Clark v. Industrial Co. of Steamboat Springs, Inc., </w:t>
      </w:r>
      <w:r w:rsidRPr="00163F50">
        <w:rPr>
          <w:rFonts w:ascii="Times New Roman" w:hAnsi="Times New Roman" w:cs="Times New Roman"/>
          <w:i/>
          <w:iCs/>
        </w:rPr>
        <w:t>supra</w:t>
      </w:r>
      <w:r>
        <w:rPr>
          <w:rFonts w:ascii="Times New Roman" w:hAnsi="Times New Roman" w:cs="Times New Roman"/>
        </w:rPr>
        <w:t xml:space="preserve">., </w:t>
      </w:r>
      <w:r w:rsidRPr="00D364E4">
        <w:rPr>
          <w:rFonts w:ascii="Times New Roman" w:hAnsi="Times New Roman" w:cs="Times New Roman"/>
        </w:rPr>
        <w:t xml:space="preserve">818 P.2d </w:t>
      </w:r>
      <w:r>
        <w:rPr>
          <w:rFonts w:ascii="Times New Roman" w:hAnsi="Times New Roman" w:cs="Times New Roman"/>
        </w:rPr>
        <w:t>at 630. (Emphases supplied).</w:t>
      </w:r>
    </w:p>
  </w:footnote>
  <w:footnote w:id="149">
    <w:p w14:paraId="54CA562A" w14:textId="1D509B6D" w:rsidR="00336EDF" w:rsidRDefault="00336EDF">
      <w:pPr>
        <w:pStyle w:val="FootnoteText"/>
      </w:pPr>
      <w:r w:rsidRPr="005F45A6">
        <w:rPr>
          <w:rStyle w:val="FootnoteReference"/>
          <w:rFonts w:ascii="Times New Roman" w:hAnsi="Times New Roman" w:cs="Times New Roman"/>
        </w:rPr>
        <w:footnoteRef/>
      </w:r>
      <w:r>
        <w:t xml:space="preserve"> </w:t>
      </w:r>
      <w:bookmarkStart w:id="202" w:name="f135"/>
      <w:bookmarkEnd w:id="202"/>
      <w:r w:rsidRPr="005F45A6">
        <w:rPr>
          <w:rFonts w:ascii="Times New Roman" w:hAnsi="Times New Roman" w:cs="Times New Roman"/>
          <w:i/>
        </w:rPr>
        <w:t>See also</w:t>
      </w:r>
      <w:r w:rsidRPr="005F45A6">
        <w:rPr>
          <w:rFonts w:ascii="Times New Roman" w:hAnsi="Times New Roman" w:cs="Times New Roman"/>
        </w:rPr>
        <w:t xml:space="preserve"> 10 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5F45A6">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5F45A6">
        <w:rPr>
          <w:rFonts w:ascii="Times New Roman" w:hAnsi="Times New Roman" w:cs="Times New Roman"/>
        </w:rPr>
        <w:t xml:space="preserve"> C</w:t>
      </w:r>
      <w:r w:rsidRPr="00B93977">
        <w:rPr>
          <w:rFonts w:ascii="Times New Roman" w:hAnsi="Times New Roman" w:cs="Times New Roman"/>
          <w:smallCaps/>
        </w:rPr>
        <w:t>ompensation</w:t>
      </w:r>
      <w:r w:rsidRPr="005F45A6">
        <w:rPr>
          <w:rFonts w:ascii="Times New Roman" w:hAnsi="Times New Roman" w:cs="Times New Roman"/>
        </w:rPr>
        <w:t xml:space="preserve"> L</w:t>
      </w:r>
      <w:r w:rsidRPr="00B93977">
        <w:rPr>
          <w:rFonts w:ascii="Times New Roman" w:hAnsi="Times New Roman" w:cs="Times New Roman"/>
          <w:smallCaps/>
        </w:rPr>
        <w:t xml:space="preserve">aw </w:t>
      </w:r>
      <w:r w:rsidRPr="005F45A6">
        <w:rPr>
          <w:rFonts w:ascii="Times New Roman" w:hAnsi="Times New Roman" w:cs="Times New Roman"/>
        </w:rPr>
        <w:t>§ 112.01</w:t>
      </w:r>
    </w:p>
  </w:footnote>
  <w:footnote w:id="150">
    <w:p w14:paraId="788B6709" w14:textId="3EEA16F1" w:rsidR="00336EDF" w:rsidRDefault="00336EDF">
      <w:pPr>
        <w:pStyle w:val="FootnoteText"/>
      </w:pPr>
      <w:r w:rsidRPr="00B93977">
        <w:rPr>
          <w:rStyle w:val="FootnoteReference"/>
          <w:rFonts w:ascii="Times New Roman" w:hAnsi="Times New Roman" w:cs="Times New Roman"/>
        </w:rPr>
        <w:footnoteRef/>
      </w:r>
      <w:r>
        <w:t xml:space="preserve"> </w:t>
      </w:r>
      <w:bookmarkStart w:id="206" w:name="f136"/>
      <w:bookmarkStart w:id="207" w:name="_Hlk517014705"/>
      <w:bookmarkEnd w:id="206"/>
      <w:r w:rsidRPr="00B93977">
        <w:rPr>
          <w:rFonts w:ascii="Times New Roman" w:hAnsi="Times New Roman" w:cs="Times New Roman"/>
        </w:rPr>
        <w:t>6 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77.01</w:t>
      </w:r>
      <w:bookmarkEnd w:id="207"/>
    </w:p>
  </w:footnote>
  <w:footnote w:id="151">
    <w:p w14:paraId="33FFC7ED" w14:textId="383B8618" w:rsidR="00336EDF" w:rsidRDefault="00336EDF">
      <w:pPr>
        <w:pStyle w:val="FootnoteText"/>
      </w:pPr>
      <w:r w:rsidRPr="00DF212E">
        <w:rPr>
          <w:rStyle w:val="FootnoteReference"/>
          <w:rFonts w:ascii="Times New Roman" w:hAnsi="Times New Roman" w:cs="Times New Roman"/>
        </w:rPr>
        <w:footnoteRef/>
      </w:r>
      <w:r>
        <w:t xml:space="preserve"> </w:t>
      </w:r>
      <w:bookmarkStart w:id="209" w:name="f137"/>
      <w:bookmarkEnd w:id="209"/>
      <w:r w:rsidRPr="00DF212E">
        <w:rPr>
          <w:rFonts w:ascii="Times New Roman" w:hAnsi="Times New Roman" w:cs="Times New Roman"/>
          <w:i/>
        </w:rPr>
        <w:t xml:space="preserve">See </w:t>
      </w:r>
      <w:r w:rsidRPr="00DF212E">
        <w:rPr>
          <w:rFonts w:ascii="Times New Roman" w:hAnsi="Times New Roman" w:cs="Times New Roman"/>
        </w:rPr>
        <w:t>1.</w:t>
      </w:r>
      <w:r>
        <w:rPr>
          <w:rFonts w:ascii="Times New Roman" w:hAnsi="Times New Roman" w:cs="Times New Roman"/>
        </w:rPr>
        <w:t>3</w:t>
      </w:r>
      <w:r w:rsidRPr="00DF212E">
        <w:rPr>
          <w:rFonts w:ascii="Times New Roman" w:hAnsi="Times New Roman" w:cs="Times New Roman"/>
        </w:rPr>
        <w:t xml:space="preserve"> above. </w:t>
      </w:r>
      <w:r w:rsidRPr="00DF212E">
        <w:rPr>
          <w:rFonts w:ascii="Times New Roman" w:hAnsi="Times New Roman" w:cs="Times New Roman"/>
          <w:i/>
        </w:rPr>
        <w:t>See also</w:t>
      </w:r>
      <w:r w:rsidRPr="00DF212E">
        <w:rPr>
          <w:rFonts w:ascii="Times New Roman" w:hAnsi="Times New Roman" w:cs="Times New Roman"/>
        </w:rPr>
        <w:t xml:space="preserve"> New York Central Railroad Company v. White, </w:t>
      </w:r>
      <w:hyperlink r:id="rId78" w:history="1">
        <w:r w:rsidRPr="00163F50">
          <w:rPr>
            <w:rStyle w:val="Hyperlink"/>
            <w:rFonts w:ascii="Times New Roman" w:hAnsi="Times New Roman" w:cs="Times New Roman"/>
          </w:rPr>
          <w:t>243 U.S. 188</w:t>
        </w:r>
      </w:hyperlink>
      <w:r w:rsidRPr="00DF212E">
        <w:rPr>
          <w:rFonts w:ascii="Times New Roman" w:hAnsi="Times New Roman" w:cs="Times New Roman"/>
        </w:rPr>
        <w:t xml:space="preserve"> (1917)</w:t>
      </w:r>
    </w:p>
  </w:footnote>
  <w:footnote w:id="152">
    <w:p w14:paraId="4C29CA36" w14:textId="5FA0C20B" w:rsidR="00336EDF" w:rsidRDefault="00336EDF">
      <w:pPr>
        <w:pStyle w:val="FootnoteText"/>
      </w:pPr>
      <w:r w:rsidRPr="00961282">
        <w:rPr>
          <w:rStyle w:val="FootnoteReference"/>
          <w:rFonts w:ascii="Times New Roman" w:hAnsi="Times New Roman" w:cs="Times New Roman"/>
        </w:rPr>
        <w:footnoteRef/>
      </w:r>
      <w:bookmarkStart w:id="211" w:name="f138"/>
      <w:bookmarkEnd w:id="211"/>
      <w:r w:rsidRPr="00961282">
        <w:rPr>
          <w:rFonts w:ascii="Times New Roman" w:hAnsi="Times New Roman" w:cs="Times New Roman"/>
        </w:rPr>
        <w:t xml:space="preserve"> Illinois is a leading example.</w:t>
      </w:r>
      <w:r>
        <w:rPr>
          <w:rFonts w:ascii="Times New Roman" w:hAnsi="Times New Roman" w:cs="Times New Roman"/>
        </w:rPr>
        <w:t xml:space="preserve"> </w:t>
      </w:r>
      <w:r w:rsidRPr="00614C70">
        <w:rPr>
          <w:rFonts w:ascii="Times New Roman" w:hAnsi="Times New Roman" w:cs="Times New Roman"/>
          <w:i/>
          <w:iCs/>
        </w:rPr>
        <w:t>See</w:t>
      </w:r>
      <w:r>
        <w:rPr>
          <w:rFonts w:ascii="Times New Roman" w:hAnsi="Times New Roman" w:cs="Times New Roman"/>
        </w:rPr>
        <w:t xml:space="preserve"> </w:t>
      </w:r>
      <w:r w:rsidRPr="00D86D5A">
        <w:rPr>
          <w:rFonts w:ascii="Times New Roman" w:hAnsi="Times New Roman" w:cs="Times New Roman"/>
        </w:rPr>
        <w:t>820 ILCS 305/3</w:t>
      </w:r>
    </w:p>
  </w:footnote>
  <w:footnote w:id="153">
    <w:p w14:paraId="2EABC7CF" w14:textId="5FBA2245" w:rsidR="00336EDF" w:rsidRDefault="00336EDF">
      <w:pPr>
        <w:pStyle w:val="FootnoteText"/>
      </w:pPr>
      <w:r w:rsidRPr="00DF212E">
        <w:rPr>
          <w:rStyle w:val="FootnoteReference"/>
          <w:rFonts w:ascii="Times New Roman" w:hAnsi="Times New Roman" w:cs="Times New Roman"/>
        </w:rPr>
        <w:footnoteRef/>
      </w:r>
      <w:r>
        <w:t xml:space="preserve"> </w:t>
      </w:r>
      <w:bookmarkStart w:id="212" w:name="f139"/>
      <w:bookmarkStart w:id="213" w:name="_Hlk517254463"/>
      <w:bookmarkEnd w:id="212"/>
      <w:r w:rsidRPr="00B93977">
        <w:rPr>
          <w:rFonts w:ascii="Times New Roman" w:hAnsi="Times New Roman" w:cs="Times New Roman"/>
        </w:rPr>
        <w:t>6 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77.01</w:t>
      </w:r>
      <w:bookmarkEnd w:id="213"/>
    </w:p>
  </w:footnote>
  <w:footnote w:id="154">
    <w:p w14:paraId="67BC955E" w14:textId="2CA280EC" w:rsidR="00336EDF" w:rsidRDefault="00336EDF">
      <w:pPr>
        <w:pStyle w:val="FootnoteText"/>
      </w:pPr>
      <w:r w:rsidRPr="00A57F97">
        <w:rPr>
          <w:rStyle w:val="FootnoteReference"/>
          <w:rFonts w:ascii="Times New Roman" w:hAnsi="Times New Roman" w:cs="Times New Roman"/>
        </w:rPr>
        <w:footnoteRef/>
      </w:r>
      <w:r>
        <w:t xml:space="preserve"> </w:t>
      </w:r>
      <w:bookmarkStart w:id="215" w:name="f140"/>
      <w:bookmarkStart w:id="216" w:name="_Hlk517017770"/>
      <w:bookmarkEnd w:id="215"/>
      <w:r w:rsidRPr="003046AD">
        <w:rPr>
          <w:rFonts w:ascii="Times New Roman" w:hAnsi="Times New Roman" w:cs="Times New Roman"/>
        </w:rPr>
        <w:t xml:space="preserve">W.S. § </w:t>
      </w:r>
      <w:hyperlink r:id="rId79" w:history="1">
        <w:r w:rsidRPr="003046AD">
          <w:rPr>
            <w:rStyle w:val="Hyperlink"/>
            <w:rFonts w:ascii="Times New Roman" w:hAnsi="Times New Roman" w:cs="Times New Roman"/>
          </w:rPr>
          <w:t>27-14-108</w:t>
        </w:r>
        <w:bookmarkEnd w:id="216"/>
      </w:hyperlink>
    </w:p>
  </w:footnote>
  <w:footnote w:id="155">
    <w:p w14:paraId="7EA4E366" w14:textId="0C123239" w:rsidR="00336EDF" w:rsidRDefault="00336EDF">
      <w:pPr>
        <w:pStyle w:val="FootnoteText"/>
      </w:pPr>
      <w:r w:rsidRPr="00A57F97">
        <w:rPr>
          <w:rStyle w:val="FootnoteReference"/>
          <w:rFonts w:ascii="Times New Roman" w:hAnsi="Times New Roman" w:cs="Times New Roman"/>
        </w:rPr>
        <w:footnoteRef/>
      </w:r>
      <w:r>
        <w:t xml:space="preserve"> </w:t>
      </w:r>
      <w:bookmarkStart w:id="217" w:name="f141"/>
      <w:bookmarkEnd w:id="217"/>
      <w:r w:rsidRPr="00A57F97">
        <w:rPr>
          <w:rFonts w:ascii="Times New Roman" w:hAnsi="Times New Roman" w:cs="Times New Roman"/>
        </w:rPr>
        <w:t xml:space="preserve">The manual can be obtained online at </w:t>
      </w:r>
      <w:hyperlink r:id="rId80" w:history="1">
        <w:r w:rsidRPr="006F7AEC">
          <w:rPr>
            <w:rStyle w:val="Hyperlink"/>
            <w:rFonts w:ascii="Times New Roman" w:hAnsi="Times New Roman" w:cs="Times New Roman"/>
          </w:rPr>
          <w:t>https://www.census.gov/eos/www/naics/</w:t>
        </w:r>
      </w:hyperlink>
    </w:p>
  </w:footnote>
  <w:footnote w:id="156">
    <w:p w14:paraId="51AECA7C" w14:textId="56F63C35" w:rsidR="00336EDF" w:rsidRDefault="00336EDF" w:rsidP="00313054">
      <w:pPr>
        <w:pStyle w:val="FootnoteText"/>
        <w:jc w:val="both"/>
      </w:pPr>
      <w:r w:rsidRPr="00F8139A">
        <w:rPr>
          <w:rStyle w:val="FootnoteReference"/>
          <w:rFonts w:ascii="Times New Roman" w:hAnsi="Times New Roman" w:cs="Times New Roman"/>
        </w:rPr>
        <w:footnoteRef/>
      </w:r>
      <w:r>
        <w:t xml:space="preserve"> </w:t>
      </w:r>
      <w:bookmarkStart w:id="219" w:name="f142"/>
      <w:bookmarkEnd w:id="219"/>
      <w:r w:rsidRPr="00313054">
        <w:rPr>
          <w:rFonts w:ascii="Times New Roman" w:hAnsi="Times New Roman" w:cs="Times New Roman"/>
        </w:rPr>
        <w:t xml:space="preserve">The enumerated major industries, at </w:t>
      </w:r>
      <w:r w:rsidRPr="003046AD">
        <w:rPr>
          <w:rFonts w:ascii="Times New Roman" w:hAnsi="Times New Roman" w:cs="Times New Roman"/>
        </w:rPr>
        <w:t xml:space="preserve">W.S. § </w:t>
      </w:r>
      <w:hyperlink r:id="rId81" w:history="1">
        <w:r w:rsidRPr="003046AD">
          <w:rPr>
            <w:rStyle w:val="Hyperlink"/>
            <w:rFonts w:ascii="Times New Roman" w:hAnsi="Times New Roman" w:cs="Times New Roman"/>
          </w:rPr>
          <w:t>27-14-108</w:t>
        </w:r>
      </w:hyperlink>
      <w:r w:rsidRPr="00313054">
        <w:rPr>
          <w:rFonts w:ascii="Times New Roman" w:hAnsi="Times New Roman" w:cs="Times New Roman"/>
        </w:rPr>
        <w:t>(a)(ii)(A)-(S) are forest and logging agriculture, mining, utilities, construction, manufacturing, certain subsectors of wholesale trade, certain subsectors of retail trade, certain subsect</w:t>
      </w:r>
      <w:r>
        <w:rPr>
          <w:rFonts w:ascii="Times New Roman" w:hAnsi="Times New Roman" w:cs="Times New Roman"/>
        </w:rPr>
        <w:t>ors</w:t>
      </w:r>
      <w:r w:rsidRPr="00313054">
        <w:rPr>
          <w:rFonts w:ascii="Times New Roman" w:hAnsi="Times New Roman" w:cs="Times New Roman"/>
        </w:rPr>
        <w:t xml:space="preserve"> of transportation and warehousing, certain subsectors of “information,” certain subsectors of real estate, certain subsectors of “Administrative and support and waste management and remediation services,” certain subsectors of Educational services, certain subsectors of Health care and social services, with one exception arts, entertainment and recreation, Accommodation and food services, Other services, Public administration,</w:t>
      </w:r>
      <w:r>
        <w:t xml:space="preserve">   </w:t>
      </w:r>
    </w:p>
  </w:footnote>
  <w:footnote w:id="157">
    <w:p w14:paraId="50BDB99A" w14:textId="3494B229" w:rsidR="00336EDF" w:rsidRPr="00447E32" w:rsidRDefault="00336EDF" w:rsidP="00447E32">
      <w:pPr>
        <w:pStyle w:val="FootnoteText"/>
        <w:jc w:val="both"/>
        <w:rPr>
          <w:rFonts w:ascii="Times New Roman" w:hAnsi="Times New Roman" w:cs="Times New Roman"/>
        </w:rPr>
      </w:pPr>
      <w:r w:rsidRPr="00447E32">
        <w:rPr>
          <w:rStyle w:val="FootnoteReference"/>
          <w:rFonts w:ascii="Times New Roman" w:hAnsi="Times New Roman" w:cs="Times New Roman"/>
        </w:rPr>
        <w:footnoteRef/>
      </w:r>
      <w:r w:rsidRPr="00447E32">
        <w:rPr>
          <w:rStyle w:val="FootnoteReference"/>
          <w:rFonts w:ascii="Times New Roman" w:hAnsi="Times New Roman" w:cs="Times New Roman"/>
        </w:rPr>
        <w:t xml:space="preserve"> </w:t>
      </w:r>
      <w:bookmarkStart w:id="221" w:name="f143"/>
      <w:bookmarkEnd w:id="221"/>
      <w:r w:rsidRPr="00447E32">
        <w:rPr>
          <w:rFonts w:ascii="Times New Roman" w:hAnsi="Times New Roman" w:cs="Times New Roman"/>
        </w:rPr>
        <w:t>The list includes: Janitors, groundskeepers and maintenance workers; Federal programs which require coverage for their participants; State employees and effective until June 30, 2002, employees of the University of Wyoming while traveling in the performance of their duties; Casual employees engaged in fighting forest or grass fires when employed by a governmental entity, Applicants or recipients of general welfare or relief who are employed by a governmental entity, All adult and juvenile prisoners and probationers when performing work pursuant to law or court order, Diagnostic and analytical laboratory employees, Hazardous substance workers, Power equipment operators, Motor delivery drivers, Workshop employees, Persons performing community service pursuant to a criminal sentencing order or a diversion agreement (subject to certain caveats), Public school educational assistants who provide services to special education students and certified special education teachers (as more extensively defined), County coroners and deputy county coroners, and Fire protection, including firefighters while performing under the direction of a duly authorized officer in charge (as more extensively defined).</w:t>
      </w:r>
    </w:p>
  </w:footnote>
  <w:footnote w:id="158">
    <w:p w14:paraId="098C9E4B" w14:textId="6D402012" w:rsidR="00336EDF" w:rsidRPr="0024385D" w:rsidRDefault="00336EDF" w:rsidP="0024385D">
      <w:pPr>
        <w:pStyle w:val="FootnoteText"/>
        <w:jc w:val="both"/>
        <w:rPr>
          <w:rFonts w:ascii="Times New Roman" w:hAnsi="Times New Roman" w:cs="Times New Roman"/>
        </w:rPr>
      </w:pPr>
      <w:r w:rsidRPr="0024385D">
        <w:rPr>
          <w:rStyle w:val="FootnoteReference"/>
          <w:rFonts w:ascii="Times New Roman" w:hAnsi="Times New Roman" w:cs="Times New Roman"/>
        </w:rPr>
        <w:footnoteRef/>
      </w:r>
      <w:r w:rsidRPr="0024385D">
        <w:rPr>
          <w:rStyle w:val="FootnoteReference"/>
          <w:rFonts w:ascii="Times New Roman" w:hAnsi="Times New Roman" w:cs="Times New Roman"/>
        </w:rPr>
        <w:t xml:space="preserve"> </w:t>
      </w:r>
      <w:bookmarkStart w:id="223" w:name="f144"/>
      <w:bookmarkEnd w:id="223"/>
      <w:r w:rsidRPr="0024385D">
        <w:rPr>
          <w:rFonts w:ascii="Times New Roman" w:hAnsi="Times New Roman" w:cs="Times New Roman"/>
        </w:rPr>
        <w:t>The list includes: Firefighters (while engaging in specified activities), search and rescue personnel, law enforcement personnel, search pilots, mine rescue workers, ambulance personnel, hazardous substance workers, emergency management agency personnel, Elected county or local officials volunteering to perform governmental services on behalf of the jurisdiction to which they are elected (with limitations), Volunteers working on projects approved by the Wyoming game and fish commission or the Wyoming department of state parks and cultural resources, and Law enforcement aides (while engaging in specified activities).</w:t>
      </w:r>
    </w:p>
  </w:footnote>
  <w:footnote w:id="159">
    <w:p w14:paraId="0FE9BFA2" w14:textId="4053FF66" w:rsidR="00336EDF" w:rsidRDefault="00336EDF">
      <w:pPr>
        <w:pStyle w:val="FootnoteText"/>
      </w:pPr>
      <w:r w:rsidRPr="007050BE">
        <w:rPr>
          <w:rStyle w:val="FootnoteReference"/>
          <w:rFonts w:ascii="Times New Roman" w:hAnsi="Times New Roman" w:cs="Times New Roman"/>
        </w:rPr>
        <w:footnoteRef/>
      </w:r>
      <w:r>
        <w:t xml:space="preserve"> </w:t>
      </w:r>
      <w:bookmarkStart w:id="228" w:name="f145"/>
      <w:bookmarkEnd w:id="228"/>
      <w:r w:rsidRPr="007050BE">
        <w:rPr>
          <w:rFonts w:ascii="Times New Roman" w:hAnsi="Times New Roman" w:cs="Times New Roman"/>
          <w:i/>
        </w:rPr>
        <w:t>Id.</w:t>
      </w:r>
      <w:r w:rsidRPr="007050BE">
        <w:rPr>
          <w:rFonts w:ascii="Times New Roman" w:hAnsi="Times New Roman" w:cs="Times New Roman"/>
        </w:rPr>
        <w:t xml:space="preserve"> at </w:t>
      </w:r>
      <w:r>
        <w:rPr>
          <w:rFonts w:ascii="Times New Roman" w:hAnsi="Times New Roman" w:cs="Times New Roman"/>
        </w:rPr>
        <w:t>830</w:t>
      </w:r>
    </w:p>
  </w:footnote>
  <w:footnote w:id="160">
    <w:p w14:paraId="29715529" w14:textId="05E9EC73" w:rsidR="00336EDF" w:rsidRDefault="00336EDF">
      <w:pPr>
        <w:pStyle w:val="FootnoteText"/>
      </w:pPr>
      <w:r w:rsidRPr="000D3379">
        <w:rPr>
          <w:rStyle w:val="FootnoteReference"/>
          <w:rFonts w:ascii="Times New Roman" w:hAnsi="Times New Roman" w:cs="Times New Roman"/>
        </w:rPr>
        <w:footnoteRef/>
      </w:r>
      <w:r>
        <w:t xml:space="preserve"> </w:t>
      </w:r>
      <w:bookmarkStart w:id="229" w:name="f146"/>
      <w:bookmarkEnd w:id="229"/>
      <w:r w:rsidRPr="000D3379">
        <w:rPr>
          <w:rFonts w:ascii="Times New Roman" w:hAnsi="Times New Roman" w:cs="Times New Roman"/>
          <w:i/>
        </w:rPr>
        <w:t>Id.</w:t>
      </w:r>
    </w:p>
  </w:footnote>
  <w:footnote w:id="161">
    <w:p w14:paraId="46FB8827" w14:textId="443FCFEA" w:rsidR="00336EDF" w:rsidRDefault="00336EDF">
      <w:pPr>
        <w:pStyle w:val="FootnoteText"/>
      </w:pPr>
      <w:r w:rsidRPr="000D3379">
        <w:rPr>
          <w:rStyle w:val="FootnoteReference"/>
          <w:rFonts w:ascii="Times New Roman" w:hAnsi="Times New Roman" w:cs="Times New Roman"/>
        </w:rPr>
        <w:footnoteRef/>
      </w:r>
      <w:r w:rsidRPr="000D3379">
        <w:rPr>
          <w:rStyle w:val="FootnoteReference"/>
          <w:rFonts w:ascii="Times New Roman" w:hAnsi="Times New Roman" w:cs="Times New Roman"/>
        </w:rPr>
        <w:t xml:space="preserve"> </w:t>
      </w:r>
      <w:bookmarkStart w:id="230" w:name="f147"/>
      <w:bookmarkEnd w:id="230"/>
      <w:r w:rsidRPr="000D3379">
        <w:rPr>
          <w:rFonts w:ascii="Times New Roman" w:hAnsi="Times New Roman" w:cs="Times New Roman"/>
          <w:i/>
        </w:rPr>
        <w:t>Id</w:t>
      </w:r>
      <w:r w:rsidRPr="000D3379">
        <w:rPr>
          <w:rFonts w:ascii="Times New Roman" w:hAnsi="Times New Roman" w:cs="Times New Roman"/>
        </w:rPr>
        <w:t xml:space="preserve">. at </w:t>
      </w:r>
      <w:r>
        <w:rPr>
          <w:rFonts w:ascii="Times New Roman" w:hAnsi="Times New Roman" w:cs="Times New Roman"/>
        </w:rPr>
        <w:t>835</w:t>
      </w:r>
    </w:p>
  </w:footnote>
  <w:footnote w:id="162">
    <w:p w14:paraId="3E8C9B7C" w14:textId="6B49AEC0" w:rsidR="00336EDF" w:rsidRDefault="00336EDF">
      <w:pPr>
        <w:pStyle w:val="FootnoteText"/>
      </w:pPr>
      <w:r w:rsidRPr="000D3379">
        <w:rPr>
          <w:rStyle w:val="FootnoteReference"/>
          <w:rFonts w:ascii="Times New Roman" w:hAnsi="Times New Roman" w:cs="Times New Roman"/>
        </w:rPr>
        <w:footnoteRef/>
      </w:r>
      <w:r>
        <w:t xml:space="preserve"> </w:t>
      </w:r>
      <w:bookmarkStart w:id="231" w:name="f148"/>
      <w:bookmarkEnd w:id="231"/>
      <w:r w:rsidRPr="000D3379">
        <w:rPr>
          <w:rFonts w:ascii="Times New Roman" w:hAnsi="Times New Roman" w:cs="Times New Roman"/>
          <w:i/>
        </w:rPr>
        <w:t>Id.</w:t>
      </w:r>
    </w:p>
  </w:footnote>
  <w:footnote w:id="163">
    <w:p w14:paraId="519FAD82" w14:textId="5F240A62" w:rsidR="00336EDF" w:rsidRDefault="00336EDF">
      <w:pPr>
        <w:pStyle w:val="FootnoteText"/>
      </w:pPr>
      <w:r w:rsidRPr="00DD4180">
        <w:rPr>
          <w:rStyle w:val="FootnoteReference"/>
          <w:rFonts w:ascii="Times New Roman" w:hAnsi="Times New Roman" w:cs="Times New Roman"/>
        </w:rPr>
        <w:footnoteRef/>
      </w:r>
      <w:bookmarkStart w:id="232" w:name="f149"/>
      <w:bookmarkEnd w:id="232"/>
      <w:r>
        <w:t xml:space="preserve"> </w:t>
      </w:r>
      <w:r w:rsidRPr="00DD4180">
        <w:rPr>
          <w:rFonts w:ascii="Times New Roman" w:hAnsi="Times New Roman" w:cs="Times New Roman"/>
          <w:i/>
        </w:rPr>
        <w:t xml:space="preserve">Id. </w:t>
      </w:r>
      <w:r w:rsidRPr="00DD4180">
        <w:rPr>
          <w:rFonts w:ascii="Times New Roman" w:hAnsi="Times New Roman" w:cs="Times New Roman"/>
        </w:rPr>
        <w:t xml:space="preserve">at </w:t>
      </w:r>
      <w:r>
        <w:rPr>
          <w:rFonts w:ascii="Times New Roman" w:hAnsi="Times New Roman" w:cs="Times New Roman"/>
        </w:rPr>
        <w:t>836</w:t>
      </w:r>
    </w:p>
  </w:footnote>
  <w:footnote w:id="164">
    <w:p w14:paraId="5EA0EED2" w14:textId="258AB121" w:rsidR="00336EDF" w:rsidRDefault="00336EDF">
      <w:pPr>
        <w:pStyle w:val="FootnoteText"/>
      </w:pPr>
      <w:r w:rsidRPr="00C9645D">
        <w:rPr>
          <w:rStyle w:val="FootnoteReference"/>
          <w:rFonts w:ascii="Times New Roman" w:hAnsi="Times New Roman" w:cs="Times New Roman"/>
        </w:rPr>
        <w:footnoteRef/>
      </w:r>
      <w:r>
        <w:t xml:space="preserve"> </w:t>
      </w:r>
      <w:bookmarkStart w:id="233" w:name="f150"/>
      <w:bookmarkEnd w:id="233"/>
      <w:r w:rsidRPr="00C9645D">
        <w:rPr>
          <w:rFonts w:ascii="Times New Roman" w:hAnsi="Times New Roman" w:cs="Times New Roman"/>
        </w:rPr>
        <w:t xml:space="preserve">Matter of Patch, </w:t>
      </w:r>
      <w:hyperlink r:id="rId82" w:history="1">
        <w:r w:rsidRPr="006F7AEC">
          <w:rPr>
            <w:rStyle w:val="Hyperlink"/>
            <w:rFonts w:ascii="Times New Roman" w:hAnsi="Times New Roman" w:cs="Times New Roman"/>
          </w:rPr>
          <w:t>798 P.2d 839</w:t>
        </w:r>
      </w:hyperlink>
      <w:r w:rsidRPr="00C9645D">
        <w:rPr>
          <w:rFonts w:ascii="Times New Roman" w:hAnsi="Times New Roman" w:cs="Times New Roman"/>
        </w:rPr>
        <w:t>, 841 (Wyo. 1990)</w:t>
      </w:r>
    </w:p>
  </w:footnote>
  <w:footnote w:id="165">
    <w:p w14:paraId="704E308C" w14:textId="3CD2BB4B" w:rsidR="00336EDF" w:rsidRDefault="00336EDF">
      <w:pPr>
        <w:pStyle w:val="FootnoteText"/>
      </w:pPr>
      <w:r w:rsidRPr="00CD24D7">
        <w:rPr>
          <w:rStyle w:val="FootnoteReference"/>
          <w:rFonts w:ascii="Times New Roman" w:hAnsi="Times New Roman" w:cs="Times New Roman"/>
        </w:rPr>
        <w:footnoteRef/>
      </w:r>
      <w:r w:rsidRPr="00CD24D7">
        <w:rPr>
          <w:rStyle w:val="FootnoteReference"/>
          <w:rFonts w:ascii="Times New Roman" w:hAnsi="Times New Roman" w:cs="Times New Roman"/>
        </w:rPr>
        <w:t xml:space="preserve"> </w:t>
      </w:r>
      <w:bookmarkStart w:id="234" w:name="f151"/>
      <w:bookmarkEnd w:id="234"/>
      <w:r>
        <w:fldChar w:fldCharType="begin"/>
      </w:r>
      <w:r>
        <w:instrText xml:space="preserve"> HYPERLINK "https://casetext.com/case/in-matter-of-araguz-v-state" </w:instrText>
      </w:r>
      <w:r>
        <w:fldChar w:fldCharType="separate"/>
      </w:r>
      <w:r w:rsidRPr="006F7AEC">
        <w:rPr>
          <w:rStyle w:val="Hyperlink"/>
          <w:rFonts w:ascii="Times New Roman" w:hAnsi="Times New Roman" w:cs="Times New Roman"/>
        </w:rPr>
        <w:t>262 P.3d 1263</w:t>
      </w:r>
      <w:r>
        <w:rPr>
          <w:rStyle w:val="Hyperlink"/>
          <w:rFonts w:ascii="Times New Roman" w:hAnsi="Times New Roman" w:cs="Times New Roman"/>
        </w:rPr>
        <w:fldChar w:fldCharType="end"/>
      </w:r>
      <w:r w:rsidRPr="00CD24D7">
        <w:rPr>
          <w:rFonts w:ascii="Times New Roman" w:hAnsi="Times New Roman" w:cs="Times New Roman"/>
        </w:rPr>
        <w:t xml:space="preserve"> (Wyo. 2011)</w:t>
      </w:r>
    </w:p>
  </w:footnote>
  <w:footnote w:id="166">
    <w:p w14:paraId="3053103D" w14:textId="1C9DAD83" w:rsidR="00336EDF" w:rsidRDefault="00336EDF">
      <w:pPr>
        <w:pStyle w:val="FootnoteText"/>
      </w:pPr>
      <w:r w:rsidRPr="00C9645D">
        <w:rPr>
          <w:rStyle w:val="FootnoteReference"/>
          <w:rFonts w:ascii="Times New Roman" w:hAnsi="Times New Roman" w:cs="Times New Roman"/>
        </w:rPr>
        <w:footnoteRef/>
      </w:r>
      <w:r w:rsidRPr="00C9645D">
        <w:rPr>
          <w:rStyle w:val="FootnoteReference"/>
          <w:rFonts w:ascii="Times New Roman" w:hAnsi="Times New Roman" w:cs="Times New Roman"/>
        </w:rPr>
        <w:t xml:space="preserve"> </w:t>
      </w:r>
      <w:bookmarkStart w:id="235" w:name="f152"/>
      <w:bookmarkEnd w:id="235"/>
      <w:r w:rsidRPr="00C9645D">
        <w:rPr>
          <w:rFonts w:ascii="Times New Roman" w:hAnsi="Times New Roman" w:cs="Times New Roman"/>
          <w:i/>
        </w:rPr>
        <w:t>Id.</w:t>
      </w:r>
    </w:p>
  </w:footnote>
  <w:footnote w:id="167">
    <w:p w14:paraId="7CA9F5F9" w14:textId="29A73177" w:rsidR="00336EDF" w:rsidRDefault="00336EDF">
      <w:pPr>
        <w:pStyle w:val="FootnoteText"/>
      </w:pPr>
      <w:r w:rsidRPr="00A544E1">
        <w:rPr>
          <w:rStyle w:val="FootnoteReference"/>
          <w:rFonts w:ascii="Times New Roman" w:hAnsi="Times New Roman" w:cs="Times New Roman"/>
        </w:rPr>
        <w:footnoteRef/>
      </w:r>
      <w:r>
        <w:t xml:space="preserve"> </w:t>
      </w:r>
      <w:bookmarkStart w:id="236" w:name="f153"/>
      <w:bookmarkEnd w:id="236"/>
      <w:r w:rsidRPr="00A544E1">
        <w:rPr>
          <w:rFonts w:ascii="Times New Roman" w:hAnsi="Times New Roman" w:cs="Times New Roman"/>
          <w:i/>
        </w:rPr>
        <w:t>Id</w:t>
      </w:r>
      <w:r w:rsidRPr="00A544E1">
        <w:rPr>
          <w:rFonts w:ascii="Times New Roman" w:hAnsi="Times New Roman" w:cs="Times New Roman"/>
        </w:rPr>
        <w:t>. at 1267</w:t>
      </w:r>
    </w:p>
  </w:footnote>
  <w:footnote w:id="168">
    <w:p w14:paraId="5426DB9F" w14:textId="4854AE6C" w:rsidR="00336EDF" w:rsidRDefault="00336EDF">
      <w:pPr>
        <w:pStyle w:val="FootnoteText"/>
      </w:pPr>
      <w:r w:rsidRPr="00CD24D7">
        <w:rPr>
          <w:rStyle w:val="FootnoteReference"/>
          <w:rFonts w:ascii="Times New Roman" w:hAnsi="Times New Roman" w:cs="Times New Roman"/>
        </w:rPr>
        <w:footnoteRef/>
      </w:r>
      <w:r>
        <w:t xml:space="preserve"> </w:t>
      </w:r>
      <w:bookmarkStart w:id="238" w:name="f154"/>
      <w:bookmarkEnd w:id="238"/>
      <w:r w:rsidRPr="00CD24D7">
        <w:rPr>
          <w:rFonts w:ascii="Times New Roman" w:hAnsi="Times New Roman" w:cs="Times New Roman"/>
          <w:i/>
        </w:rPr>
        <w:t>Id.</w:t>
      </w:r>
    </w:p>
  </w:footnote>
  <w:footnote w:id="169">
    <w:p w14:paraId="2CF0416E" w14:textId="39C56DD6" w:rsidR="00336EDF" w:rsidRDefault="00336EDF">
      <w:pPr>
        <w:pStyle w:val="FootnoteText"/>
      </w:pPr>
      <w:r w:rsidRPr="00DA54FA">
        <w:rPr>
          <w:rStyle w:val="FootnoteReference"/>
          <w:rFonts w:ascii="Times New Roman" w:hAnsi="Times New Roman" w:cs="Times New Roman"/>
        </w:rPr>
        <w:footnoteRef/>
      </w:r>
      <w:r>
        <w:t xml:space="preserve"> </w:t>
      </w:r>
      <w:bookmarkStart w:id="239" w:name="f155"/>
      <w:bookmarkEnd w:id="239"/>
      <w:r w:rsidRPr="00DA54FA">
        <w:rPr>
          <w:rFonts w:ascii="Times New Roman" w:hAnsi="Times New Roman" w:cs="Times New Roman"/>
        </w:rPr>
        <w:t xml:space="preserve">Mills v. Reynolds, </w:t>
      </w:r>
      <w:r w:rsidRPr="00DA54FA">
        <w:rPr>
          <w:rFonts w:ascii="Times New Roman" w:hAnsi="Times New Roman" w:cs="Times New Roman"/>
          <w:i/>
        </w:rPr>
        <w:t>supra</w:t>
      </w:r>
      <w:r w:rsidRPr="00DA54FA">
        <w:rPr>
          <w:rFonts w:ascii="Times New Roman" w:hAnsi="Times New Roman" w:cs="Times New Roman"/>
        </w:rPr>
        <w:t xml:space="preserve">., </w:t>
      </w:r>
      <w:hyperlink r:id="rId83" w:history="1">
        <w:r w:rsidRPr="003C2E22">
          <w:rPr>
            <w:rStyle w:val="Hyperlink"/>
            <w:rFonts w:ascii="Times New Roman" w:hAnsi="Times New Roman" w:cs="Times New Roman"/>
          </w:rPr>
          <w:t>837 P.2d</w:t>
        </w:r>
      </w:hyperlink>
      <w:r w:rsidRPr="00DA54FA">
        <w:rPr>
          <w:rFonts w:ascii="Times New Roman" w:hAnsi="Times New Roman" w:cs="Times New Roman"/>
        </w:rPr>
        <w:t xml:space="preserve"> at 53-54</w:t>
      </w:r>
    </w:p>
  </w:footnote>
  <w:footnote w:id="170">
    <w:p w14:paraId="3FC11601" w14:textId="1FE4F9F6" w:rsidR="00336EDF" w:rsidRDefault="00336EDF" w:rsidP="007C6142">
      <w:pPr>
        <w:spacing w:after="0"/>
      </w:pPr>
      <w:r w:rsidRPr="00EB6D65">
        <w:rPr>
          <w:rStyle w:val="FootnoteReference"/>
          <w:rFonts w:ascii="Times New Roman" w:hAnsi="Times New Roman" w:cs="Times New Roman"/>
          <w:sz w:val="20"/>
          <w:szCs w:val="20"/>
        </w:rPr>
        <w:footnoteRef/>
      </w:r>
      <w:r w:rsidRPr="00EB6D65">
        <w:rPr>
          <w:rStyle w:val="FootnoteReference"/>
          <w:rFonts w:ascii="Times New Roman" w:hAnsi="Times New Roman" w:cs="Times New Roman"/>
          <w:sz w:val="20"/>
          <w:szCs w:val="20"/>
        </w:rPr>
        <w:t xml:space="preserve"> </w:t>
      </w:r>
      <w:r w:rsidRPr="00EB6D65">
        <w:rPr>
          <w:sz w:val="20"/>
          <w:szCs w:val="20"/>
        </w:rPr>
        <w:t xml:space="preserve"> </w:t>
      </w:r>
      <w:bookmarkStart w:id="240" w:name="f156"/>
      <w:bookmarkEnd w:id="240"/>
      <w:r w:rsidRPr="00EB6D65">
        <w:rPr>
          <w:rFonts w:ascii="Times New Roman" w:hAnsi="Times New Roman" w:cs="Times New Roman"/>
          <w:sz w:val="20"/>
          <w:szCs w:val="20"/>
        </w:rPr>
        <w:t xml:space="preserve">Vasquez v. Dillard's, Inc., </w:t>
      </w:r>
      <w:hyperlink r:id="rId84" w:history="1">
        <w:r w:rsidRPr="003C2E22">
          <w:rPr>
            <w:rStyle w:val="Hyperlink"/>
            <w:rFonts w:ascii="Times New Roman" w:hAnsi="Times New Roman" w:cs="Times New Roman"/>
            <w:sz w:val="20"/>
            <w:szCs w:val="20"/>
          </w:rPr>
          <w:t>381 P.3d 768</w:t>
        </w:r>
      </w:hyperlink>
      <w:r w:rsidRPr="00EB6D65">
        <w:rPr>
          <w:rFonts w:ascii="Times New Roman" w:hAnsi="Times New Roman" w:cs="Times New Roman"/>
          <w:sz w:val="20"/>
          <w:szCs w:val="20"/>
        </w:rPr>
        <w:t xml:space="preserve"> (Ok. 2016)</w:t>
      </w:r>
    </w:p>
  </w:footnote>
  <w:footnote w:id="171">
    <w:p w14:paraId="092A6709" w14:textId="2406D0C8" w:rsidR="00336EDF" w:rsidRDefault="00336EDF">
      <w:pPr>
        <w:pStyle w:val="FootnoteText"/>
      </w:pPr>
      <w:r w:rsidRPr="00695963">
        <w:rPr>
          <w:rStyle w:val="FootnoteReference"/>
          <w:rFonts w:ascii="Times New Roman" w:hAnsi="Times New Roman" w:cs="Times New Roman"/>
        </w:rPr>
        <w:footnoteRef/>
      </w:r>
      <w:r>
        <w:t xml:space="preserve"> </w:t>
      </w:r>
      <w:bookmarkStart w:id="243" w:name="f157"/>
      <w:bookmarkStart w:id="244" w:name="_Hlk517255714"/>
      <w:bookmarkEnd w:id="243"/>
      <w:r>
        <w:rPr>
          <w:rFonts w:ascii="Times New Roman" w:hAnsi="Times New Roman" w:cs="Times New Roman"/>
        </w:rPr>
        <w:t>1</w:t>
      </w:r>
      <w:r w:rsidRPr="00B93977">
        <w:rPr>
          <w:rFonts w:ascii="Times New Roman" w:hAnsi="Times New Roman" w:cs="Times New Roman"/>
        </w:rPr>
        <w:t xml:space="preserve"> 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1</w:t>
      </w:r>
      <w:r w:rsidRPr="00B93977">
        <w:rPr>
          <w:rFonts w:ascii="Times New Roman" w:hAnsi="Times New Roman" w:cs="Times New Roman"/>
        </w:rPr>
        <w:t>.01</w:t>
      </w:r>
      <w:bookmarkEnd w:id="244"/>
      <w:r>
        <w:rPr>
          <w:rFonts w:ascii="Times New Roman" w:hAnsi="Times New Roman" w:cs="Times New Roman"/>
        </w:rPr>
        <w:t>; D</w:t>
      </w:r>
      <w:r w:rsidRPr="008F7F35">
        <w:rPr>
          <w:rFonts w:ascii="Times New Roman" w:hAnsi="Times New Roman" w:cs="Times New Roman"/>
          <w:smallCaps/>
        </w:rPr>
        <w:t>uff</w:t>
      </w:r>
      <w:r>
        <w:rPr>
          <w:rFonts w:ascii="Times New Roman" w:hAnsi="Times New Roman" w:cs="Times New Roman"/>
        </w:rPr>
        <w:t>, W</w:t>
      </w:r>
      <w:r w:rsidRPr="008F7F35">
        <w:rPr>
          <w:rFonts w:ascii="Times New Roman" w:hAnsi="Times New Roman" w:cs="Times New Roman"/>
          <w:smallCaps/>
        </w:rPr>
        <w:t>orkers</w:t>
      </w:r>
      <w:r>
        <w:rPr>
          <w:rFonts w:ascii="Times New Roman" w:hAnsi="Times New Roman" w:cs="Times New Roman"/>
        </w:rPr>
        <w:t>’ C</w:t>
      </w:r>
      <w:r w:rsidRPr="008F7F35">
        <w:rPr>
          <w:rFonts w:ascii="Times New Roman" w:hAnsi="Times New Roman" w:cs="Times New Roman"/>
          <w:smallCaps/>
        </w:rPr>
        <w:t>ompensation</w:t>
      </w:r>
      <w:r>
        <w:rPr>
          <w:rFonts w:ascii="Times New Roman" w:hAnsi="Times New Roman" w:cs="Times New Roman"/>
        </w:rPr>
        <w:t xml:space="preserve"> L</w:t>
      </w:r>
      <w:r w:rsidRPr="008F7F35">
        <w:rPr>
          <w:rFonts w:ascii="Times New Roman" w:hAnsi="Times New Roman" w:cs="Times New Roman"/>
          <w:smallCaps/>
        </w:rPr>
        <w:t>aw</w:t>
      </w:r>
    </w:p>
  </w:footnote>
  <w:footnote w:id="172">
    <w:p w14:paraId="148DDC7A" w14:textId="3A42CDC5" w:rsidR="00336EDF" w:rsidRDefault="00336EDF">
      <w:pPr>
        <w:pStyle w:val="FootnoteText"/>
      </w:pPr>
      <w:r w:rsidRPr="00695963">
        <w:rPr>
          <w:rStyle w:val="FootnoteReference"/>
          <w:rFonts w:ascii="Times New Roman" w:hAnsi="Times New Roman" w:cs="Times New Roman"/>
        </w:rPr>
        <w:footnoteRef/>
      </w:r>
      <w:r w:rsidRPr="00695963">
        <w:rPr>
          <w:rStyle w:val="FootnoteReference"/>
          <w:rFonts w:ascii="Times New Roman" w:hAnsi="Times New Roman" w:cs="Times New Roman"/>
        </w:rPr>
        <w:t xml:space="preserve"> </w:t>
      </w:r>
      <w:bookmarkStart w:id="245" w:name="f158"/>
      <w:bookmarkStart w:id="246" w:name="_Hlk517260740"/>
      <w:bookmarkEnd w:id="245"/>
      <w:r>
        <w:rPr>
          <w:rFonts w:ascii="Times New Roman" w:hAnsi="Times New Roman" w:cs="Times New Roman"/>
        </w:rPr>
        <w:t xml:space="preserve">3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42</w:t>
      </w:r>
      <w:r w:rsidRPr="00B93977">
        <w:rPr>
          <w:rFonts w:ascii="Times New Roman" w:hAnsi="Times New Roman" w:cs="Times New Roman"/>
        </w:rPr>
        <w:t>.01</w:t>
      </w:r>
      <w:bookmarkEnd w:id="246"/>
    </w:p>
  </w:footnote>
  <w:footnote w:id="173">
    <w:p w14:paraId="492D0F66" w14:textId="5E5153EE" w:rsidR="00336EDF" w:rsidRPr="001F5EA1" w:rsidRDefault="00336EDF" w:rsidP="001F5EA1">
      <w:pPr>
        <w:pStyle w:val="FootnoteText"/>
        <w:jc w:val="both"/>
        <w:rPr>
          <w:rFonts w:ascii="Times New Roman" w:hAnsi="Times New Roman" w:cs="Times New Roman"/>
        </w:rPr>
      </w:pPr>
      <w:r w:rsidRPr="00614C70">
        <w:rPr>
          <w:rStyle w:val="FootnoteReference"/>
          <w:rFonts w:ascii="Times New Roman" w:hAnsi="Times New Roman" w:cs="Times New Roman"/>
        </w:rPr>
        <w:footnoteRef/>
      </w:r>
      <w:r w:rsidRPr="00614C70">
        <w:rPr>
          <w:rFonts w:ascii="Times New Roman" w:hAnsi="Times New Roman" w:cs="Times New Roman"/>
        </w:rPr>
        <w:t xml:space="preserve"> </w:t>
      </w:r>
      <w:bookmarkStart w:id="247" w:name="f159"/>
      <w:bookmarkEnd w:id="247"/>
      <w:r w:rsidRPr="001F5EA1">
        <w:rPr>
          <w:rFonts w:ascii="Times New Roman" w:hAnsi="Times New Roman" w:cs="Times New Roman"/>
        </w:rPr>
        <w:t xml:space="preserve">Matter of Barnes, </w:t>
      </w:r>
      <w:hyperlink r:id="rId85" w:history="1">
        <w:r w:rsidRPr="00B3072A">
          <w:rPr>
            <w:rStyle w:val="Hyperlink"/>
            <w:rFonts w:ascii="Times New Roman" w:hAnsi="Times New Roman" w:cs="Times New Roman"/>
          </w:rPr>
          <w:t>587 P.2d 214</w:t>
        </w:r>
      </w:hyperlink>
      <w:r w:rsidRPr="001F5EA1">
        <w:rPr>
          <w:rFonts w:ascii="Times New Roman" w:hAnsi="Times New Roman" w:cs="Times New Roman"/>
        </w:rPr>
        <w:t xml:space="preserve"> </w:t>
      </w:r>
      <w:r>
        <w:rPr>
          <w:rFonts w:ascii="Times New Roman" w:hAnsi="Times New Roman" w:cs="Times New Roman"/>
        </w:rPr>
        <w:t xml:space="preserve">(Wyo. 1978) </w:t>
      </w:r>
      <w:r w:rsidRPr="001F5EA1">
        <w:rPr>
          <w:rFonts w:ascii="Times New Roman" w:hAnsi="Times New Roman" w:cs="Times New Roman"/>
        </w:rPr>
        <w:t>(“[T]he term “injury”, as used in the Worker's Compensation Law, means compensable injury and is not used in the sense of the occurrence of an industrial accident giving rise to or causing the compensable injury.”)</w:t>
      </w:r>
      <w:r>
        <w:rPr>
          <w:rFonts w:ascii="Times New Roman" w:hAnsi="Times New Roman" w:cs="Times New Roman"/>
        </w:rPr>
        <w:t xml:space="preserve">. The matter may not be entirely free from doubt in specialized contexts concerning, e.g., notice or cumulative injuries. </w:t>
      </w:r>
      <w:r w:rsidRPr="001F5EA1">
        <w:rPr>
          <w:rFonts w:ascii="Times New Roman" w:hAnsi="Times New Roman" w:cs="Times New Roman"/>
          <w:i/>
        </w:rPr>
        <w:t>See</w:t>
      </w:r>
      <w:r>
        <w:rPr>
          <w:rFonts w:ascii="Times New Roman" w:hAnsi="Times New Roman" w:cs="Times New Roman"/>
          <w:i/>
        </w:rPr>
        <w:t xml:space="preserve"> generally</w:t>
      </w:r>
      <w:r w:rsidRPr="001F5EA1">
        <w:rPr>
          <w:rFonts w:ascii="Times New Roman" w:hAnsi="Times New Roman" w:cs="Times New Roman"/>
          <w:i/>
        </w:rPr>
        <w:t xml:space="preserve"> </w:t>
      </w:r>
      <w:r w:rsidRPr="001F5EA1">
        <w:rPr>
          <w:rFonts w:ascii="Times New Roman" w:hAnsi="Times New Roman" w:cs="Times New Roman"/>
        </w:rPr>
        <w:t>Bhutto v. Wyoming Workers' Compensation Div.</w:t>
      </w:r>
      <w:r>
        <w:rPr>
          <w:rFonts w:ascii="Times New Roman" w:hAnsi="Times New Roman" w:cs="Times New Roman"/>
        </w:rPr>
        <w:t xml:space="preserve"> </w:t>
      </w:r>
      <w:hyperlink r:id="rId86" w:history="1">
        <w:r w:rsidRPr="00B3072A">
          <w:rPr>
            <w:rStyle w:val="Hyperlink"/>
            <w:rFonts w:ascii="Times New Roman" w:hAnsi="Times New Roman" w:cs="Times New Roman"/>
          </w:rPr>
          <w:t>933 P.2d 481</w:t>
        </w:r>
      </w:hyperlink>
      <w:r>
        <w:rPr>
          <w:rFonts w:ascii="Times New Roman" w:hAnsi="Times New Roman" w:cs="Times New Roman"/>
        </w:rPr>
        <w:t xml:space="preserve"> (Wyo. 1997)</w:t>
      </w:r>
    </w:p>
  </w:footnote>
  <w:footnote w:id="174">
    <w:p w14:paraId="24B7F623" w14:textId="77777777" w:rsidR="00336EDF" w:rsidRDefault="00336EDF" w:rsidP="00695963">
      <w:pPr>
        <w:pStyle w:val="FootnoteText"/>
      </w:pPr>
      <w:r w:rsidRPr="00695963">
        <w:rPr>
          <w:rStyle w:val="FootnoteReference"/>
          <w:rFonts w:ascii="Times New Roman" w:hAnsi="Times New Roman" w:cs="Times New Roman"/>
        </w:rPr>
        <w:footnoteRef/>
      </w:r>
      <w:r>
        <w:t xml:space="preserve"> </w:t>
      </w:r>
      <w:bookmarkStart w:id="249" w:name="f160"/>
      <w:bookmarkStart w:id="250" w:name="_Hlk12107466"/>
      <w:bookmarkStart w:id="251" w:name="_Hlk517261202"/>
      <w:bookmarkEnd w:id="249"/>
      <w:r>
        <w:rPr>
          <w:rFonts w:ascii="Times New Roman" w:hAnsi="Times New Roman" w:cs="Times New Roman"/>
        </w:rPr>
        <w:t xml:space="preserve">1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w:t>
      </w:r>
      <w:bookmarkEnd w:id="250"/>
      <w:r w:rsidRPr="00B93977">
        <w:rPr>
          <w:rFonts w:ascii="Times New Roman" w:hAnsi="Times New Roman" w:cs="Times New Roman"/>
        </w:rPr>
        <w:t xml:space="preserve">§ </w:t>
      </w:r>
      <w:r>
        <w:rPr>
          <w:rFonts w:ascii="Times New Roman" w:hAnsi="Times New Roman" w:cs="Times New Roman"/>
        </w:rPr>
        <w:t>3</w:t>
      </w:r>
      <w:r w:rsidRPr="00B93977">
        <w:rPr>
          <w:rFonts w:ascii="Times New Roman" w:hAnsi="Times New Roman" w:cs="Times New Roman"/>
        </w:rPr>
        <w:t>.01</w:t>
      </w:r>
      <w:bookmarkEnd w:id="251"/>
    </w:p>
  </w:footnote>
  <w:footnote w:id="175">
    <w:p w14:paraId="471CB774" w14:textId="12EFCB45" w:rsidR="00336EDF" w:rsidRDefault="00336EDF">
      <w:pPr>
        <w:pStyle w:val="FootnoteText"/>
      </w:pPr>
      <w:r w:rsidRPr="00695963">
        <w:rPr>
          <w:rStyle w:val="FootnoteReference"/>
          <w:rFonts w:ascii="Times New Roman" w:hAnsi="Times New Roman" w:cs="Times New Roman"/>
        </w:rPr>
        <w:footnoteRef/>
      </w:r>
      <w:r>
        <w:t xml:space="preserve"> </w:t>
      </w:r>
      <w:bookmarkStart w:id="252" w:name="f161"/>
      <w:bookmarkEnd w:id="252"/>
      <w:r w:rsidRPr="00695963">
        <w:rPr>
          <w:rFonts w:ascii="Times New Roman" w:hAnsi="Times New Roman" w:cs="Times New Roman"/>
          <w:i/>
        </w:rPr>
        <w:t xml:space="preserve">See </w:t>
      </w:r>
      <w:r>
        <w:rPr>
          <w:rFonts w:ascii="Times New Roman" w:hAnsi="Times New Roman" w:cs="Times New Roman"/>
          <w:i/>
        </w:rPr>
        <w:t>infr</w:t>
      </w:r>
      <w:r w:rsidRPr="00695963">
        <w:rPr>
          <w:rFonts w:ascii="Times New Roman" w:hAnsi="Times New Roman" w:cs="Times New Roman"/>
          <w:i/>
        </w:rPr>
        <w:t>a</w:t>
      </w:r>
      <w:r w:rsidRPr="00695963">
        <w:rPr>
          <w:rFonts w:ascii="Times New Roman" w:hAnsi="Times New Roman" w:cs="Times New Roman"/>
        </w:rPr>
        <w:t xml:space="preserve">. </w:t>
      </w:r>
    </w:p>
  </w:footnote>
  <w:footnote w:id="176">
    <w:p w14:paraId="6A7252C7" w14:textId="0F4AD55A" w:rsidR="00336EDF" w:rsidRDefault="00336EDF">
      <w:pPr>
        <w:pStyle w:val="FootnoteText"/>
      </w:pPr>
      <w:r w:rsidRPr="00156333">
        <w:rPr>
          <w:rStyle w:val="FootnoteReference"/>
          <w:rFonts w:ascii="Times New Roman" w:hAnsi="Times New Roman" w:cs="Times New Roman"/>
        </w:rPr>
        <w:footnoteRef/>
      </w:r>
      <w:r w:rsidRPr="00156333">
        <w:rPr>
          <w:rStyle w:val="FootnoteReference"/>
          <w:rFonts w:ascii="Times New Roman" w:hAnsi="Times New Roman" w:cs="Times New Roman"/>
        </w:rPr>
        <w:t xml:space="preserve"> </w:t>
      </w:r>
      <w:bookmarkStart w:id="254" w:name="f162"/>
      <w:bookmarkEnd w:id="254"/>
      <w:r>
        <w:rPr>
          <w:rFonts w:ascii="Times New Roman" w:hAnsi="Times New Roman" w:cs="Times New Roman"/>
        </w:rPr>
        <w:t xml:space="preserve">1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3</w:t>
      </w:r>
      <w:r w:rsidRPr="00B93977">
        <w:rPr>
          <w:rFonts w:ascii="Times New Roman" w:hAnsi="Times New Roman" w:cs="Times New Roman"/>
        </w:rPr>
        <w:t>.01</w:t>
      </w:r>
    </w:p>
  </w:footnote>
  <w:footnote w:id="177">
    <w:p w14:paraId="224BE0DF" w14:textId="74075839" w:rsidR="00336EDF" w:rsidRDefault="00336EDF" w:rsidP="002A09BF">
      <w:pPr>
        <w:spacing w:after="0"/>
      </w:pPr>
      <w:r w:rsidRPr="002A09BF">
        <w:rPr>
          <w:rStyle w:val="FootnoteReference"/>
          <w:rFonts w:ascii="Times New Roman" w:hAnsi="Times New Roman" w:cs="Times New Roman"/>
          <w:sz w:val="20"/>
          <w:szCs w:val="20"/>
        </w:rPr>
        <w:footnoteRef/>
      </w:r>
      <w:r w:rsidRPr="002A09BF">
        <w:rPr>
          <w:rStyle w:val="FootnoteReference"/>
          <w:rFonts w:ascii="Times New Roman" w:hAnsi="Times New Roman" w:cs="Times New Roman"/>
          <w:sz w:val="20"/>
          <w:szCs w:val="20"/>
        </w:rPr>
        <w:t xml:space="preserve"> </w:t>
      </w:r>
      <w:bookmarkStart w:id="255" w:name="f163"/>
      <w:bookmarkEnd w:id="255"/>
      <w:r w:rsidRPr="002A09BF">
        <w:rPr>
          <w:rFonts w:ascii="Times New Roman" w:hAnsi="Times New Roman" w:cs="Times New Roman"/>
          <w:i/>
          <w:sz w:val="20"/>
          <w:szCs w:val="20"/>
        </w:rPr>
        <w:t>See e.g</w:t>
      </w:r>
      <w:r>
        <w:rPr>
          <w:rFonts w:ascii="Times New Roman" w:hAnsi="Times New Roman" w:cs="Times New Roman"/>
          <w:sz w:val="20"/>
          <w:szCs w:val="20"/>
        </w:rPr>
        <w:t>.</w:t>
      </w:r>
      <w:r w:rsidRPr="002A09BF">
        <w:rPr>
          <w:rFonts w:ascii="Times New Roman" w:hAnsi="Times New Roman" w:cs="Times New Roman"/>
          <w:sz w:val="20"/>
          <w:szCs w:val="20"/>
        </w:rPr>
        <w:t xml:space="preserve"> K-Mart Corp. v. Herring</w:t>
      </w:r>
      <w:r>
        <w:rPr>
          <w:rFonts w:ascii="Times New Roman" w:hAnsi="Times New Roman" w:cs="Times New Roman"/>
          <w:sz w:val="20"/>
          <w:szCs w:val="20"/>
        </w:rPr>
        <w:t xml:space="preserve">, </w:t>
      </w:r>
      <w:hyperlink r:id="rId87" w:history="1">
        <w:r w:rsidRPr="00B3072A">
          <w:rPr>
            <w:rStyle w:val="Hyperlink"/>
            <w:rFonts w:ascii="Times New Roman" w:hAnsi="Times New Roman" w:cs="Times New Roman"/>
            <w:sz w:val="20"/>
            <w:szCs w:val="20"/>
          </w:rPr>
          <w:t>188 P.3d 140</w:t>
        </w:r>
      </w:hyperlink>
      <w:r>
        <w:rPr>
          <w:rFonts w:ascii="Times New Roman" w:hAnsi="Times New Roman" w:cs="Times New Roman"/>
          <w:sz w:val="20"/>
          <w:szCs w:val="20"/>
        </w:rPr>
        <w:t>, 146 (Ok. 2008)</w:t>
      </w:r>
    </w:p>
  </w:footnote>
  <w:footnote w:id="178">
    <w:p w14:paraId="62C02E0B" w14:textId="6C66E6A2" w:rsidR="00336EDF" w:rsidRDefault="00336EDF">
      <w:pPr>
        <w:pStyle w:val="FootnoteText"/>
      </w:pPr>
      <w:r w:rsidRPr="00156333">
        <w:rPr>
          <w:rStyle w:val="FootnoteReference"/>
          <w:rFonts w:ascii="Times New Roman" w:hAnsi="Times New Roman" w:cs="Times New Roman"/>
        </w:rPr>
        <w:footnoteRef/>
      </w:r>
      <w:r>
        <w:t xml:space="preserve"> </w:t>
      </w:r>
      <w:bookmarkStart w:id="256" w:name="f164"/>
      <w:bookmarkEnd w:id="256"/>
      <w:r w:rsidRPr="00156333">
        <w:rPr>
          <w:rFonts w:ascii="Times New Roman" w:hAnsi="Times New Roman" w:cs="Times New Roman"/>
          <w:i/>
        </w:rPr>
        <w:t>Id.</w:t>
      </w:r>
    </w:p>
  </w:footnote>
  <w:footnote w:id="179">
    <w:p w14:paraId="10560D35" w14:textId="5826F7C5" w:rsidR="00336EDF" w:rsidRPr="00D54726" w:rsidRDefault="00336EDF">
      <w:pPr>
        <w:pStyle w:val="FootnoteText"/>
      </w:pPr>
      <w:r w:rsidRPr="00D54726">
        <w:rPr>
          <w:rStyle w:val="FootnoteReference"/>
          <w:rFonts w:ascii="Times New Roman" w:hAnsi="Times New Roman" w:cs="Times New Roman"/>
        </w:rPr>
        <w:footnoteRef/>
      </w:r>
      <w:r>
        <w:t xml:space="preserve"> </w:t>
      </w:r>
      <w:bookmarkStart w:id="257" w:name="f165"/>
      <w:bookmarkStart w:id="258" w:name="_Hlk517266528"/>
      <w:bookmarkEnd w:id="257"/>
      <w:r w:rsidRPr="00D54726">
        <w:rPr>
          <w:rFonts w:ascii="Times New Roman" w:hAnsi="Times New Roman" w:cs="Times New Roman"/>
          <w:i/>
        </w:rPr>
        <w:t>Id.</w:t>
      </w:r>
      <w:r>
        <w:rPr>
          <w:rFonts w:ascii="Times New Roman" w:hAnsi="Times New Roman" w:cs="Times New Roman"/>
          <w:i/>
        </w:rPr>
        <w:t xml:space="preserve">; </w:t>
      </w:r>
      <w:r>
        <w:rPr>
          <w:rFonts w:ascii="Times New Roman" w:hAnsi="Times New Roman" w:cs="Times New Roman"/>
        </w:rPr>
        <w:t xml:space="preserve">1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w:t>
      </w:r>
      <w:r>
        <w:rPr>
          <w:rFonts w:ascii="Times New Roman" w:hAnsi="Times New Roman" w:cs="Times New Roman"/>
        </w:rPr>
        <w:t>at § 3.03</w:t>
      </w:r>
      <w:bookmarkEnd w:id="258"/>
    </w:p>
  </w:footnote>
  <w:footnote w:id="180">
    <w:p w14:paraId="631074BA" w14:textId="29789998" w:rsidR="00336EDF" w:rsidRDefault="00336EDF">
      <w:pPr>
        <w:pStyle w:val="FootnoteText"/>
      </w:pPr>
      <w:r w:rsidRPr="003C7C75">
        <w:rPr>
          <w:rStyle w:val="FootnoteReference"/>
          <w:rFonts w:ascii="Times New Roman" w:hAnsi="Times New Roman" w:cs="Times New Roman"/>
        </w:rPr>
        <w:footnoteRef/>
      </w:r>
      <w:r w:rsidRPr="003C7C75">
        <w:rPr>
          <w:rStyle w:val="FootnoteReference"/>
          <w:rFonts w:ascii="Times New Roman" w:hAnsi="Times New Roman" w:cs="Times New Roman"/>
        </w:rPr>
        <w:t xml:space="preserve"> </w:t>
      </w:r>
      <w:bookmarkStart w:id="260" w:name="f166"/>
      <w:bookmarkEnd w:id="260"/>
      <w:r w:rsidRPr="00D54726">
        <w:rPr>
          <w:rFonts w:ascii="Times New Roman" w:hAnsi="Times New Roman" w:cs="Times New Roman"/>
          <w:i/>
        </w:rPr>
        <w:t>Id.</w:t>
      </w:r>
      <w:r>
        <w:rPr>
          <w:rFonts w:ascii="Times New Roman" w:hAnsi="Times New Roman" w:cs="Times New Roman"/>
          <w:i/>
        </w:rPr>
        <w:t xml:space="preserve"> </w:t>
      </w:r>
      <w:r>
        <w:rPr>
          <w:rFonts w:ascii="Times New Roman" w:hAnsi="Times New Roman" w:cs="Times New Roman"/>
        </w:rPr>
        <w:t>at § 3.05</w:t>
      </w:r>
    </w:p>
  </w:footnote>
  <w:footnote w:id="181">
    <w:p w14:paraId="0CE52414" w14:textId="503B3227" w:rsidR="00336EDF" w:rsidRDefault="00336EDF" w:rsidP="00DC157E">
      <w:pPr>
        <w:spacing w:after="0"/>
      </w:pPr>
      <w:r w:rsidRPr="007D6C79">
        <w:rPr>
          <w:rStyle w:val="FootnoteReference"/>
          <w:rFonts w:ascii="Times New Roman" w:hAnsi="Times New Roman" w:cs="Times New Roman"/>
          <w:sz w:val="20"/>
          <w:szCs w:val="20"/>
        </w:rPr>
        <w:footnoteRef/>
      </w:r>
      <w:r>
        <w:t xml:space="preserve"> </w:t>
      </w:r>
      <w:bookmarkStart w:id="261" w:name="f167"/>
      <w:bookmarkEnd w:id="261"/>
      <w:r w:rsidRPr="007D6C79">
        <w:rPr>
          <w:rFonts w:ascii="Times New Roman" w:hAnsi="Times New Roman" w:cs="Times New Roman"/>
          <w:i/>
          <w:sz w:val="20"/>
          <w:szCs w:val="20"/>
        </w:rPr>
        <w:t>See e.g</w:t>
      </w:r>
      <w:r w:rsidRPr="007D6C79">
        <w:rPr>
          <w:rFonts w:ascii="Times New Roman" w:hAnsi="Times New Roman" w:cs="Times New Roman"/>
          <w:sz w:val="20"/>
          <w:szCs w:val="20"/>
        </w:rPr>
        <w:t>. Rio All Suite Hotel and Casino v. Phillips</w:t>
      </w:r>
      <w:r>
        <w:rPr>
          <w:rFonts w:ascii="Times New Roman" w:hAnsi="Times New Roman" w:cs="Times New Roman"/>
          <w:sz w:val="20"/>
          <w:szCs w:val="20"/>
        </w:rPr>
        <w:t xml:space="preserve">, </w:t>
      </w:r>
      <w:hyperlink r:id="rId88" w:history="1">
        <w:r w:rsidRPr="00B3072A">
          <w:rPr>
            <w:rStyle w:val="Hyperlink"/>
            <w:rFonts w:ascii="Times New Roman" w:hAnsi="Times New Roman" w:cs="Times New Roman"/>
            <w:sz w:val="20"/>
            <w:szCs w:val="20"/>
          </w:rPr>
          <w:t>240 P.3d 2</w:t>
        </w:r>
      </w:hyperlink>
      <w:r>
        <w:rPr>
          <w:rFonts w:ascii="Times New Roman" w:hAnsi="Times New Roman" w:cs="Times New Roman"/>
          <w:sz w:val="20"/>
          <w:szCs w:val="20"/>
        </w:rPr>
        <w:t>, 6 (Nev. 2010)</w:t>
      </w:r>
    </w:p>
  </w:footnote>
  <w:footnote w:id="182">
    <w:p w14:paraId="36C2E5EA" w14:textId="042A0279" w:rsidR="00336EDF" w:rsidRDefault="00336EDF">
      <w:pPr>
        <w:pStyle w:val="FootnoteText"/>
      </w:pPr>
      <w:r w:rsidRPr="006A68CE">
        <w:rPr>
          <w:rStyle w:val="FootnoteReference"/>
          <w:rFonts w:ascii="Times New Roman" w:hAnsi="Times New Roman" w:cs="Times New Roman"/>
        </w:rPr>
        <w:footnoteRef/>
      </w:r>
      <w:r w:rsidRPr="006A68CE">
        <w:rPr>
          <w:rStyle w:val="FootnoteReference"/>
          <w:rFonts w:ascii="Times New Roman" w:hAnsi="Times New Roman" w:cs="Times New Roman"/>
        </w:rPr>
        <w:t xml:space="preserve"> </w:t>
      </w:r>
      <w:bookmarkStart w:id="263" w:name="f168"/>
      <w:bookmarkEnd w:id="263"/>
      <w:r w:rsidRPr="003046AD">
        <w:rPr>
          <w:rFonts w:ascii="Times New Roman" w:hAnsi="Times New Roman" w:cs="Times New Roman"/>
        </w:rPr>
        <w:t xml:space="preserve">W.S. § </w:t>
      </w:r>
      <w:hyperlink r:id="rId89" w:history="1">
        <w:r w:rsidRPr="003046AD">
          <w:rPr>
            <w:rStyle w:val="Hyperlink"/>
            <w:rFonts w:ascii="Times New Roman" w:hAnsi="Times New Roman" w:cs="Times New Roman"/>
          </w:rPr>
          <w:t>27-14-102</w:t>
        </w:r>
      </w:hyperlink>
      <w:r w:rsidRPr="006A68CE">
        <w:rPr>
          <w:rFonts w:ascii="Times New Roman" w:hAnsi="Times New Roman" w:cs="Times New Roman"/>
        </w:rPr>
        <w:t>(a)(xi)</w:t>
      </w:r>
    </w:p>
  </w:footnote>
  <w:footnote w:id="183">
    <w:p w14:paraId="0F9CC9E1" w14:textId="289DA4E0" w:rsidR="00336EDF" w:rsidRDefault="00336EDF">
      <w:pPr>
        <w:pStyle w:val="FootnoteText"/>
      </w:pPr>
      <w:r w:rsidRPr="0069760D">
        <w:rPr>
          <w:rStyle w:val="FootnoteReference"/>
          <w:rFonts w:ascii="Times New Roman" w:hAnsi="Times New Roman" w:cs="Times New Roman"/>
        </w:rPr>
        <w:footnoteRef/>
      </w:r>
      <w:r>
        <w:t xml:space="preserve"> </w:t>
      </w:r>
      <w:bookmarkStart w:id="265" w:name="f169"/>
      <w:bookmarkStart w:id="266" w:name="_Hlk517278494"/>
      <w:bookmarkEnd w:id="265"/>
      <w:r>
        <w:rPr>
          <w:rFonts w:ascii="Times New Roman" w:hAnsi="Times New Roman" w:cs="Times New Roman"/>
        </w:rPr>
        <w:fldChar w:fldCharType="begin"/>
      </w:r>
      <w:r>
        <w:rPr>
          <w:rFonts w:ascii="Times New Roman" w:hAnsi="Times New Roman" w:cs="Times New Roman"/>
        </w:rPr>
        <w:instrText xml:space="preserve"> HYPERLINK "https://casetext.com/case/workers-safety-and-comp-div-v-bruhn" </w:instrText>
      </w:r>
      <w:r>
        <w:rPr>
          <w:rFonts w:ascii="Times New Roman" w:hAnsi="Times New Roman" w:cs="Times New Roman"/>
        </w:rPr>
        <w:fldChar w:fldCharType="separate"/>
      </w:r>
      <w:r w:rsidRPr="00776686">
        <w:rPr>
          <w:rStyle w:val="Hyperlink"/>
          <w:rFonts w:ascii="Times New Roman" w:hAnsi="Times New Roman" w:cs="Times New Roman"/>
        </w:rPr>
        <w:t>951 P.2d 373</w:t>
      </w:r>
      <w:r>
        <w:rPr>
          <w:rFonts w:ascii="Times New Roman" w:hAnsi="Times New Roman" w:cs="Times New Roman"/>
        </w:rPr>
        <w:fldChar w:fldCharType="end"/>
      </w:r>
      <w:r>
        <w:rPr>
          <w:rFonts w:ascii="Times New Roman" w:hAnsi="Times New Roman" w:cs="Times New Roman"/>
        </w:rPr>
        <w:t xml:space="preserve"> (Wyo. 1997)</w:t>
      </w:r>
      <w:bookmarkEnd w:id="266"/>
    </w:p>
  </w:footnote>
  <w:footnote w:id="184">
    <w:p w14:paraId="394394DC" w14:textId="2E4548B1" w:rsidR="00336EDF" w:rsidRPr="00792F27" w:rsidRDefault="00336EDF" w:rsidP="00661756">
      <w:pPr>
        <w:pStyle w:val="FootnoteText"/>
        <w:jc w:val="both"/>
        <w:rPr>
          <w:rFonts w:ascii="Times New Roman" w:hAnsi="Times New Roman" w:cs="Times New Roman"/>
        </w:rPr>
      </w:pPr>
      <w:r w:rsidRPr="00792F27">
        <w:rPr>
          <w:rStyle w:val="FootnoteReference"/>
          <w:rFonts w:ascii="Times New Roman" w:hAnsi="Times New Roman" w:cs="Times New Roman"/>
        </w:rPr>
        <w:footnoteRef/>
      </w:r>
      <w:r w:rsidRPr="00792E39">
        <w:rPr>
          <w:rStyle w:val="FootnoteReference"/>
          <w:rFonts w:ascii="Times New Roman" w:hAnsi="Times New Roman" w:cs="Times New Roman"/>
        </w:rPr>
        <w:t xml:space="preserve"> </w:t>
      </w:r>
      <w:bookmarkStart w:id="268" w:name="f170"/>
      <w:bookmarkEnd w:id="268"/>
      <w:r w:rsidRPr="00792F27">
        <w:rPr>
          <w:rFonts w:ascii="Times New Roman" w:hAnsi="Times New Roman" w:cs="Times New Roman"/>
          <w:i/>
        </w:rPr>
        <w:t>Id.</w:t>
      </w:r>
      <w:r w:rsidRPr="00792F27">
        <w:rPr>
          <w:rFonts w:ascii="Times New Roman" w:hAnsi="Times New Roman" w:cs="Times New Roman"/>
        </w:rPr>
        <w:t xml:space="preserve"> at 376-77. Internal citations omitted but it is notable that the Court cited </w:t>
      </w:r>
      <w:r w:rsidRPr="00792F27">
        <w:rPr>
          <w:rFonts w:ascii="Times New Roman" w:hAnsi="Times New Roman" w:cs="Times New Roman"/>
          <w:i/>
        </w:rPr>
        <w:t>only</w:t>
      </w:r>
      <w:r w:rsidRPr="00792F27">
        <w:rPr>
          <w:rFonts w:ascii="Times New Roman" w:hAnsi="Times New Roman" w:cs="Times New Roman"/>
        </w:rPr>
        <w:t xml:space="preserve"> Idaho authority for the standard</w:t>
      </w:r>
      <w:r>
        <w:rPr>
          <w:rFonts w:ascii="Times New Roman" w:hAnsi="Times New Roman" w:cs="Times New Roman"/>
        </w:rPr>
        <w:t xml:space="preserve"> which bears some similarity to a proximate cause standard in the law of negligence</w:t>
      </w:r>
      <w:r w:rsidRPr="00792F27">
        <w:rPr>
          <w:rFonts w:ascii="Times New Roman" w:hAnsi="Times New Roman" w:cs="Times New Roman"/>
        </w:rPr>
        <w:t>.</w:t>
      </w:r>
      <w:r>
        <w:rPr>
          <w:rFonts w:ascii="Times New Roman" w:hAnsi="Times New Roman" w:cs="Times New Roman"/>
        </w:rPr>
        <w:t xml:space="preserve"> One of the Idaho cases cited, </w:t>
      </w:r>
      <w:r w:rsidRPr="00E948A3">
        <w:rPr>
          <w:rFonts w:ascii="Times New Roman" w:hAnsi="Times New Roman" w:cs="Times New Roman"/>
        </w:rPr>
        <w:t xml:space="preserve">Kiger v. Idaho Corporation, </w:t>
      </w:r>
      <w:hyperlink r:id="rId90" w:history="1">
        <w:r w:rsidRPr="00B3072A">
          <w:rPr>
            <w:rStyle w:val="Hyperlink"/>
            <w:rFonts w:ascii="Times New Roman" w:hAnsi="Times New Roman" w:cs="Times New Roman"/>
          </w:rPr>
          <w:t>380 P.2d 208</w:t>
        </w:r>
      </w:hyperlink>
      <w:r w:rsidRPr="00E948A3">
        <w:rPr>
          <w:rFonts w:ascii="Times New Roman" w:hAnsi="Times New Roman" w:cs="Times New Roman"/>
        </w:rPr>
        <w:t>, 210 (</w:t>
      </w:r>
      <w:r>
        <w:rPr>
          <w:rFonts w:ascii="Times New Roman" w:hAnsi="Times New Roman" w:cs="Times New Roman"/>
        </w:rPr>
        <w:t xml:space="preserve">Id. </w:t>
      </w:r>
      <w:r w:rsidRPr="00E948A3">
        <w:rPr>
          <w:rFonts w:ascii="Times New Roman" w:hAnsi="Times New Roman" w:cs="Times New Roman"/>
        </w:rPr>
        <w:t>1963)</w:t>
      </w:r>
      <w:r>
        <w:rPr>
          <w:rFonts w:ascii="Times New Roman" w:hAnsi="Times New Roman" w:cs="Times New Roman"/>
        </w:rPr>
        <w:t xml:space="preserve"> lends questionable support taking into consideration the Idaho Supreme Court’s subsequent decision in Kelley v. Blue Linen Supply, </w:t>
      </w:r>
      <w:hyperlink r:id="rId91" w:history="1">
        <w:r w:rsidRPr="00B3072A">
          <w:rPr>
            <w:rStyle w:val="Hyperlink"/>
            <w:rFonts w:ascii="Times New Roman" w:hAnsi="Times New Roman" w:cs="Times New Roman"/>
          </w:rPr>
          <w:t>360 P.3d 333</w:t>
        </w:r>
      </w:hyperlink>
      <w:r>
        <w:rPr>
          <w:rFonts w:ascii="Times New Roman" w:hAnsi="Times New Roman" w:cs="Times New Roman"/>
        </w:rPr>
        <w:t xml:space="preserve"> (Id. 1995), which </w:t>
      </w:r>
      <w:r w:rsidRPr="00B356C4">
        <w:rPr>
          <w:rFonts w:ascii="Times New Roman" w:hAnsi="Times New Roman" w:cs="Times New Roman"/>
          <w:i/>
          <w:iCs/>
        </w:rPr>
        <w:t>awarded</w:t>
      </w:r>
      <w:r>
        <w:rPr>
          <w:rFonts w:ascii="Times New Roman" w:hAnsi="Times New Roman" w:cs="Times New Roman"/>
        </w:rPr>
        <w:t xml:space="preserve"> benefits in factual circumstances very similar to </w:t>
      </w:r>
      <w:r w:rsidRPr="00E948A3">
        <w:rPr>
          <w:rFonts w:ascii="Times New Roman" w:hAnsi="Times New Roman" w:cs="Times New Roman"/>
          <w:i/>
        </w:rPr>
        <w:t>Bruhn</w:t>
      </w:r>
      <w:r>
        <w:rPr>
          <w:rFonts w:ascii="Times New Roman" w:hAnsi="Times New Roman" w:cs="Times New Roman"/>
        </w:rPr>
        <w:t>.</w:t>
      </w:r>
    </w:p>
  </w:footnote>
  <w:footnote w:id="185">
    <w:p w14:paraId="004EE79C" w14:textId="077DD5EF" w:rsidR="00336EDF" w:rsidRDefault="00336EDF" w:rsidP="00AC665F">
      <w:pPr>
        <w:spacing w:after="0"/>
        <w:jc w:val="both"/>
      </w:pPr>
      <w:r w:rsidRPr="00792E39">
        <w:rPr>
          <w:rStyle w:val="FootnoteReference"/>
          <w:rFonts w:ascii="Times New Roman" w:hAnsi="Times New Roman" w:cs="Times New Roman"/>
          <w:sz w:val="20"/>
          <w:szCs w:val="20"/>
        </w:rPr>
        <w:footnoteRef/>
      </w:r>
      <w:bookmarkStart w:id="269" w:name="f171"/>
      <w:bookmarkEnd w:id="269"/>
      <w:r w:rsidRPr="00DC157E">
        <w:rPr>
          <w:rFonts w:ascii="Times New Roman" w:hAnsi="Times New Roman" w:cs="Times New Roman"/>
          <w:i/>
          <w:sz w:val="20"/>
          <w:szCs w:val="20"/>
        </w:rPr>
        <w:t>Accord</w:t>
      </w:r>
      <w:r w:rsidRPr="00DC157E">
        <w:rPr>
          <w:rFonts w:ascii="Times New Roman" w:hAnsi="Times New Roman" w:cs="Times New Roman"/>
          <w:sz w:val="20"/>
          <w:szCs w:val="20"/>
        </w:rPr>
        <w:t xml:space="preserve"> In re Worker's Compensation Claim of Gomez, </w:t>
      </w:r>
      <w:hyperlink r:id="rId92" w:history="1">
        <w:r w:rsidRPr="00B3072A">
          <w:rPr>
            <w:rStyle w:val="Hyperlink"/>
            <w:rFonts w:ascii="Times New Roman" w:hAnsi="Times New Roman" w:cs="Times New Roman"/>
            <w:sz w:val="20"/>
            <w:szCs w:val="20"/>
          </w:rPr>
          <w:t>231 P.3d 902</w:t>
        </w:r>
      </w:hyperlink>
      <w:r w:rsidRPr="00DC157E">
        <w:rPr>
          <w:rFonts w:ascii="Times New Roman" w:hAnsi="Times New Roman" w:cs="Times New Roman"/>
          <w:sz w:val="20"/>
          <w:szCs w:val="20"/>
        </w:rPr>
        <w:t xml:space="preserve"> (Wyo. 2010) (using fairly traced to employment standard; no risk analysis); Finley v. Wyoming Workers' Safety &amp; Comp. Div., </w:t>
      </w:r>
      <w:hyperlink r:id="rId93" w:history="1">
        <w:r w:rsidRPr="007115D3">
          <w:rPr>
            <w:rStyle w:val="Hyperlink"/>
            <w:rFonts w:ascii="Times New Roman" w:hAnsi="Times New Roman" w:cs="Times New Roman"/>
            <w:sz w:val="20"/>
            <w:szCs w:val="20"/>
          </w:rPr>
          <w:t>132 P.3d 185</w:t>
        </w:r>
      </w:hyperlink>
      <w:r w:rsidRPr="00DC157E">
        <w:rPr>
          <w:rFonts w:ascii="Times New Roman" w:hAnsi="Times New Roman" w:cs="Times New Roman"/>
          <w:sz w:val="20"/>
          <w:szCs w:val="20"/>
        </w:rPr>
        <w:t>, 188 (Wyo. 2006) (suggesting that one reason for noncompensability was that injury came from “a hazard that the employee would have been equally exposed to outside of the employment” but no mention of increased risk test); Gonzales v. Workers' Compensation Div.</w:t>
      </w:r>
      <w:r>
        <w:rPr>
          <w:rFonts w:ascii="Times New Roman" w:hAnsi="Times New Roman" w:cs="Times New Roman"/>
          <w:sz w:val="20"/>
          <w:szCs w:val="20"/>
        </w:rPr>
        <w:t xml:space="preserve">, </w:t>
      </w:r>
      <w:hyperlink r:id="rId94" w:history="1">
        <w:r w:rsidRPr="007115D3">
          <w:rPr>
            <w:rStyle w:val="Hyperlink"/>
            <w:rFonts w:ascii="Times New Roman" w:hAnsi="Times New Roman" w:cs="Times New Roman"/>
            <w:sz w:val="20"/>
            <w:szCs w:val="20"/>
          </w:rPr>
          <w:t>970 P.2d 865</w:t>
        </w:r>
      </w:hyperlink>
      <w:r>
        <w:rPr>
          <w:rFonts w:ascii="Times New Roman" w:hAnsi="Times New Roman" w:cs="Times New Roman"/>
          <w:sz w:val="20"/>
          <w:szCs w:val="20"/>
        </w:rPr>
        <w:t xml:space="preserve"> (Wyo. 1998)</w:t>
      </w:r>
      <w:r w:rsidRPr="00DC157E">
        <w:rPr>
          <w:rFonts w:ascii="Times New Roman" w:hAnsi="Times New Roman" w:cs="Times New Roman"/>
          <w:sz w:val="20"/>
          <w:szCs w:val="20"/>
        </w:rPr>
        <w:t xml:space="preserve"> (finding injury compensable “when a causal connection exists between the injury and the conditions under which the work is required to be performed;” no risk analysis)</w:t>
      </w:r>
    </w:p>
  </w:footnote>
  <w:footnote w:id="186">
    <w:p w14:paraId="44E6FCD8" w14:textId="06C9D2F6" w:rsidR="00336EDF" w:rsidRDefault="00336EDF">
      <w:pPr>
        <w:pStyle w:val="FootnoteText"/>
      </w:pPr>
      <w:r w:rsidRPr="00CC626E">
        <w:rPr>
          <w:rStyle w:val="FootnoteReference"/>
          <w:rFonts w:ascii="Times New Roman" w:hAnsi="Times New Roman" w:cs="Times New Roman"/>
        </w:rPr>
        <w:footnoteRef/>
      </w:r>
      <w:r>
        <w:t xml:space="preserve"> </w:t>
      </w:r>
      <w:bookmarkStart w:id="270" w:name="f172"/>
      <w:bookmarkEnd w:id="270"/>
      <w:r>
        <w:fldChar w:fldCharType="begin"/>
      </w:r>
      <w:r>
        <w:instrText xml:space="preserve"> HYPERLINK "https://casetext.com/case/matter-of-injury-to-corean" </w:instrText>
      </w:r>
      <w:r>
        <w:fldChar w:fldCharType="separate"/>
      </w:r>
      <w:r w:rsidRPr="007115D3">
        <w:rPr>
          <w:rStyle w:val="Hyperlink"/>
          <w:rFonts w:ascii="Times New Roman" w:hAnsi="Times New Roman" w:cs="Times New Roman"/>
        </w:rPr>
        <w:t>723 P.2d 58</w:t>
      </w:r>
      <w:r>
        <w:rPr>
          <w:rStyle w:val="Hyperlink"/>
          <w:rFonts w:ascii="Times New Roman" w:hAnsi="Times New Roman" w:cs="Times New Roman"/>
        </w:rPr>
        <w:fldChar w:fldCharType="end"/>
      </w:r>
      <w:r>
        <w:rPr>
          <w:rFonts w:ascii="Times New Roman" w:hAnsi="Times New Roman" w:cs="Times New Roman"/>
        </w:rPr>
        <w:t xml:space="preserve"> (Wyo. 1986)</w:t>
      </w:r>
    </w:p>
  </w:footnote>
  <w:footnote w:id="187">
    <w:p w14:paraId="39192CDB" w14:textId="11AC9ED1" w:rsidR="00336EDF" w:rsidRDefault="00336EDF">
      <w:pPr>
        <w:pStyle w:val="FootnoteText"/>
      </w:pPr>
      <w:r w:rsidRPr="008C7CFF">
        <w:rPr>
          <w:rStyle w:val="FootnoteReference"/>
          <w:rFonts w:ascii="Times New Roman" w:hAnsi="Times New Roman" w:cs="Times New Roman"/>
        </w:rPr>
        <w:footnoteRef/>
      </w:r>
      <w:r>
        <w:t xml:space="preserve"> </w:t>
      </w:r>
      <w:bookmarkStart w:id="271" w:name="f173"/>
      <w:bookmarkEnd w:id="271"/>
      <w:r w:rsidRPr="008C7CFF">
        <w:rPr>
          <w:rFonts w:ascii="Times New Roman" w:hAnsi="Times New Roman" w:cs="Times New Roman"/>
          <w:i/>
        </w:rPr>
        <w:t>Id</w:t>
      </w:r>
      <w:r w:rsidRPr="008C7CFF">
        <w:rPr>
          <w:rFonts w:ascii="Times New Roman" w:hAnsi="Times New Roman" w:cs="Times New Roman"/>
        </w:rPr>
        <w:t>. at 60</w:t>
      </w:r>
    </w:p>
  </w:footnote>
  <w:footnote w:id="188">
    <w:p w14:paraId="1C53AB98" w14:textId="59D0307C" w:rsidR="00336EDF" w:rsidRDefault="00336EDF">
      <w:pPr>
        <w:pStyle w:val="FootnoteText"/>
      </w:pPr>
      <w:r w:rsidRPr="00AB7585">
        <w:rPr>
          <w:rStyle w:val="FootnoteReference"/>
          <w:rFonts w:ascii="Times New Roman" w:hAnsi="Times New Roman" w:cs="Times New Roman"/>
        </w:rPr>
        <w:footnoteRef/>
      </w:r>
      <w:r w:rsidRPr="00AB7585">
        <w:rPr>
          <w:rStyle w:val="FootnoteReference"/>
          <w:rFonts w:ascii="Times New Roman" w:hAnsi="Times New Roman" w:cs="Times New Roman"/>
        </w:rPr>
        <w:t xml:space="preserve"> </w:t>
      </w:r>
      <w:bookmarkStart w:id="272" w:name="f174"/>
      <w:bookmarkEnd w:id="272"/>
      <w:r>
        <w:fldChar w:fldCharType="begin"/>
      </w:r>
      <w:r>
        <w:instrText xml:space="preserve"> HYPERLINK "https://www.courtlistener.com/opinion/1228372/matter-of-willey/" </w:instrText>
      </w:r>
      <w:r>
        <w:fldChar w:fldCharType="separate"/>
      </w:r>
      <w:r w:rsidRPr="007115D3">
        <w:rPr>
          <w:rStyle w:val="Hyperlink"/>
          <w:rFonts w:ascii="Times New Roman" w:hAnsi="Times New Roman" w:cs="Times New Roman"/>
        </w:rPr>
        <w:t>571 P.2d 248</w:t>
      </w:r>
      <w:r>
        <w:rPr>
          <w:rStyle w:val="Hyperlink"/>
          <w:rFonts w:ascii="Times New Roman" w:hAnsi="Times New Roman" w:cs="Times New Roman"/>
        </w:rPr>
        <w:fldChar w:fldCharType="end"/>
      </w:r>
      <w:r>
        <w:rPr>
          <w:rFonts w:ascii="Times New Roman" w:hAnsi="Times New Roman" w:cs="Times New Roman"/>
        </w:rPr>
        <w:t xml:space="preserve"> </w:t>
      </w:r>
      <w:r w:rsidRPr="00AB7585">
        <w:rPr>
          <w:rFonts w:ascii="Times New Roman" w:hAnsi="Times New Roman" w:cs="Times New Roman"/>
        </w:rPr>
        <w:t>(</w:t>
      </w:r>
      <w:r>
        <w:rPr>
          <w:rFonts w:ascii="Times New Roman" w:hAnsi="Times New Roman" w:cs="Times New Roman"/>
        </w:rPr>
        <w:t xml:space="preserve">Wyo. </w:t>
      </w:r>
      <w:r w:rsidRPr="00AB7585">
        <w:rPr>
          <w:rFonts w:ascii="Times New Roman" w:hAnsi="Times New Roman" w:cs="Times New Roman"/>
        </w:rPr>
        <w:t>1977)</w:t>
      </w:r>
    </w:p>
  </w:footnote>
  <w:footnote w:id="189">
    <w:p w14:paraId="3FAE81E6" w14:textId="66D7E95B" w:rsidR="00336EDF" w:rsidRDefault="00336EDF">
      <w:pPr>
        <w:pStyle w:val="FootnoteText"/>
      </w:pPr>
      <w:r w:rsidRPr="00AB7585">
        <w:rPr>
          <w:rStyle w:val="FootnoteReference"/>
          <w:rFonts w:ascii="Times New Roman" w:hAnsi="Times New Roman" w:cs="Times New Roman"/>
        </w:rPr>
        <w:footnoteRef/>
      </w:r>
      <w:r>
        <w:t xml:space="preserve"> </w:t>
      </w:r>
      <w:bookmarkStart w:id="273" w:name="f175"/>
      <w:bookmarkEnd w:id="273"/>
      <w:r w:rsidRPr="00AB7585">
        <w:rPr>
          <w:rFonts w:ascii="Times New Roman" w:hAnsi="Times New Roman" w:cs="Times New Roman"/>
          <w:i/>
        </w:rPr>
        <w:t>Id.</w:t>
      </w:r>
      <w:r w:rsidRPr="00AB7585">
        <w:rPr>
          <w:rFonts w:ascii="Times New Roman" w:hAnsi="Times New Roman" w:cs="Times New Roman"/>
        </w:rPr>
        <w:t xml:space="preserve"> at 250</w:t>
      </w:r>
    </w:p>
  </w:footnote>
  <w:footnote w:id="190">
    <w:p w14:paraId="3A338797" w14:textId="698770DF" w:rsidR="00336EDF" w:rsidRPr="00AD4C19" w:rsidRDefault="00336EDF" w:rsidP="00AD4C19">
      <w:pPr>
        <w:pStyle w:val="FootnoteText"/>
        <w:jc w:val="both"/>
        <w:rPr>
          <w:rFonts w:ascii="Times New Roman" w:hAnsi="Times New Roman" w:cs="Times New Roman"/>
        </w:rPr>
      </w:pPr>
      <w:r w:rsidRPr="00AD4C19">
        <w:rPr>
          <w:rStyle w:val="FootnoteReference"/>
          <w:rFonts w:ascii="Times New Roman" w:hAnsi="Times New Roman" w:cs="Times New Roman"/>
        </w:rPr>
        <w:footnoteRef/>
      </w:r>
      <w:r w:rsidRPr="00AD4C19">
        <w:rPr>
          <w:rStyle w:val="FootnoteReference"/>
          <w:rFonts w:ascii="Times New Roman" w:hAnsi="Times New Roman" w:cs="Times New Roman"/>
        </w:rPr>
        <w:t xml:space="preserve"> </w:t>
      </w:r>
      <w:bookmarkStart w:id="274" w:name="f176"/>
      <w:bookmarkEnd w:id="274"/>
      <w:r w:rsidRPr="00AD4C19">
        <w:rPr>
          <w:rFonts w:ascii="Times New Roman" w:hAnsi="Times New Roman" w:cs="Times New Roman"/>
        </w:rPr>
        <w:t xml:space="preserve">The phraseology was, for example, contained in the New York workers’ compensation statute first deemed constitutional by the United States Supreme Court in the </w:t>
      </w:r>
      <w:r w:rsidRPr="00AD4C19">
        <w:rPr>
          <w:rFonts w:ascii="Times New Roman" w:hAnsi="Times New Roman" w:cs="Times New Roman"/>
          <w:i/>
        </w:rPr>
        <w:t xml:space="preserve">White </w:t>
      </w:r>
      <w:r w:rsidRPr="00AD4C19">
        <w:rPr>
          <w:rFonts w:ascii="Times New Roman" w:hAnsi="Times New Roman" w:cs="Times New Roman"/>
        </w:rPr>
        <w:t>case.</w:t>
      </w:r>
      <w:r>
        <w:rPr>
          <w:rFonts w:ascii="Times New Roman" w:hAnsi="Times New Roman" w:cs="Times New Roman"/>
        </w:rPr>
        <w:t xml:space="preserve"> </w:t>
      </w:r>
      <w:r>
        <w:rPr>
          <w:rFonts w:ascii="Times New Roman" w:hAnsi="Times New Roman" w:cs="Times New Roman"/>
          <w:i/>
        </w:rPr>
        <w:t>Enacted</w:t>
      </w:r>
      <w:r>
        <w:rPr>
          <w:rFonts w:ascii="Times New Roman" w:hAnsi="Times New Roman" w:cs="Times New Roman"/>
        </w:rPr>
        <w:t xml:space="preserve"> New York Laws, Chapter 41, Acts of 1914 </w:t>
      </w:r>
      <w:r w:rsidRPr="007115D3">
        <w:rPr>
          <w:rFonts w:ascii="Times New Roman" w:hAnsi="Times New Roman" w:cs="Times New Roman"/>
          <w:i/>
          <w:iCs/>
        </w:rPr>
        <w:t>see</w:t>
      </w:r>
      <w:r>
        <w:rPr>
          <w:rFonts w:ascii="Times New Roman" w:hAnsi="Times New Roman" w:cs="Times New Roman"/>
        </w:rPr>
        <w:t xml:space="preserve"> Chapter 67, Art. 1, Sec. 3(7)</w:t>
      </w:r>
    </w:p>
  </w:footnote>
  <w:footnote w:id="191">
    <w:p w14:paraId="19C8E980" w14:textId="486A7C51" w:rsidR="00336EDF" w:rsidRDefault="00336EDF">
      <w:pPr>
        <w:pStyle w:val="FootnoteText"/>
      </w:pPr>
      <w:r w:rsidRPr="00417920">
        <w:rPr>
          <w:rStyle w:val="FootnoteReference"/>
          <w:rFonts w:ascii="Times New Roman" w:hAnsi="Times New Roman" w:cs="Times New Roman"/>
        </w:rPr>
        <w:footnoteRef/>
      </w:r>
      <w:r w:rsidRPr="00417920">
        <w:rPr>
          <w:rStyle w:val="FootnoteReference"/>
          <w:rFonts w:ascii="Times New Roman" w:hAnsi="Times New Roman" w:cs="Times New Roman"/>
        </w:rPr>
        <w:t xml:space="preserve"> </w:t>
      </w:r>
      <w:bookmarkStart w:id="275" w:name="f177"/>
      <w:bookmarkEnd w:id="275"/>
      <w:r>
        <w:rPr>
          <w:rFonts w:ascii="Times New Roman" w:hAnsi="Times New Roman" w:cs="Times New Roman"/>
        </w:rPr>
        <w:t xml:space="preserve">3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29.01</w:t>
      </w:r>
    </w:p>
  </w:footnote>
  <w:footnote w:id="192">
    <w:p w14:paraId="1A5DDAB3" w14:textId="558B91C3" w:rsidR="00336EDF" w:rsidRDefault="00336EDF">
      <w:pPr>
        <w:pStyle w:val="FootnoteText"/>
      </w:pPr>
      <w:r w:rsidRPr="00CC626E">
        <w:rPr>
          <w:rStyle w:val="FootnoteReference"/>
          <w:rFonts w:ascii="Times New Roman" w:hAnsi="Times New Roman" w:cs="Times New Roman"/>
        </w:rPr>
        <w:footnoteRef/>
      </w:r>
      <w:r w:rsidRPr="001843E2">
        <w:rPr>
          <w:rStyle w:val="FootnoteReference"/>
          <w:rFonts w:ascii="Times New Roman" w:hAnsi="Times New Roman" w:cs="Times New Roman"/>
          <w:sz w:val="22"/>
          <w:szCs w:val="22"/>
        </w:rPr>
        <w:t xml:space="preserve"> </w:t>
      </w:r>
      <w:bookmarkStart w:id="276" w:name="f178"/>
      <w:bookmarkStart w:id="277" w:name="_Hlk14098899"/>
      <w:bookmarkEnd w:id="276"/>
      <w:r>
        <w:fldChar w:fldCharType="begin"/>
      </w:r>
      <w:r>
        <w:instrText xml:space="preserve"> HYPERLINK "https://www.leagle.com/decision/195511174wyo371110" </w:instrText>
      </w:r>
      <w:r>
        <w:fldChar w:fldCharType="separate"/>
      </w:r>
      <w:r w:rsidRPr="007115D3">
        <w:rPr>
          <w:rStyle w:val="Hyperlink"/>
          <w:rFonts w:ascii="Times New Roman" w:hAnsi="Times New Roman" w:cs="Times New Roman"/>
        </w:rPr>
        <w:t>283 P.2d 1005</w:t>
      </w:r>
      <w:r>
        <w:rPr>
          <w:rStyle w:val="Hyperlink"/>
          <w:rFonts w:ascii="Times New Roman" w:hAnsi="Times New Roman" w:cs="Times New Roman"/>
        </w:rPr>
        <w:fldChar w:fldCharType="end"/>
      </w:r>
      <w:r w:rsidRPr="001843E2">
        <w:rPr>
          <w:rFonts w:ascii="Times New Roman" w:hAnsi="Times New Roman" w:cs="Times New Roman"/>
        </w:rPr>
        <w:t xml:space="preserve"> </w:t>
      </w:r>
      <w:bookmarkEnd w:id="277"/>
      <w:r w:rsidRPr="001843E2">
        <w:rPr>
          <w:rFonts w:ascii="Times New Roman" w:hAnsi="Times New Roman" w:cs="Times New Roman"/>
        </w:rPr>
        <w:t>(Wyo. 1955)</w:t>
      </w:r>
    </w:p>
  </w:footnote>
  <w:footnote w:id="193">
    <w:p w14:paraId="58C530E0" w14:textId="2817371F" w:rsidR="00336EDF" w:rsidRDefault="00336EDF">
      <w:pPr>
        <w:pStyle w:val="FootnoteText"/>
      </w:pPr>
      <w:r w:rsidRPr="00792E39">
        <w:rPr>
          <w:rStyle w:val="FootnoteReference"/>
          <w:rFonts w:ascii="Times New Roman" w:hAnsi="Times New Roman" w:cs="Times New Roman"/>
        </w:rPr>
        <w:footnoteRef/>
      </w:r>
      <w:r w:rsidRPr="000A6A26">
        <w:rPr>
          <w:i/>
        </w:rPr>
        <w:t xml:space="preserve"> </w:t>
      </w:r>
      <w:bookmarkStart w:id="278" w:name="f179"/>
      <w:bookmarkEnd w:id="278"/>
      <w:r w:rsidRPr="000A6A26">
        <w:rPr>
          <w:rFonts w:ascii="Times New Roman" w:hAnsi="Times New Roman" w:cs="Times New Roman"/>
          <w:i/>
        </w:rPr>
        <w:t>Id</w:t>
      </w:r>
      <w:r w:rsidRPr="000A6A26">
        <w:rPr>
          <w:rFonts w:ascii="Times New Roman" w:hAnsi="Times New Roman" w:cs="Times New Roman"/>
        </w:rPr>
        <w:t>. at 1006</w:t>
      </w:r>
    </w:p>
  </w:footnote>
  <w:footnote w:id="194">
    <w:p w14:paraId="1707EEA7" w14:textId="77777777" w:rsidR="00336EDF" w:rsidRDefault="00336EDF" w:rsidP="00A06667">
      <w:pPr>
        <w:pStyle w:val="FootnoteText"/>
      </w:pPr>
      <w:r w:rsidRPr="00792E39">
        <w:rPr>
          <w:rStyle w:val="FootnoteReference"/>
          <w:rFonts w:ascii="Times New Roman" w:hAnsi="Times New Roman" w:cs="Times New Roman"/>
        </w:rPr>
        <w:footnoteRef/>
      </w:r>
      <w:r w:rsidRPr="00792E39">
        <w:rPr>
          <w:rStyle w:val="FootnoteReference"/>
          <w:rFonts w:ascii="Times New Roman" w:hAnsi="Times New Roman" w:cs="Times New Roman"/>
        </w:rPr>
        <w:t xml:space="preserve"> </w:t>
      </w:r>
      <w:bookmarkStart w:id="279" w:name="f180"/>
      <w:bookmarkEnd w:id="279"/>
      <w:r w:rsidRPr="000A6A26">
        <w:rPr>
          <w:rFonts w:ascii="Times New Roman" w:hAnsi="Times New Roman" w:cs="Times New Roman"/>
          <w:i/>
        </w:rPr>
        <w:t>Id</w:t>
      </w:r>
      <w:r w:rsidRPr="000A6A26">
        <w:rPr>
          <w:rFonts w:ascii="Times New Roman" w:hAnsi="Times New Roman" w:cs="Times New Roman"/>
        </w:rPr>
        <w:t>. at 1007-1009</w:t>
      </w:r>
    </w:p>
  </w:footnote>
  <w:footnote w:id="195">
    <w:p w14:paraId="0C2FB06C" w14:textId="456BB36F" w:rsidR="00336EDF" w:rsidRDefault="00336EDF">
      <w:pPr>
        <w:pStyle w:val="FootnoteText"/>
      </w:pPr>
      <w:r w:rsidRPr="00792E39">
        <w:rPr>
          <w:rStyle w:val="FootnoteReference"/>
          <w:rFonts w:ascii="Times New Roman" w:hAnsi="Times New Roman" w:cs="Times New Roman"/>
        </w:rPr>
        <w:footnoteRef/>
      </w:r>
      <w:r>
        <w:t xml:space="preserve"> </w:t>
      </w:r>
      <w:bookmarkStart w:id="280" w:name="f181"/>
      <w:bookmarkEnd w:id="280"/>
      <w:r w:rsidRPr="00A06667">
        <w:rPr>
          <w:rFonts w:ascii="Times New Roman" w:hAnsi="Times New Roman" w:cs="Times New Roman"/>
          <w:i/>
        </w:rPr>
        <w:t>Id.</w:t>
      </w:r>
    </w:p>
  </w:footnote>
  <w:footnote w:id="196">
    <w:p w14:paraId="0B014057" w14:textId="4630175C" w:rsidR="00336EDF" w:rsidRDefault="00336EDF" w:rsidP="007115D3">
      <w:pPr>
        <w:pStyle w:val="FootnoteText"/>
        <w:jc w:val="both"/>
      </w:pPr>
      <w:r w:rsidRPr="00792E39">
        <w:rPr>
          <w:rStyle w:val="FootnoteReference"/>
          <w:rFonts w:ascii="Times New Roman" w:hAnsi="Times New Roman" w:cs="Times New Roman"/>
        </w:rPr>
        <w:footnoteRef/>
      </w:r>
      <w:r w:rsidRPr="00792E39">
        <w:rPr>
          <w:rStyle w:val="FootnoteReference"/>
          <w:rFonts w:ascii="Times New Roman" w:hAnsi="Times New Roman" w:cs="Times New Roman"/>
        </w:rPr>
        <w:t xml:space="preserve"> </w:t>
      </w:r>
      <w:bookmarkStart w:id="281" w:name="f182"/>
      <w:bookmarkEnd w:id="281"/>
      <w:r w:rsidRPr="00A06667">
        <w:rPr>
          <w:rFonts w:ascii="Times New Roman" w:hAnsi="Times New Roman" w:cs="Times New Roman"/>
        </w:rPr>
        <w:t xml:space="preserve">District courts </w:t>
      </w:r>
      <w:r>
        <w:rPr>
          <w:rFonts w:ascii="Times New Roman" w:hAnsi="Times New Roman" w:cs="Times New Roman"/>
        </w:rPr>
        <w:t>were direct fact finders in</w:t>
      </w:r>
      <w:r w:rsidRPr="00A06667">
        <w:rPr>
          <w:rFonts w:ascii="Times New Roman" w:hAnsi="Times New Roman" w:cs="Times New Roman"/>
        </w:rPr>
        <w:t xml:space="preserve"> workers’ compensation cases under prior versions of the Wyoming </w:t>
      </w:r>
      <w:r>
        <w:rPr>
          <w:rFonts w:ascii="Times New Roman" w:hAnsi="Times New Roman" w:cs="Times New Roman"/>
        </w:rPr>
        <w:t xml:space="preserve">workers’ compensation </w:t>
      </w:r>
      <w:r w:rsidRPr="00A06667">
        <w:rPr>
          <w:rFonts w:ascii="Times New Roman" w:hAnsi="Times New Roman" w:cs="Times New Roman"/>
        </w:rPr>
        <w:t>statute.</w:t>
      </w:r>
      <w:r>
        <w:rPr>
          <w:rFonts w:ascii="Times New Roman" w:hAnsi="Times New Roman" w:cs="Times New Roman"/>
        </w:rPr>
        <w:t xml:space="preserve"> </w:t>
      </w:r>
      <w:r w:rsidRPr="007115D3">
        <w:rPr>
          <w:rFonts w:ascii="Times New Roman" w:hAnsi="Times New Roman" w:cs="Times New Roman"/>
          <w:i/>
          <w:iCs/>
        </w:rPr>
        <w:t>See infra</w:t>
      </w:r>
      <w:r>
        <w:rPr>
          <w:rFonts w:ascii="Times New Roman" w:hAnsi="Times New Roman" w:cs="Times New Roman"/>
        </w:rPr>
        <w:t>.</w:t>
      </w:r>
    </w:p>
  </w:footnote>
  <w:footnote w:id="197">
    <w:p w14:paraId="59809BDB" w14:textId="674A024D" w:rsidR="00336EDF" w:rsidRDefault="00336EDF">
      <w:pPr>
        <w:pStyle w:val="FootnoteText"/>
      </w:pPr>
      <w:r w:rsidRPr="00792E39">
        <w:rPr>
          <w:rStyle w:val="FootnoteReference"/>
          <w:rFonts w:ascii="Times New Roman" w:hAnsi="Times New Roman" w:cs="Times New Roman"/>
        </w:rPr>
        <w:footnoteRef/>
      </w:r>
      <w:r w:rsidRPr="00792E39">
        <w:rPr>
          <w:rStyle w:val="FootnoteReference"/>
          <w:rFonts w:ascii="Times New Roman" w:hAnsi="Times New Roman" w:cs="Times New Roman"/>
        </w:rPr>
        <w:t xml:space="preserve"> </w:t>
      </w:r>
      <w:bookmarkStart w:id="282" w:name="f183"/>
      <w:bookmarkEnd w:id="282"/>
      <w:r w:rsidRPr="00A06667">
        <w:rPr>
          <w:rFonts w:ascii="Times New Roman" w:hAnsi="Times New Roman" w:cs="Times New Roman"/>
        </w:rPr>
        <w:t xml:space="preserve">Carey, </w:t>
      </w:r>
      <w:r w:rsidRPr="000172AB">
        <w:rPr>
          <w:rFonts w:ascii="Times New Roman" w:hAnsi="Times New Roman" w:cs="Times New Roman"/>
          <w:i/>
          <w:iCs/>
        </w:rPr>
        <w:t>supra</w:t>
      </w:r>
      <w:r w:rsidRPr="00A06667">
        <w:rPr>
          <w:rFonts w:ascii="Times New Roman" w:hAnsi="Times New Roman" w:cs="Times New Roman"/>
        </w:rPr>
        <w:t>., 283 P2d at 1006</w:t>
      </w:r>
    </w:p>
  </w:footnote>
  <w:footnote w:id="198">
    <w:p w14:paraId="10129235" w14:textId="552A7D11" w:rsidR="00336EDF" w:rsidRDefault="00336EDF">
      <w:pPr>
        <w:pStyle w:val="FootnoteText"/>
      </w:pPr>
      <w:r w:rsidRPr="00792E39">
        <w:rPr>
          <w:rStyle w:val="FootnoteReference"/>
          <w:rFonts w:ascii="Times New Roman" w:hAnsi="Times New Roman" w:cs="Times New Roman"/>
        </w:rPr>
        <w:footnoteRef/>
      </w:r>
      <w:bookmarkStart w:id="283" w:name="f184"/>
      <w:bookmarkEnd w:id="283"/>
      <w:r w:rsidRPr="00792E39">
        <w:rPr>
          <w:rStyle w:val="FootnoteReference"/>
          <w:rFonts w:ascii="Times New Roman" w:hAnsi="Times New Roman" w:cs="Times New Roman"/>
        </w:rPr>
        <w:t xml:space="preserve"> </w:t>
      </w:r>
      <w:r w:rsidRPr="000F015B">
        <w:rPr>
          <w:rFonts w:ascii="Times New Roman" w:hAnsi="Times New Roman" w:cs="Times New Roman"/>
          <w:i/>
        </w:rPr>
        <w:t xml:space="preserve">Id. </w:t>
      </w:r>
      <w:r w:rsidRPr="000F015B">
        <w:rPr>
          <w:rFonts w:ascii="Times New Roman" w:hAnsi="Times New Roman" w:cs="Times New Roman"/>
        </w:rPr>
        <w:t>at 1009</w:t>
      </w:r>
    </w:p>
  </w:footnote>
  <w:footnote w:id="199">
    <w:p w14:paraId="41817D52" w14:textId="6C327182" w:rsidR="00336EDF" w:rsidRPr="00792E39" w:rsidRDefault="00336EDF" w:rsidP="000C7114">
      <w:pPr>
        <w:pStyle w:val="FootnoteText"/>
        <w:jc w:val="both"/>
        <w:rPr>
          <w:rFonts w:ascii="Times New Roman" w:hAnsi="Times New Roman" w:cs="Times New Roman"/>
        </w:rPr>
      </w:pPr>
      <w:r w:rsidRPr="00792E39">
        <w:rPr>
          <w:rStyle w:val="FootnoteReference"/>
          <w:rFonts w:ascii="Times New Roman" w:hAnsi="Times New Roman" w:cs="Times New Roman"/>
        </w:rPr>
        <w:footnoteRef/>
      </w:r>
      <w:r w:rsidRPr="00792E39">
        <w:rPr>
          <w:rStyle w:val="FootnoteReference"/>
          <w:rFonts w:ascii="Times New Roman" w:hAnsi="Times New Roman" w:cs="Times New Roman"/>
        </w:rPr>
        <w:t xml:space="preserve"> </w:t>
      </w:r>
      <w:bookmarkStart w:id="285" w:name="f185"/>
      <w:bookmarkEnd w:id="285"/>
      <w:r w:rsidRPr="00792E39">
        <w:rPr>
          <w:rFonts w:ascii="Times New Roman" w:hAnsi="Times New Roman" w:cs="Times New Roman"/>
        </w:rPr>
        <w:t>This interpretation would come close to Virginia’s use of the actual risk test</w:t>
      </w:r>
      <w:r>
        <w:rPr>
          <w:rFonts w:ascii="Times New Roman" w:hAnsi="Times New Roman" w:cs="Times New Roman"/>
        </w:rPr>
        <w:t xml:space="preserve">. </w:t>
      </w:r>
      <w:r w:rsidRPr="000C7114">
        <w:rPr>
          <w:rFonts w:ascii="Times New Roman" w:hAnsi="Times New Roman" w:cs="Times New Roman"/>
          <w:i/>
        </w:rPr>
        <w:t>See e.g.</w:t>
      </w:r>
      <w:r>
        <w:rPr>
          <w:rFonts w:ascii="Times New Roman" w:hAnsi="Times New Roman" w:cs="Times New Roman"/>
        </w:rPr>
        <w:t xml:space="preserve"> </w:t>
      </w:r>
      <w:r w:rsidRPr="000C7114">
        <w:rPr>
          <w:rFonts w:ascii="Times New Roman" w:hAnsi="Times New Roman" w:cs="Times New Roman"/>
        </w:rPr>
        <w:t>Southside Virginia Training Center v. Ellis</w:t>
      </w:r>
      <w:r>
        <w:rPr>
          <w:rFonts w:ascii="Times New Roman" w:hAnsi="Times New Roman" w:cs="Times New Roman"/>
        </w:rPr>
        <w:t xml:space="preserve">, </w:t>
      </w:r>
      <w:hyperlink r:id="rId95" w:history="1">
        <w:r w:rsidRPr="007115D3">
          <w:rPr>
            <w:rStyle w:val="Hyperlink"/>
            <w:rFonts w:ascii="Times New Roman" w:hAnsi="Times New Roman" w:cs="Times New Roman"/>
          </w:rPr>
          <w:t>537 S.E.2d 35</w:t>
        </w:r>
      </w:hyperlink>
      <w:r>
        <w:rPr>
          <w:rFonts w:ascii="Times New Roman" w:hAnsi="Times New Roman" w:cs="Times New Roman"/>
        </w:rPr>
        <w:t xml:space="preserve">, 37 (Va. 2000) (“ . . . </w:t>
      </w:r>
      <w:r w:rsidRPr="000C7114">
        <w:rPr>
          <w:rFonts w:ascii="Times New Roman" w:hAnsi="Times New Roman" w:cs="Times New Roman"/>
        </w:rPr>
        <w:t>an injury resulting from merely bending over to do something</w:t>
      </w:r>
      <w:r>
        <w:rPr>
          <w:rFonts w:ascii="Times New Roman" w:hAnsi="Times New Roman" w:cs="Times New Roman"/>
        </w:rPr>
        <w:t xml:space="preserve"> [at work]</w:t>
      </w:r>
      <w:r w:rsidRPr="000C7114">
        <w:rPr>
          <w:rFonts w:ascii="Times New Roman" w:hAnsi="Times New Roman" w:cs="Times New Roman"/>
        </w:rPr>
        <w:t xml:space="preserve"> does not arise out of the employment . . . [because] merely bending over is a risk to which the general public is equally exposed.</w:t>
      </w:r>
      <w:r>
        <w:rPr>
          <w:rFonts w:ascii="Times New Roman" w:hAnsi="Times New Roman" w:cs="Times New Roman"/>
        </w:rPr>
        <w:t xml:space="preserve">”) </w:t>
      </w:r>
    </w:p>
  </w:footnote>
  <w:footnote w:id="200">
    <w:p w14:paraId="08ACC7C4" w14:textId="69CAE525" w:rsidR="00336EDF" w:rsidRDefault="00336EDF">
      <w:pPr>
        <w:pStyle w:val="FootnoteText"/>
      </w:pPr>
      <w:r w:rsidRPr="00041D0E">
        <w:rPr>
          <w:rStyle w:val="FootnoteReference"/>
          <w:rFonts w:ascii="Times New Roman" w:hAnsi="Times New Roman" w:cs="Times New Roman"/>
        </w:rPr>
        <w:footnoteRef/>
      </w:r>
      <w:r w:rsidRPr="00041D0E">
        <w:rPr>
          <w:rStyle w:val="FootnoteReference"/>
          <w:rFonts w:ascii="Times New Roman" w:hAnsi="Times New Roman" w:cs="Times New Roman"/>
        </w:rPr>
        <w:t xml:space="preserve"> </w:t>
      </w:r>
      <w:bookmarkStart w:id="286" w:name="f186"/>
      <w:bookmarkEnd w:id="286"/>
      <w:r>
        <w:fldChar w:fldCharType="begin"/>
      </w:r>
      <w:r>
        <w:instrText xml:space="preserve"> HYPERLINK "https://www.leagle.com/decision/19991480973p2d50711479" </w:instrText>
      </w:r>
      <w:r>
        <w:fldChar w:fldCharType="separate"/>
      </w:r>
      <w:r w:rsidRPr="007115D3">
        <w:rPr>
          <w:rStyle w:val="Hyperlink"/>
          <w:rFonts w:ascii="Times New Roman" w:hAnsi="Times New Roman" w:cs="Times New Roman"/>
        </w:rPr>
        <w:t>973 P.2d 507</w:t>
      </w:r>
      <w:r>
        <w:rPr>
          <w:rStyle w:val="Hyperlink"/>
          <w:rFonts w:ascii="Times New Roman" w:hAnsi="Times New Roman" w:cs="Times New Roman"/>
        </w:rPr>
        <w:fldChar w:fldCharType="end"/>
      </w:r>
      <w:r w:rsidRPr="00041D0E">
        <w:rPr>
          <w:rFonts w:ascii="Times New Roman" w:hAnsi="Times New Roman" w:cs="Times New Roman"/>
        </w:rPr>
        <w:t xml:space="preserve"> (Wyo. 1999)</w:t>
      </w:r>
    </w:p>
  </w:footnote>
  <w:footnote w:id="201">
    <w:p w14:paraId="7D081079" w14:textId="0DA85500" w:rsidR="00336EDF" w:rsidRDefault="00336EDF">
      <w:pPr>
        <w:pStyle w:val="FootnoteText"/>
      </w:pPr>
      <w:r w:rsidRPr="00CD2C88">
        <w:rPr>
          <w:rStyle w:val="FootnoteReference"/>
          <w:rFonts w:ascii="Times New Roman" w:hAnsi="Times New Roman" w:cs="Times New Roman"/>
        </w:rPr>
        <w:footnoteRef/>
      </w:r>
      <w:r>
        <w:t xml:space="preserve"> </w:t>
      </w:r>
      <w:bookmarkStart w:id="287" w:name="f187"/>
      <w:bookmarkEnd w:id="287"/>
      <w:r w:rsidRPr="00CD2C88">
        <w:rPr>
          <w:rFonts w:ascii="Times New Roman" w:hAnsi="Times New Roman" w:cs="Times New Roman"/>
          <w:i/>
        </w:rPr>
        <w:t>Id</w:t>
      </w:r>
      <w:r w:rsidRPr="00CD2C88">
        <w:rPr>
          <w:rFonts w:ascii="Times New Roman" w:hAnsi="Times New Roman" w:cs="Times New Roman"/>
        </w:rPr>
        <w:t>. at 508</w:t>
      </w:r>
    </w:p>
  </w:footnote>
  <w:footnote w:id="202">
    <w:p w14:paraId="19EF8A6D" w14:textId="339F882D" w:rsidR="00336EDF" w:rsidRDefault="00336EDF">
      <w:pPr>
        <w:pStyle w:val="FootnoteText"/>
      </w:pPr>
      <w:r w:rsidRPr="00CD2C88">
        <w:rPr>
          <w:rStyle w:val="FootnoteReference"/>
          <w:rFonts w:ascii="Times New Roman" w:hAnsi="Times New Roman" w:cs="Times New Roman"/>
        </w:rPr>
        <w:footnoteRef/>
      </w:r>
      <w:r w:rsidRPr="00CD2C88">
        <w:rPr>
          <w:rStyle w:val="FootnoteReference"/>
          <w:rFonts w:ascii="Times New Roman" w:hAnsi="Times New Roman" w:cs="Times New Roman"/>
        </w:rPr>
        <w:t xml:space="preserve"> </w:t>
      </w:r>
      <w:bookmarkStart w:id="288" w:name="f188"/>
      <w:bookmarkEnd w:id="288"/>
      <w:r w:rsidRPr="00CD2C88">
        <w:rPr>
          <w:rFonts w:ascii="Times New Roman" w:hAnsi="Times New Roman" w:cs="Times New Roman"/>
          <w:i/>
        </w:rPr>
        <w:t>Id.</w:t>
      </w:r>
    </w:p>
  </w:footnote>
  <w:footnote w:id="203">
    <w:p w14:paraId="57540F43" w14:textId="280835D7" w:rsidR="00336EDF" w:rsidRDefault="00336EDF">
      <w:pPr>
        <w:pStyle w:val="FootnoteText"/>
      </w:pPr>
      <w:r w:rsidRPr="00C83A4D">
        <w:rPr>
          <w:rStyle w:val="FootnoteReference"/>
          <w:rFonts w:ascii="Times New Roman" w:hAnsi="Times New Roman" w:cs="Times New Roman"/>
        </w:rPr>
        <w:footnoteRef/>
      </w:r>
      <w:r>
        <w:t xml:space="preserve"> </w:t>
      </w:r>
      <w:bookmarkStart w:id="289" w:name="f189"/>
      <w:bookmarkEnd w:id="289"/>
      <w:r w:rsidRPr="00C83A4D">
        <w:rPr>
          <w:rFonts w:ascii="Times New Roman" w:hAnsi="Times New Roman" w:cs="Times New Roman"/>
          <w:i/>
        </w:rPr>
        <w:t>Id.</w:t>
      </w:r>
    </w:p>
  </w:footnote>
  <w:footnote w:id="204">
    <w:p w14:paraId="3D425218" w14:textId="64C4B65E" w:rsidR="00336EDF" w:rsidRDefault="00336EDF">
      <w:pPr>
        <w:pStyle w:val="FootnoteText"/>
      </w:pPr>
      <w:r w:rsidRPr="00CD2C88">
        <w:rPr>
          <w:rStyle w:val="FootnoteReference"/>
          <w:rFonts w:ascii="Times New Roman" w:hAnsi="Times New Roman" w:cs="Times New Roman"/>
        </w:rPr>
        <w:footnoteRef/>
      </w:r>
      <w:r w:rsidRPr="00CD2C88">
        <w:rPr>
          <w:rStyle w:val="FootnoteReference"/>
          <w:rFonts w:ascii="Times New Roman" w:hAnsi="Times New Roman" w:cs="Times New Roman"/>
        </w:rPr>
        <w:t xml:space="preserve"> </w:t>
      </w:r>
      <w:bookmarkStart w:id="290" w:name="f190"/>
      <w:bookmarkEnd w:id="290"/>
      <w:r w:rsidRPr="00CD2C88">
        <w:rPr>
          <w:rFonts w:ascii="Times New Roman" w:hAnsi="Times New Roman" w:cs="Times New Roman"/>
          <w:i/>
        </w:rPr>
        <w:t>Id.</w:t>
      </w:r>
    </w:p>
  </w:footnote>
  <w:footnote w:id="205">
    <w:p w14:paraId="0CE7A395" w14:textId="1AEF362B" w:rsidR="00336EDF" w:rsidRDefault="00336EDF">
      <w:pPr>
        <w:pStyle w:val="FootnoteText"/>
      </w:pPr>
      <w:r w:rsidRPr="00041D0E">
        <w:rPr>
          <w:rStyle w:val="FootnoteReference"/>
          <w:rFonts w:ascii="Times New Roman" w:hAnsi="Times New Roman" w:cs="Times New Roman"/>
        </w:rPr>
        <w:footnoteRef/>
      </w:r>
      <w:r>
        <w:t xml:space="preserve"> </w:t>
      </w:r>
      <w:bookmarkStart w:id="291" w:name="f191"/>
      <w:bookmarkEnd w:id="291"/>
      <w:r w:rsidRPr="00041D0E">
        <w:rPr>
          <w:rFonts w:ascii="Times New Roman" w:hAnsi="Times New Roman" w:cs="Times New Roman"/>
          <w:i/>
        </w:rPr>
        <w:t>Id</w:t>
      </w:r>
      <w:r w:rsidRPr="00041D0E">
        <w:rPr>
          <w:rFonts w:ascii="Times New Roman" w:hAnsi="Times New Roman" w:cs="Times New Roman"/>
        </w:rPr>
        <w:t>. at 509</w:t>
      </w:r>
    </w:p>
  </w:footnote>
  <w:footnote w:id="206">
    <w:p w14:paraId="61E14F11" w14:textId="38AEFD75" w:rsidR="00336EDF" w:rsidRDefault="00336EDF">
      <w:pPr>
        <w:pStyle w:val="FootnoteText"/>
      </w:pPr>
      <w:r w:rsidRPr="00E1414D">
        <w:rPr>
          <w:rStyle w:val="FootnoteReference"/>
          <w:rFonts w:ascii="Times New Roman" w:hAnsi="Times New Roman" w:cs="Times New Roman"/>
        </w:rPr>
        <w:footnoteRef/>
      </w:r>
      <w:r>
        <w:t xml:space="preserve"> </w:t>
      </w:r>
      <w:bookmarkStart w:id="292" w:name="f192"/>
      <w:bookmarkEnd w:id="292"/>
      <w:r w:rsidRPr="00E1414D">
        <w:rPr>
          <w:rFonts w:ascii="Times New Roman" w:hAnsi="Times New Roman" w:cs="Times New Roman"/>
          <w:i/>
        </w:rPr>
        <w:t>Id.</w:t>
      </w:r>
      <w:r>
        <w:t xml:space="preserve"> </w:t>
      </w:r>
      <w:r w:rsidRPr="00E1414D">
        <w:rPr>
          <w:rFonts w:ascii="Times New Roman" w:hAnsi="Times New Roman" w:cs="Times New Roman"/>
        </w:rPr>
        <w:t>at 510</w:t>
      </w:r>
    </w:p>
  </w:footnote>
  <w:footnote w:id="207">
    <w:p w14:paraId="505F48D3" w14:textId="584B0268" w:rsidR="00336EDF" w:rsidRDefault="00336EDF">
      <w:pPr>
        <w:pStyle w:val="FootnoteText"/>
      </w:pPr>
      <w:r w:rsidRPr="005F2864">
        <w:rPr>
          <w:rStyle w:val="FootnoteReference"/>
          <w:rFonts w:ascii="Times New Roman" w:hAnsi="Times New Roman" w:cs="Times New Roman"/>
        </w:rPr>
        <w:footnoteRef/>
      </w:r>
      <w:r w:rsidRPr="005F2864">
        <w:rPr>
          <w:rStyle w:val="FootnoteReference"/>
          <w:rFonts w:ascii="Times New Roman" w:hAnsi="Times New Roman" w:cs="Times New Roman"/>
        </w:rPr>
        <w:t xml:space="preserve"> </w:t>
      </w:r>
      <w:bookmarkStart w:id="293" w:name="f193"/>
      <w:bookmarkEnd w:id="293"/>
      <w:r w:rsidRPr="005F2864">
        <w:rPr>
          <w:rFonts w:ascii="Times New Roman" w:hAnsi="Times New Roman" w:cs="Times New Roman"/>
          <w:i/>
        </w:rPr>
        <w:t>Id.</w:t>
      </w:r>
      <w:r>
        <w:t xml:space="preserve"> </w:t>
      </w:r>
      <w:r w:rsidRPr="005F2864">
        <w:rPr>
          <w:rFonts w:ascii="Times New Roman" w:hAnsi="Times New Roman" w:cs="Times New Roman"/>
        </w:rPr>
        <w:t>at 511</w:t>
      </w:r>
    </w:p>
  </w:footnote>
  <w:footnote w:id="208">
    <w:p w14:paraId="3583789F" w14:textId="7D5A5B83" w:rsidR="00336EDF" w:rsidRDefault="00336EDF" w:rsidP="00267155">
      <w:pPr>
        <w:pStyle w:val="FootnoteText"/>
        <w:jc w:val="both"/>
      </w:pPr>
      <w:r w:rsidRPr="00792E39">
        <w:rPr>
          <w:rStyle w:val="FootnoteReference"/>
          <w:rFonts w:ascii="Times New Roman" w:hAnsi="Times New Roman" w:cs="Times New Roman"/>
        </w:rPr>
        <w:footnoteRef/>
      </w:r>
      <w:bookmarkStart w:id="295" w:name="f194"/>
      <w:bookmarkEnd w:id="295"/>
      <w:r w:rsidRPr="00431484">
        <w:rPr>
          <w:rStyle w:val="FootnoteReference"/>
          <w:rFonts w:ascii="Times New Roman" w:hAnsi="Times New Roman" w:cs="Times New Roman"/>
          <w:sz w:val="22"/>
          <w:szCs w:val="22"/>
        </w:rPr>
        <w:t xml:space="preserve"> </w:t>
      </w:r>
      <w:bookmarkStart w:id="296" w:name="_Hlk517363992"/>
      <w:r>
        <w:rPr>
          <w:rFonts w:ascii="Times New Roman" w:hAnsi="Times New Roman" w:cs="Times New Roman"/>
        </w:rPr>
        <w:t xml:space="preserve">1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4</w:t>
      </w:r>
      <w:r w:rsidRPr="00B93977">
        <w:rPr>
          <w:rFonts w:ascii="Times New Roman" w:hAnsi="Times New Roman" w:cs="Times New Roman"/>
        </w:rPr>
        <w:t>.0</w:t>
      </w:r>
      <w:r>
        <w:rPr>
          <w:rFonts w:ascii="Times New Roman" w:hAnsi="Times New Roman" w:cs="Times New Roman"/>
        </w:rPr>
        <w:t>2</w:t>
      </w:r>
      <w:bookmarkEnd w:id="296"/>
      <w:r>
        <w:rPr>
          <w:rFonts w:ascii="Times New Roman" w:hAnsi="Times New Roman" w:cs="Times New Roman"/>
        </w:rPr>
        <w:t xml:space="preserve">; LaTourette v. Workers’ Compensation Appeals Board, </w:t>
      </w:r>
      <w:hyperlink r:id="rId96" w:history="1">
        <w:r w:rsidRPr="00461297">
          <w:rPr>
            <w:rStyle w:val="Hyperlink"/>
            <w:rFonts w:ascii="Times New Roman" w:hAnsi="Times New Roman" w:cs="Times New Roman"/>
          </w:rPr>
          <w:t>951 P.2d 1184</w:t>
        </w:r>
      </w:hyperlink>
      <w:r>
        <w:rPr>
          <w:rFonts w:ascii="Times New Roman" w:hAnsi="Times New Roman" w:cs="Times New Roman"/>
        </w:rPr>
        <w:t xml:space="preserve"> (Cal. 1998); </w:t>
      </w:r>
      <w:r w:rsidRPr="003B0233">
        <w:rPr>
          <w:rFonts w:ascii="Times New Roman" w:hAnsi="Times New Roman" w:cs="Times New Roman"/>
        </w:rPr>
        <w:t>Voeller v. HSBC Card Services, Inc.</w:t>
      </w:r>
      <w:r>
        <w:rPr>
          <w:rFonts w:ascii="Times New Roman" w:hAnsi="Times New Roman" w:cs="Times New Roman"/>
        </w:rPr>
        <w:t xml:space="preserve">, </w:t>
      </w:r>
      <w:hyperlink r:id="rId97" w:history="1">
        <w:r w:rsidRPr="00461297">
          <w:rPr>
            <w:rStyle w:val="Hyperlink"/>
            <w:rFonts w:ascii="Times New Roman" w:hAnsi="Times New Roman" w:cs="Times New Roman"/>
          </w:rPr>
          <w:t>834 N.W.2d 839</w:t>
        </w:r>
      </w:hyperlink>
      <w:r>
        <w:rPr>
          <w:rFonts w:ascii="Times New Roman" w:hAnsi="Times New Roman" w:cs="Times New Roman"/>
        </w:rPr>
        <w:t xml:space="preserve">, 844-45 (S.D. 2013). For a good discussion of “gray area cases” injuries </w:t>
      </w:r>
      <w:r w:rsidRPr="00EE01BC">
        <w:rPr>
          <w:rFonts w:ascii="Times New Roman" w:hAnsi="Times New Roman" w:cs="Times New Roman"/>
          <w:i/>
          <w:iCs/>
        </w:rPr>
        <w:t xml:space="preserve">see </w:t>
      </w:r>
      <w:r>
        <w:rPr>
          <w:rFonts w:ascii="Times New Roman" w:hAnsi="Times New Roman" w:cs="Times New Roman"/>
        </w:rPr>
        <w:t xml:space="preserve">Emily A. Spieler and John F. Burton, </w:t>
      </w:r>
      <w:r w:rsidRPr="00EE01BC">
        <w:rPr>
          <w:rFonts w:ascii="Times New Roman" w:hAnsi="Times New Roman" w:cs="Times New Roman"/>
          <w:i/>
          <w:iCs/>
        </w:rPr>
        <w:t xml:space="preserve">The Lack of Correspondence Between Work-Related Disability and </w:t>
      </w:r>
      <w:r>
        <w:rPr>
          <w:rFonts w:ascii="Times New Roman" w:hAnsi="Times New Roman" w:cs="Times New Roman"/>
          <w:i/>
          <w:iCs/>
        </w:rPr>
        <w:t>R</w:t>
      </w:r>
      <w:r w:rsidRPr="00EE01BC">
        <w:rPr>
          <w:rFonts w:ascii="Times New Roman" w:hAnsi="Times New Roman" w:cs="Times New Roman"/>
          <w:i/>
          <w:iCs/>
        </w:rPr>
        <w:t>eceipt of Workers’ Compensation Benefits</w:t>
      </w:r>
      <w:r>
        <w:rPr>
          <w:rFonts w:ascii="Times New Roman" w:hAnsi="Times New Roman" w:cs="Times New Roman"/>
        </w:rPr>
        <w:t xml:space="preserve">, 55 </w:t>
      </w:r>
      <w:r w:rsidRPr="00EE01BC">
        <w:rPr>
          <w:rFonts w:ascii="Times New Roman" w:hAnsi="Times New Roman" w:cs="Times New Roman"/>
          <w:smallCaps/>
        </w:rPr>
        <w:t>American J. of Industrial Medicine</w:t>
      </w:r>
      <w:r>
        <w:rPr>
          <w:rFonts w:ascii="Times New Roman" w:hAnsi="Times New Roman" w:cs="Times New Roman"/>
        </w:rPr>
        <w:t xml:space="preserve">, 487, 500 (2012) </w:t>
      </w:r>
    </w:p>
  </w:footnote>
  <w:footnote w:id="209">
    <w:p w14:paraId="1ECBCD21" w14:textId="54FC362D" w:rsidR="00336EDF" w:rsidRDefault="00336EDF">
      <w:pPr>
        <w:pStyle w:val="FootnoteText"/>
      </w:pPr>
      <w:r w:rsidRPr="00792E39">
        <w:rPr>
          <w:rStyle w:val="FootnoteReference"/>
          <w:rFonts w:ascii="Times New Roman" w:hAnsi="Times New Roman" w:cs="Times New Roman"/>
        </w:rPr>
        <w:footnoteRef/>
      </w:r>
      <w:bookmarkStart w:id="297" w:name="f195"/>
      <w:bookmarkEnd w:id="297"/>
      <w:r w:rsidRPr="00792E39">
        <w:rPr>
          <w:rStyle w:val="FootnoteReference"/>
          <w:rFonts w:ascii="Times New Roman" w:hAnsi="Times New Roman" w:cs="Times New Roman"/>
        </w:rPr>
        <w:t xml:space="preserve"> </w:t>
      </w:r>
      <w:r>
        <w:rPr>
          <w:rFonts w:ascii="Times New Roman" w:hAnsi="Times New Roman" w:cs="Times New Roman"/>
        </w:rPr>
        <w:t xml:space="preserve">1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4</w:t>
      </w:r>
      <w:r w:rsidRPr="00B93977">
        <w:rPr>
          <w:rFonts w:ascii="Times New Roman" w:hAnsi="Times New Roman" w:cs="Times New Roman"/>
        </w:rPr>
        <w:t>.0</w:t>
      </w:r>
      <w:r>
        <w:rPr>
          <w:rFonts w:ascii="Times New Roman" w:hAnsi="Times New Roman" w:cs="Times New Roman"/>
        </w:rPr>
        <w:t>4</w:t>
      </w:r>
    </w:p>
  </w:footnote>
  <w:footnote w:id="210">
    <w:p w14:paraId="56A09B1C" w14:textId="20244D51" w:rsidR="00336EDF" w:rsidRDefault="00336EDF">
      <w:pPr>
        <w:pStyle w:val="FootnoteText"/>
      </w:pPr>
      <w:r w:rsidRPr="002B621D">
        <w:rPr>
          <w:rStyle w:val="FootnoteReference"/>
          <w:rFonts w:ascii="Times New Roman" w:hAnsi="Times New Roman" w:cs="Times New Roman"/>
        </w:rPr>
        <w:footnoteRef/>
      </w:r>
      <w:r w:rsidRPr="002B621D">
        <w:rPr>
          <w:rStyle w:val="FootnoteReference"/>
          <w:rFonts w:ascii="Times New Roman" w:hAnsi="Times New Roman" w:cs="Times New Roman"/>
        </w:rPr>
        <w:t xml:space="preserve"> </w:t>
      </w:r>
      <w:bookmarkStart w:id="299" w:name="f196"/>
      <w:bookmarkEnd w:id="299"/>
      <w:r w:rsidRPr="002B621D">
        <w:rPr>
          <w:rFonts w:ascii="Times New Roman" w:hAnsi="Times New Roman" w:cs="Times New Roman"/>
        </w:rPr>
        <w:t xml:space="preserve">Bruhn, </w:t>
      </w:r>
      <w:r w:rsidRPr="002B621D">
        <w:rPr>
          <w:rFonts w:ascii="Times New Roman" w:hAnsi="Times New Roman" w:cs="Times New Roman"/>
          <w:i/>
        </w:rPr>
        <w:t>supra</w:t>
      </w:r>
      <w:r w:rsidRPr="002B621D">
        <w:rPr>
          <w:rFonts w:ascii="Times New Roman" w:hAnsi="Times New Roman" w:cs="Times New Roman"/>
        </w:rPr>
        <w:t>., 951 P.2d at 376-77</w:t>
      </w:r>
      <w:r w:rsidRPr="001E672E">
        <w:t xml:space="preserve"> </w:t>
      </w:r>
    </w:p>
  </w:footnote>
  <w:footnote w:id="211">
    <w:p w14:paraId="503C2982" w14:textId="6612B1A2" w:rsidR="00336EDF" w:rsidRPr="00836445" w:rsidRDefault="00336EDF" w:rsidP="00836445">
      <w:pPr>
        <w:pStyle w:val="FootnoteText"/>
        <w:jc w:val="both"/>
        <w:rPr>
          <w:rFonts w:ascii="Times New Roman" w:hAnsi="Times New Roman" w:cs="Times New Roman"/>
        </w:rPr>
      </w:pPr>
      <w:r w:rsidRPr="00836445">
        <w:rPr>
          <w:rStyle w:val="FootnoteReference"/>
          <w:rFonts w:ascii="Times New Roman" w:hAnsi="Times New Roman" w:cs="Times New Roman"/>
        </w:rPr>
        <w:footnoteRef/>
      </w:r>
      <w:bookmarkStart w:id="303" w:name="f197"/>
      <w:bookmarkEnd w:id="303"/>
      <w:r>
        <w:t xml:space="preserve"> </w:t>
      </w:r>
      <w:bookmarkStart w:id="304" w:name="_Hlk517800876"/>
      <w:r w:rsidRPr="00836445">
        <w:rPr>
          <w:rFonts w:ascii="Times New Roman" w:hAnsi="Times New Roman" w:cs="Times New Roman"/>
        </w:rPr>
        <w:t>Sanchez v. Wyoming Workers’ Safety and Compensation Division</w:t>
      </w:r>
      <w:bookmarkEnd w:id="304"/>
      <w:r w:rsidRPr="00836445">
        <w:rPr>
          <w:rFonts w:ascii="Times New Roman" w:hAnsi="Times New Roman" w:cs="Times New Roman"/>
        </w:rPr>
        <w:t xml:space="preserve">, </w:t>
      </w:r>
      <w:hyperlink r:id="rId98" w:history="1">
        <w:r w:rsidRPr="00461297">
          <w:rPr>
            <w:rStyle w:val="Hyperlink"/>
            <w:rFonts w:ascii="Times New Roman" w:hAnsi="Times New Roman" w:cs="Times New Roman"/>
          </w:rPr>
          <w:t>134 P.3d 1255</w:t>
        </w:r>
      </w:hyperlink>
      <w:r w:rsidRPr="00836445">
        <w:rPr>
          <w:rFonts w:ascii="Times New Roman" w:hAnsi="Times New Roman" w:cs="Times New Roman"/>
        </w:rPr>
        <w:t xml:space="preserve"> (Wyo. 2006); Yenne–Tully v. Workers' Safety &amp; Comp. Div., Dept. of Empl., </w:t>
      </w:r>
      <w:hyperlink r:id="rId99" w:history="1">
        <w:r w:rsidRPr="00461297">
          <w:rPr>
            <w:rStyle w:val="Hyperlink"/>
            <w:rFonts w:ascii="Times New Roman" w:hAnsi="Times New Roman" w:cs="Times New Roman"/>
          </w:rPr>
          <w:t>12 P.3d 170</w:t>
        </w:r>
      </w:hyperlink>
      <w:r w:rsidRPr="00836445">
        <w:rPr>
          <w:rFonts w:ascii="Times New Roman" w:hAnsi="Times New Roman" w:cs="Times New Roman"/>
        </w:rPr>
        <w:t>, 172 (Wyo.2000)</w:t>
      </w:r>
    </w:p>
  </w:footnote>
  <w:footnote w:id="212">
    <w:p w14:paraId="220C30E1" w14:textId="3F80804D" w:rsidR="00336EDF" w:rsidRPr="00836445" w:rsidRDefault="00336EDF" w:rsidP="00836445">
      <w:pPr>
        <w:pStyle w:val="FootnoteText"/>
        <w:jc w:val="both"/>
        <w:rPr>
          <w:rFonts w:ascii="Times New Roman" w:hAnsi="Times New Roman" w:cs="Times New Roman"/>
        </w:rPr>
      </w:pPr>
      <w:r w:rsidRPr="00836445">
        <w:rPr>
          <w:rStyle w:val="FootnoteReference"/>
          <w:rFonts w:ascii="Times New Roman" w:hAnsi="Times New Roman" w:cs="Times New Roman"/>
        </w:rPr>
        <w:footnoteRef/>
      </w:r>
      <w:r>
        <w:t xml:space="preserve"> </w:t>
      </w:r>
      <w:bookmarkStart w:id="305" w:name="f198"/>
      <w:bookmarkEnd w:id="305"/>
      <w:r w:rsidRPr="00836445">
        <w:rPr>
          <w:rFonts w:ascii="Times New Roman" w:hAnsi="Times New Roman" w:cs="Times New Roman"/>
        </w:rPr>
        <w:t xml:space="preserve">Sanchez, </w:t>
      </w:r>
      <w:r w:rsidRPr="00836445">
        <w:rPr>
          <w:rFonts w:ascii="Times New Roman" w:hAnsi="Times New Roman" w:cs="Times New Roman"/>
          <w:i/>
        </w:rPr>
        <w:t>supra</w:t>
      </w:r>
      <w:r w:rsidRPr="00836445">
        <w:rPr>
          <w:rFonts w:ascii="Times New Roman" w:hAnsi="Times New Roman" w:cs="Times New Roman"/>
        </w:rPr>
        <w:t xml:space="preserve">. at 1259 </w:t>
      </w:r>
      <w:r w:rsidRPr="00836445">
        <w:rPr>
          <w:rFonts w:ascii="Times New Roman" w:hAnsi="Times New Roman" w:cs="Times New Roman"/>
          <w:i/>
        </w:rPr>
        <w:t>citing</w:t>
      </w:r>
      <w:r w:rsidRPr="00836445">
        <w:rPr>
          <w:rFonts w:ascii="Times New Roman" w:hAnsi="Times New Roman" w:cs="Times New Roman"/>
        </w:rPr>
        <w:t xml:space="preserve"> Sinclair Trucking v. Bailey, </w:t>
      </w:r>
      <w:hyperlink r:id="rId100" w:history="1">
        <w:r w:rsidRPr="00461297">
          <w:rPr>
            <w:rStyle w:val="Hyperlink"/>
            <w:rFonts w:ascii="Times New Roman" w:hAnsi="Times New Roman" w:cs="Times New Roman"/>
          </w:rPr>
          <w:t>848 P.2d 1349</w:t>
        </w:r>
      </w:hyperlink>
      <w:r w:rsidRPr="00836445">
        <w:rPr>
          <w:rFonts w:ascii="Times New Roman" w:hAnsi="Times New Roman" w:cs="Times New Roman"/>
        </w:rPr>
        <w:t xml:space="preserve">, 1353 (Wyo.1993), </w:t>
      </w:r>
      <w:r w:rsidRPr="00836445">
        <w:rPr>
          <w:rFonts w:ascii="Times New Roman" w:hAnsi="Times New Roman" w:cs="Times New Roman"/>
          <w:i/>
        </w:rPr>
        <w:t>overruled on other grounds</w:t>
      </w:r>
      <w:r w:rsidRPr="00836445">
        <w:rPr>
          <w:rFonts w:ascii="Times New Roman" w:hAnsi="Times New Roman" w:cs="Times New Roman"/>
        </w:rPr>
        <w:t xml:space="preserve"> by Newman v.</w:t>
      </w:r>
      <w:r>
        <w:rPr>
          <w:rFonts w:ascii="Times New Roman" w:hAnsi="Times New Roman" w:cs="Times New Roman"/>
        </w:rPr>
        <w:t xml:space="preserve"> </w:t>
      </w:r>
      <w:r w:rsidRPr="00836445">
        <w:rPr>
          <w:rFonts w:ascii="Times New Roman" w:hAnsi="Times New Roman" w:cs="Times New Roman"/>
        </w:rPr>
        <w:t>Workers</w:t>
      </w:r>
      <w:r>
        <w:rPr>
          <w:rFonts w:ascii="Times New Roman" w:hAnsi="Times New Roman" w:cs="Times New Roman"/>
        </w:rPr>
        <w:t xml:space="preserve">’ </w:t>
      </w:r>
      <w:r w:rsidRPr="00836445">
        <w:rPr>
          <w:rFonts w:ascii="Times New Roman" w:hAnsi="Times New Roman" w:cs="Times New Roman"/>
        </w:rPr>
        <w:t>Safety &amp; Comp. Div.,</w:t>
      </w:r>
      <w:r>
        <w:rPr>
          <w:rFonts w:ascii="Times New Roman" w:hAnsi="Times New Roman" w:cs="Times New Roman"/>
        </w:rPr>
        <w:t xml:space="preserve"> </w:t>
      </w:r>
      <w:hyperlink r:id="rId101" w:history="1">
        <w:r w:rsidRPr="00461297">
          <w:rPr>
            <w:rStyle w:val="Hyperlink"/>
            <w:rFonts w:ascii="Times New Roman" w:hAnsi="Times New Roman" w:cs="Times New Roman"/>
          </w:rPr>
          <w:t>49 P.3d 163</w:t>
        </w:r>
      </w:hyperlink>
      <w:r w:rsidRPr="00836445">
        <w:rPr>
          <w:rFonts w:ascii="Times New Roman" w:hAnsi="Times New Roman" w:cs="Times New Roman"/>
        </w:rPr>
        <w:t xml:space="preserve">, 172 (Wyo.2002). </w:t>
      </w:r>
      <w:r w:rsidRPr="00836445">
        <w:rPr>
          <w:rFonts w:ascii="Times New Roman" w:hAnsi="Times New Roman" w:cs="Times New Roman"/>
          <w:i/>
        </w:rPr>
        <w:t>See also</w:t>
      </w:r>
      <w:r w:rsidRPr="00836445">
        <w:rPr>
          <w:rFonts w:ascii="Times New Roman" w:hAnsi="Times New Roman" w:cs="Times New Roman"/>
        </w:rPr>
        <w:t xml:space="preserve"> Baxter v. Sinclair Oil Corp., </w:t>
      </w:r>
      <w:hyperlink r:id="rId102" w:history="1">
        <w:r w:rsidRPr="00461297">
          <w:rPr>
            <w:rStyle w:val="Hyperlink"/>
            <w:rFonts w:ascii="Times New Roman" w:hAnsi="Times New Roman" w:cs="Times New Roman"/>
          </w:rPr>
          <w:t>100 P.3d 427</w:t>
        </w:r>
      </w:hyperlink>
      <w:r w:rsidRPr="00836445">
        <w:rPr>
          <w:rFonts w:ascii="Times New Roman" w:hAnsi="Times New Roman" w:cs="Times New Roman"/>
        </w:rPr>
        <w:t>, 432 (Wyo.2004) (reaffirming the Sinclair Trucking analysis of</w:t>
      </w:r>
      <w:r>
        <w:rPr>
          <w:rFonts w:ascii="Times New Roman" w:hAnsi="Times New Roman" w:cs="Times New Roman"/>
        </w:rPr>
        <w:t xml:space="preserve"> </w:t>
      </w:r>
      <w:r w:rsidRPr="003046AD">
        <w:rPr>
          <w:rFonts w:ascii="Times New Roman" w:hAnsi="Times New Roman" w:cs="Times New Roman"/>
        </w:rPr>
        <w:t xml:space="preserve">W.S. § </w:t>
      </w:r>
      <w:hyperlink r:id="rId103" w:history="1">
        <w:r w:rsidRPr="003046AD">
          <w:rPr>
            <w:rStyle w:val="Hyperlink"/>
            <w:rFonts w:ascii="Times New Roman" w:hAnsi="Times New Roman" w:cs="Times New Roman"/>
          </w:rPr>
          <w:t>27–14–603</w:t>
        </w:r>
      </w:hyperlink>
      <w:r w:rsidRPr="00836445">
        <w:rPr>
          <w:rFonts w:ascii="Times New Roman" w:hAnsi="Times New Roman" w:cs="Times New Roman"/>
        </w:rPr>
        <w:t>).</w:t>
      </w:r>
    </w:p>
  </w:footnote>
  <w:footnote w:id="213">
    <w:p w14:paraId="30BA0432" w14:textId="2ED726C1" w:rsidR="00336EDF" w:rsidRDefault="00336EDF">
      <w:pPr>
        <w:pStyle w:val="FootnoteText"/>
      </w:pPr>
      <w:r w:rsidRPr="00354EDA">
        <w:rPr>
          <w:rStyle w:val="FootnoteReference"/>
          <w:rFonts w:ascii="Times New Roman" w:hAnsi="Times New Roman" w:cs="Times New Roman"/>
        </w:rPr>
        <w:footnoteRef/>
      </w:r>
      <w:r>
        <w:t xml:space="preserve"> </w:t>
      </w:r>
      <w:bookmarkStart w:id="306" w:name="f199"/>
      <w:bookmarkEnd w:id="306"/>
      <w:r w:rsidRPr="003870C3">
        <w:rPr>
          <w:rFonts w:ascii="Times New Roman" w:hAnsi="Times New Roman" w:cs="Times New Roman"/>
          <w:i/>
          <w:iCs/>
        </w:rPr>
        <w:t>See</w:t>
      </w:r>
      <w:r w:rsidRPr="00354EDA">
        <w:rPr>
          <w:rFonts w:ascii="Times New Roman" w:hAnsi="Times New Roman" w:cs="Times New Roman"/>
        </w:rPr>
        <w:t xml:space="preserve"> </w:t>
      </w:r>
      <w:r w:rsidRPr="00354EDA">
        <w:rPr>
          <w:rFonts w:ascii="Times New Roman" w:hAnsi="Times New Roman" w:cs="Times New Roman"/>
          <w:i/>
        </w:rPr>
        <w:t>supra.</w:t>
      </w:r>
    </w:p>
  </w:footnote>
  <w:footnote w:id="214">
    <w:p w14:paraId="308C2CEB" w14:textId="0CD0274E" w:rsidR="00336EDF" w:rsidRDefault="00336EDF">
      <w:pPr>
        <w:pStyle w:val="FootnoteText"/>
      </w:pPr>
      <w:r w:rsidRPr="00354EDA">
        <w:rPr>
          <w:rStyle w:val="FootnoteReference"/>
          <w:rFonts w:ascii="Times New Roman" w:hAnsi="Times New Roman" w:cs="Times New Roman"/>
        </w:rPr>
        <w:footnoteRef/>
      </w:r>
      <w:r w:rsidRPr="00354EDA">
        <w:rPr>
          <w:rStyle w:val="FootnoteReference"/>
          <w:rFonts w:ascii="Times New Roman" w:hAnsi="Times New Roman" w:cs="Times New Roman"/>
        </w:rPr>
        <w:t xml:space="preserve"> </w:t>
      </w:r>
      <w:bookmarkStart w:id="307" w:name="f200"/>
      <w:bookmarkEnd w:id="307"/>
      <w:r w:rsidRPr="00354EDA">
        <w:rPr>
          <w:rFonts w:ascii="Times New Roman" w:hAnsi="Times New Roman" w:cs="Times New Roman"/>
        </w:rPr>
        <w:t xml:space="preserve">Sanchez, </w:t>
      </w:r>
      <w:r w:rsidRPr="00354EDA">
        <w:rPr>
          <w:rFonts w:ascii="Times New Roman" w:hAnsi="Times New Roman" w:cs="Times New Roman"/>
          <w:i/>
        </w:rPr>
        <w:t>supra</w:t>
      </w:r>
      <w:r w:rsidRPr="00354EDA">
        <w:rPr>
          <w:rFonts w:ascii="Times New Roman" w:hAnsi="Times New Roman" w:cs="Times New Roman"/>
        </w:rPr>
        <w:t>.</w:t>
      </w:r>
      <w:r>
        <w:rPr>
          <w:rFonts w:ascii="Times New Roman" w:hAnsi="Times New Roman" w:cs="Times New Roman"/>
        </w:rPr>
        <w:t>, 134 P.2d at</w:t>
      </w:r>
      <w:r w:rsidRPr="00354EDA">
        <w:rPr>
          <w:rFonts w:ascii="Times New Roman" w:hAnsi="Times New Roman" w:cs="Times New Roman"/>
        </w:rPr>
        <w:t xml:space="preserve"> 1256</w:t>
      </w:r>
    </w:p>
  </w:footnote>
  <w:footnote w:id="215">
    <w:p w14:paraId="74278B1D" w14:textId="2B47A82B" w:rsidR="00336EDF" w:rsidRDefault="00336EDF">
      <w:pPr>
        <w:pStyle w:val="FootnoteText"/>
      </w:pPr>
      <w:r w:rsidRPr="004B03BB">
        <w:rPr>
          <w:rStyle w:val="FootnoteReference"/>
          <w:rFonts w:ascii="Times New Roman" w:hAnsi="Times New Roman" w:cs="Times New Roman"/>
        </w:rPr>
        <w:footnoteRef/>
      </w:r>
      <w:r>
        <w:t xml:space="preserve"> </w:t>
      </w:r>
      <w:bookmarkStart w:id="308" w:name="f201"/>
      <w:bookmarkEnd w:id="308"/>
      <w:r w:rsidRPr="004B03BB">
        <w:rPr>
          <w:rFonts w:ascii="Times New Roman" w:hAnsi="Times New Roman" w:cs="Times New Roman"/>
          <w:i/>
        </w:rPr>
        <w:t>Id</w:t>
      </w:r>
      <w:r w:rsidRPr="004B03BB">
        <w:rPr>
          <w:rFonts w:ascii="Times New Roman" w:hAnsi="Times New Roman" w:cs="Times New Roman"/>
        </w:rPr>
        <w:t>. at 1261</w:t>
      </w:r>
    </w:p>
  </w:footnote>
  <w:footnote w:id="216">
    <w:p w14:paraId="3ACCC55A" w14:textId="0EF95AC0" w:rsidR="00336EDF" w:rsidRDefault="00336EDF">
      <w:pPr>
        <w:pStyle w:val="FootnoteText"/>
      </w:pPr>
      <w:r w:rsidRPr="00BD6E88">
        <w:rPr>
          <w:rStyle w:val="FootnoteReference"/>
          <w:rFonts w:ascii="Times New Roman" w:hAnsi="Times New Roman" w:cs="Times New Roman"/>
        </w:rPr>
        <w:footnoteRef/>
      </w:r>
      <w:r w:rsidRPr="00BD6E88">
        <w:rPr>
          <w:rStyle w:val="FootnoteReference"/>
          <w:rFonts w:ascii="Times New Roman" w:hAnsi="Times New Roman" w:cs="Times New Roman"/>
        </w:rPr>
        <w:t xml:space="preserve"> </w:t>
      </w:r>
      <w:bookmarkStart w:id="309" w:name="f202"/>
      <w:bookmarkEnd w:id="309"/>
      <w:r w:rsidRPr="00BD6E88">
        <w:rPr>
          <w:rFonts w:ascii="Times New Roman" w:hAnsi="Times New Roman" w:cs="Times New Roman"/>
        </w:rPr>
        <w:t>100 P.3d 427 (Wyo. 2004)</w:t>
      </w:r>
    </w:p>
  </w:footnote>
  <w:footnote w:id="217">
    <w:p w14:paraId="21BA0334" w14:textId="78C518E8" w:rsidR="00336EDF" w:rsidRDefault="00336EDF">
      <w:pPr>
        <w:pStyle w:val="FootnoteText"/>
      </w:pPr>
      <w:r w:rsidRPr="00BD6E88">
        <w:rPr>
          <w:rStyle w:val="FootnoteReference"/>
          <w:rFonts w:ascii="Times New Roman" w:hAnsi="Times New Roman" w:cs="Times New Roman"/>
        </w:rPr>
        <w:footnoteRef/>
      </w:r>
      <w:r>
        <w:t xml:space="preserve"> </w:t>
      </w:r>
      <w:bookmarkStart w:id="310" w:name="f203"/>
      <w:bookmarkEnd w:id="310"/>
      <w:r w:rsidRPr="00BD6E88">
        <w:rPr>
          <w:rFonts w:ascii="Times New Roman" w:hAnsi="Times New Roman" w:cs="Times New Roman"/>
          <w:i/>
        </w:rPr>
        <w:t>Id.</w:t>
      </w:r>
      <w:r w:rsidRPr="00BD6E88">
        <w:rPr>
          <w:rFonts w:ascii="Times New Roman" w:hAnsi="Times New Roman" w:cs="Times New Roman"/>
        </w:rPr>
        <w:t xml:space="preserve"> at 430</w:t>
      </w:r>
    </w:p>
  </w:footnote>
  <w:footnote w:id="218">
    <w:p w14:paraId="32359BB6" w14:textId="0FB0D926" w:rsidR="00336EDF" w:rsidRDefault="00336EDF">
      <w:pPr>
        <w:pStyle w:val="FootnoteText"/>
      </w:pPr>
      <w:r w:rsidRPr="002315AB">
        <w:rPr>
          <w:rStyle w:val="FootnoteReference"/>
          <w:rFonts w:ascii="Times New Roman" w:hAnsi="Times New Roman" w:cs="Times New Roman"/>
        </w:rPr>
        <w:footnoteRef/>
      </w:r>
      <w:bookmarkStart w:id="313" w:name="f204"/>
      <w:bookmarkEnd w:id="313"/>
      <w:r w:rsidRPr="002315AB">
        <w:rPr>
          <w:rStyle w:val="FootnoteReference"/>
          <w:rFonts w:ascii="Times New Roman" w:hAnsi="Times New Roman" w:cs="Times New Roman"/>
        </w:rPr>
        <w:t xml:space="preserve"> </w:t>
      </w:r>
      <w:r w:rsidRPr="002315AB">
        <w:rPr>
          <w:rFonts w:ascii="Times New Roman" w:hAnsi="Times New Roman" w:cs="Times New Roman"/>
        </w:rPr>
        <w:t xml:space="preserve">Sheth v. Workers' Compensation Div., </w:t>
      </w:r>
      <w:hyperlink r:id="rId104" w:history="1">
        <w:r w:rsidRPr="00461297">
          <w:rPr>
            <w:rStyle w:val="Hyperlink"/>
            <w:rFonts w:ascii="Times New Roman" w:hAnsi="Times New Roman" w:cs="Times New Roman"/>
          </w:rPr>
          <w:t>11 P.3d 375</w:t>
        </w:r>
      </w:hyperlink>
      <w:r w:rsidRPr="002315AB">
        <w:rPr>
          <w:rFonts w:ascii="Times New Roman" w:hAnsi="Times New Roman" w:cs="Times New Roman"/>
        </w:rPr>
        <w:t>, 379 (Wyo. 2000)</w:t>
      </w:r>
    </w:p>
  </w:footnote>
  <w:footnote w:id="219">
    <w:p w14:paraId="10727BD1" w14:textId="135637C9" w:rsidR="00336EDF" w:rsidRDefault="00336EDF">
      <w:pPr>
        <w:pStyle w:val="FootnoteText"/>
      </w:pPr>
      <w:r w:rsidRPr="00C94675">
        <w:rPr>
          <w:rStyle w:val="FootnoteReference"/>
          <w:rFonts w:ascii="Times New Roman" w:hAnsi="Times New Roman" w:cs="Times New Roman"/>
        </w:rPr>
        <w:footnoteRef/>
      </w:r>
      <w:r w:rsidRPr="00C94675">
        <w:rPr>
          <w:rStyle w:val="FootnoteReference"/>
          <w:rFonts w:ascii="Times New Roman" w:hAnsi="Times New Roman" w:cs="Times New Roman"/>
        </w:rPr>
        <w:t xml:space="preserve"> </w:t>
      </w:r>
      <w:bookmarkStart w:id="314" w:name="f205"/>
      <w:bookmarkStart w:id="315" w:name="_Hlk517970715"/>
      <w:bookmarkEnd w:id="314"/>
      <w:r w:rsidRPr="00C94675">
        <w:rPr>
          <w:rFonts w:ascii="Times New Roman" w:hAnsi="Times New Roman" w:cs="Times New Roman"/>
        </w:rPr>
        <w:t>Matter of Desotell</w:t>
      </w:r>
      <w:bookmarkEnd w:id="315"/>
      <w:r w:rsidRPr="00C94675">
        <w:rPr>
          <w:rFonts w:ascii="Times New Roman" w:hAnsi="Times New Roman" w:cs="Times New Roman"/>
        </w:rPr>
        <w:t xml:space="preserve">, </w:t>
      </w:r>
      <w:hyperlink r:id="rId105" w:history="1">
        <w:r w:rsidRPr="00461297">
          <w:rPr>
            <w:rStyle w:val="Hyperlink"/>
            <w:rFonts w:ascii="Times New Roman" w:hAnsi="Times New Roman" w:cs="Times New Roman"/>
          </w:rPr>
          <w:t>767 P.2d 998</w:t>
        </w:r>
      </w:hyperlink>
      <w:r w:rsidRPr="00C94675">
        <w:rPr>
          <w:rFonts w:ascii="Times New Roman" w:hAnsi="Times New Roman" w:cs="Times New Roman"/>
        </w:rPr>
        <w:t>, 1001 (Wyo. 1989)</w:t>
      </w:r>
    </w:p>
  </w:footnote>
  <w:footnote w:id="220">
    <w:p w14:paraId="1A820689" w14:textId="4EC48302" w:rsidR="00336EDF" w:rsidRDefault="00336EDF">
      <w:pPr>
        <w:pStyle w:val="FootnoteText"/>
      </w:pPr>
      <w:r w:rsidRPr="00383085">
        <w:rPr>
          <w:rStyle w:val="FootnoteReference"/>
          <w:rFonts w:ascii="Times New Roman" w:hAnsi="Times New Roman" w:cs="Times New Roman"/>
        </w:rPr>
        <w:footnoteRef/>
      </w:r>
      <w:r w:rsidRPr="00383085">
        <w:rPr>
          <w:rStyle w:val="FootnoteReference"/>
          <w:rFonts w:ascii="Times New Roman" w:hAnsi="Times New Roman" w:cs="Times New Roman"/>
        </w:rPr>
        <w:t xml:space="preserve"> </w:t>
      </w:r>
      <w:bookmarkStart w:id="316" w:name="f206"/>
      <w:bookmarkEnd w:id="316"/>
      <w:r>
        <w:fldChar w:fldCharType="begin"/>
      </w:r>
      <w:r>
        <w:instrText xml:space="preserve"> HYPERLINK "https://www.leagle.com/decision/inwyco20150923g06" </w:instrText>
      </w:r>
      <w:r>
        <w:fldChar w:fldCharType="separate"/>
      </w:r>
      <w:r w:rsidRPr="008A10ED">
        <w:rPr>
          <w:rStyle w:val="Hyperlink"/>
          <w:rFonts w:ascii="Times New Roman" w:hAnsi="Times New Roman" w:cs="Times New Roman"/>
        </w:rPr>
        <w:t>360 P.3d 66</w:t>
      </w:r>
      <w:r>
        <w:rPr>
          <w:rStyle w:val="Hyperlink"/>
          <w:rFonts w:ascii="Times New Roman" w:hAnsi="Times New Roman" w:cs="Times New Roman"/>
        </w:rPr>
        <w:fldChar w:fldCharType="end"/>
      </w:r>
      <w:r w:rsidRPr="00383085">
        <w:rPr>
          <w:rFonts w:ascii="Times New Roman" w:hAnsi="Times New Roman" w:cs="Times New Roman"/>
        </w:rPr>
        <w:t xml:space="preserve"> (Wyo. 2015)</w:t>
      </w:r>
    </w:p>
  </w:footnote>
  <w:footnote w:id="221">
    <w:p w14:paraId="278FD3A8" w14:textId="2703080E" w:rsidR="00336EDF" w:rsidRDefault="00336EDF">
      <w:pPr>
        <w:pStyle w:val="FootnoteText"/>
      </w:pPr>
      <w:r w:rsidRPr="00383085">
        <w:rPr>
          <w:rStyle w:val="FootnoteReference"/>
          <w:rFonts w:ascii="Times New Roman" w:hAnsi="Times New Roman" w:cs="Times New Roman"/>
        </w:rPr>
        <w:footnoteRef/>
      </w:r>
      <w:r>
        <w:t xml:space="preserve"> </w:t>
      </w:r>
      <w:bookmarkStart w:id="317" w:name="f207"/>
      <w:bookmarkEnd w:id="317"/>
      <w:r w:rsidRPr="00383085">
        <w:rPr>
          <w:rFonts w:ascii="Times New Roman" w:hAnsi="Times New Roman" w:cs="Times New Roman"/>
          <w:i/>
        </w:rPr>
        <w:t>Id</w:t>
      </w:r>
      <w:r w:rsidRPr="00383085">
        <w:rPr>
          <w:rFonts w:ascii="Times New Roman" w:hAnsi="Times New Roman" w:cs="Times New Roman"/>
        </w:rPr>
        <w:t>. at 67</w:t>
      </w:r>
    </w:p>
  </w:footnote>
  <w:footnote w:id="222">
    <w:p w14:paraId="0A36248B" w14:textId="22362DF7" w:rsidR="00336EDF" w:rsidRDefault="00336EDF">
      <w:pPr>
        <w:pStyle w:val="FootnoteText"/>
      </w:pPr>
      <w:r w:rsidRPr="00383085">
        <w:rPr>
          <w:rStyle w:val="FootnoteReference"/>
          <w:rFonts w:ascii="Times New Roman" w:hAnsi="Times New Roman" w:cs="Times New Roman"/>
        </w:rPr>
        <w:footnoteRef/>
      </w:r>
      <w:bookmarkStart w:id="318" w:name="f208"/>
      <w:bookmarkEnd w:id="318"/>
      <w:r>
        <w:t xml:space="preserve"> </w:t>
      </w:r>
      <w:r w:rsidRPr="00383085">
        <w:rPr>
          <w:rFonts w:ascii="Times New Roman" w:hAnsi="Times New Roman" w:cs="Times New Roman"/>
          <w:i/>
        </w:rPr>
        <w:t>Id.</w:t>
      </w:r>
    </w:p>
  </w:footnote>
  <w:footnote w:id="223">
    <w:p w14:paraId="6A476172" w14:textId="379094C0" w:rsidR="00336EDF" w:rsidRDefault="00336EDF">
      <w:pPr>
        <w:pStyle w:val="FootnoteText"/>
      </w:pPr>
      <w:r w:rsidRPr="00D86135">
        <w:rPr>
          <w:rStyle w:val="FootnoteReference"/>
          <w:rFonts w:ascii="Times New Roman" w:hAnsi="Times New Roman" w:cs="Times New Roman"/>
        </w:rPr>
        <w:footnoteRef/>
      </w:r>
      <w:r>
        <w:t xml:space="preserve"> </w:t>
      </w:r>
      <w:bookmarkStart w:id="319" w:name="f209"/>
      <w:bookmarkEnd w:id="319"/>
      <w:r w:rsidRPr="00D86135">
        <w:rPr>
          <w:rFonts w:ascii="Times New Roman" w:hAnsi="Times New Roman" w:cs="Times New Roman"/>
          <w:i/>
        </w:rPr>
        <w:t>Id.</w:t>
      </w:r>
    </w:p>
  </w:footnote>
  <w:footnote w:id="224">
    <w:p w14:paraId="664D3048" w14:textId="433E230B" w:rsidR="00336EDF" w:rsidRDefault="00336EDF">
      <w:pPr>
        <w:pStyle w:val="FootnoteText"/>
      </w:pPr>
      <w:r w:rsidRPr="007E031C">
        <w:rPr>
          <w:rStyle w:val="FootnoteReference"/>
          <w:rFonts w:ascii="Times New Roman" w:hAnsi="Times New Roman" w:cs="Times New Roman"/>
        </w:rPr>
        <w:footnoteRef/>
      </w:r>
      <w:r>
        <w:t xml:space="preserve"> </w:t>
      </w:r>
      <w:bookmarkStart w:id="320" w:name="f210"/>
      <w:bookmarkEnd w:id="320"/>
      <w:r w:rsidRPr="007E031C">
        <w:rPr>
          <w:rFonts w:ascii="Times New Roman" w:hAnsi="Times New Roman" w:cs="Times New Roman"/>
          <w:i/>
        </w:rPr>
        <w:t>Id</w:t>
      </w:r>
      <w:r w:rsidRPr="007E031C">
        <w:rPr>
          <w:rFonts w:ascii="Times New Roman" w:hAnsi="Times New Roman" w:cs="Times New Roman"/>
        </w:rPr>
        <w:t>. at 68</w:t>
      </w:r>
    </w:p>
  </w:footnote>
  <w:footnote w:id="225">
    <w:p w14:paraId="46F92DE3" w14:textId="2BE3AA98" w:rsidR="00336EDF" w:rsidRDefault="00336EDF">
      <w:pPr>
        <w:pStyle w:val="FootnoteText"/>
      </w:pPr>
      <w:r w:rsidRPr="007E031C">
        <w:rPr>
          <w:rStyle w:val="FootnoteReference"/>
          <w:rFonts w:ascii="Times New Roman" w:hAnsi="Times New Roman" w:cs="Times New Roman"/>
        </w:rPr>
        <w:footnoteRef/>
      </w:r>
      <w:r>
        <w:t xml:space="preserve"> </w:t>
      </w:r>
      <w:bookmarkStart w:id="321" w:name="f211"/>
      <w:bookmarkEnd w:id="321"/>
      <w:r w:rsidRPr="007E031C">
        <w:rPr>
          <w:rFonts w:ascii="Times New Roman" w:hAnsi="Times New Roman" w:cs="Times New Roman"/>
          <w:i/>
        </w:rPr>
        <w:t>Id</w:t>
      </w:r>
      <w:r w:rsidRPr="007E031C">
        <w:rPr>
          <w:rFonts w:ascii="Times New Roman" w:hAnsi="Times New Roman" w:cs="Times New Roman"/>
        </w:rPr>
        <w:t>. at 71</w:t>
      </w:r>
    </w:p>
  </w:footnote>
  <w:footnote w:id="226">
    <w:p w14:paraId="2B5918AD" w14:textId="302D9EA1" w:rsidR="00336EDF" w:rsidRDefault="00336EDF">
      <w:pPr>
        <w:pStyle w:val="FootnoteText"/>
      </w:pPr>
      <w:r w:rsidRPr="00F54AFB">
        <w:rPr>
          <w:rStyle w:val="FootnoteReference"/>
          <w:rFonts w:ascii="Times New Roman" w:hAnsi="Times New Roman" w:cs="Times New Roman"/>
        </w:rPr>
        <w:footnoteRef/>
      </w:r>
      <w:r>
        <w:t xml:space="preserve"> </w:t>
      </w:r>
      <w:bookmarkStart w:id="322" w:name="f212"/>
      <w:bookmarkEnd w:id="322"/>
      <w:r w:rsidRPr="00F54AFB">
        <w:rPr>
          <w:rFonts w:ascii="Times New Roman" w:hAnsi="Times New Roman" w:cs="Times New Roman"/>
          <w:i/>
        </w:rPr>
        <w:t>Id</w:t>
      </w:r>
      <w:r w:rsidRPr="00F54AFB">
        <w:rPr>
          <w:rFonts w:ascii="Times New Roman" w:hAnsi="Times New Roman" w:cs="Times New Roman"/>
        </w:rPr>
        <w:t>. at 73</w:t>
      </w:r>
      <w:r>
        <w:rPr>
          <w:rFonts w:ascii="Times New Roman" w:hAnsi="Times New Roman" w:cs="Times New Roman"/>
        </w:rPr>
        <w:t xml:space="preserve"> </w:t>
      </w:r>
      <w:r w:rsidRPr="00F54AFB">
        <w:rPr>
          <w:rFonts w:ascii="Times New Roman" w:hAnsi="Times New Roman" w:cs="Times New Roman"/>
          <w:i/>
        </w:rPr>
        <w:t>citing</w:t>
      </w:r>
      <w:r>
        <w:rPr>
          <w:rFonts w:ascii="Times New Roman" w:hAnsi="Times New Roman" w:cs="Times New Roman"/>
        </w:rPr>
        <w:t xml:space="preserve"> </w:t>
      </w:r>
      <w:r w:rsidRPr="00F54AFB">
        <w:rPr>
          <w:rFonts w:ascii="Times New Roman" w:hAnsi="Times New Roman" w:cs="Times New Roman"/>
        </w:rPr>
        <w:t>Loomer v. Workers</w:t>
      </w:r>
      <w:r>
        <w:rPr>
          <w:rFonts w:ascii="Times New Roman" w:hAnsi="Times New Roman" w:cs="Times New Roman"/>
        </w:rPr>
        <w:t>’</w:t>
      </w:r>
      <w:r w:rsidRPr="00F54AFB">
        <w:rPr>
          <w:rFonts w:ascii="Times New Roman" w:hAnsi="Times New Roman" w:cs="Times New Roman"/>
        </w:rPr>
        <w:t xml:space="preserve"> Safety &amp; Comp. Div.</w:t>
      </w:r>
      <w:r>
        <w:rPr>
          <w:rFonts w:ascii="Times New Roman" w:hAnsi="Times New Roman" w:cs="Times New Roman"/>
        </w:rPr>
        <w:t xml:space="preserve">, </w:t>
      </w:r>
      <w:hyperlink r:id="rId106" w:history="1">
        <w:r w:rsidRPr="008A10ED">
          <w:rPr>
            <w:rStyle w:val="Hyperlink"/>
            <w:rFonts w:ascii="Times New Roman" w:hAnsi="Times New Roman" w:cs="Times New Roman"/>
          </w:rPr>
          <w:t>88 P.3d 1036</w:t>
        </w:r>
      </w:hyperlink>
      <w:r w:rsidRPr="00F54AFB">
        <w:rPr>
          <w:rFonts w:ascii="Times New Roman" w:hAnsi="Times New Roman" w:cs="Times New Roman"/>
        </w:rPr>
        <w:t>, 1043 (Wyo.2004).</w:t>
      </w:r>
      <w:r>
        <w:rPr>
          <w:rFonts w:ascii="Times New Roman" w:hAnsi="Times New Roman" w:cs="Times New Roman"/>
        </w:rPr>
        <w:t xml:space="preserve"> (Emphases supplied)</w:t>
      </w:r>
    </w:p>
  </w:footnote>
  <w:footnote w:id="227">
    <w:p w14:paraId="22B13F6F" w14:textId="57CBC461" w:rsidR="00336EDF" w:rsidRDefault="00336EDF">
      <w:pPr>
        <w:pStyle w:val="FootnoteText"/>
      </w:pPr>
      <w:r w:rsidRPr="00F54AFB">
        <w:rPr>
          <w:rStyle w:val="FootnoteReference"/>
          <w:rFonts w:ascii="Times New Roman" w:hAnsi="Times New Roman" w:cs="Times New Roman"/>
        </w:rPr>
        <w:footnoteRef/>
      </w:r>
      <w:r>
        <w:t xml:space="preserve"> </w:t>
      </w:r>
      <w:bookmarkStart w:id="323" w:name="f213"/>
      <w:bookmarkEnd w:id="323"/>
      <w:r w:rsidRPr="00F54AFB">
        <w:rPr>
          <w:rFonts w:ascii="Times New Roman" w:hAnsi="Times New Roman" w:cs="Times New Roman"/>
          <w:i/>
        </w:rPr>
        <w:t>Id</w:t>
      </w:r>
      <w:r w:rsidRPr="00F54AFB">
        <w:rPr>
          <w:rFonts w:ascii="Times New Roman" w:hAnsi="Times New Roman" w:cs="Times New Roman"/>
        </w:rPr>
        <w:t>. at 73</w:t>
      </w:r>
    </w:p>
  </w:footnote>
  <w:footnote w:id="228">
    <w:p w14:paraId="21ACF114" w14:textId="24B883BD" w:rsidR="00336EDF" w:rsidRDefault="00336EDF">
      <w:pPr>
        <w:pStyle w:val="FootnoteText"/>
      </w:pPr>
      <w:r w:rsidRPr="00702522">
        <w:rPr>
          <w:rStyle w:val="FootnoteReference"/>
          <w:rFonts w:ascii="Times New Roman" w:hAnsi="Times New Roman" w:cs="Times New Roman"/>
        </w:rPr>
        <w:footnoteRef/>
      </w:r>
      <w:r>
        <w:t xml:space="preserve"> </w:t>
      </w:r>
      <w:bookmarkStart w:id="324" w:name="f214"/>
      <w:bookmarkEnd w:id="324"/>
      <w:r w:rsidRPr="00702522">
        <w:rPr>
          <w:rFonts w:ascii="Times New Roman" w:hAnsi="Times New Roman" w:cs="Times New Roman"/>
          <w:i/>
        </w:rPr>
        <w:t>Id</w:t>
      </w:r>
      <w:r w:rsidRPr="00702522">
        <w:rPr>
          <w:rFonts w:ascii="Times New Roman" w:hAnsi="Times New Roman" w:cs="Times New Roman"/>
        </w:rPr>
        <w:t>. at 75</w:t>
      </w:r>
    </w:p>
  </w:footnote>
  <w:footnote w:id="229">
    <w:p w14:paraId="25F12234" w14:textId="67A4375E" w:rsidR="00336EDF" w:rsidRDefault="00336EDF">
      <w:pPr>
        <w:pStyle w:val="FootnoteText"/>
      </w:pPr>
      <w:r w:rsidRPr="00702522">
        <w:rPr>
          <w:rStyle w:val="FootnoteReference"/>
          <w:rFonts w:ascii="Times New Roman" w:hAnsi="Times New Roman" w:cs="Times New Roman"/>
        </w:rPr>
        <w:footnoteRef/>
      </w:r>
      <w:bookmarkStart w:id="325" w:name="f215"/>
      <w:bookmarkEnd w:id="325"/>
      <w:r w:rsidRPr="00702522">
        <w:rPr>
          <w:rStyle w:val="FootnoteReference"/>
          <w:rFonts w:ascii="Times New Roman" w:hAnsi="Times New Roman" w:cs="Times New Roman"/>
        </w:rPr>
        <w:t xml:space="preserve"> </w:t>
      </w:r>
      <w:r w:rsidRPr="00702522">
        <w:rPr>
          <w:rFonts w:ascii="Times New Roman" w:hAnsi="Times New Roman" w:cs="Times New Roman"/>
          <w:i/>
        </w:rPr>
        <w:t>Id</w:t>
      </w:r>
      <w:r w:rsidRPr="00702522">
        <w:rPr>
          <w:rFonts w:ascii="Times New Roman" w:hAnsi="Times New Roman" w:cs="Times New Roman"/>
        </w:rPr>
        <w:t>. at 77</w:t>
      </w:r>
    </w:p>
  </w:footnote>
  <w:footnote w:id="230">
    <w:p w14:paraId="6F24561C" w14:textId="70EBC430" w:rsidR="00336EDF" w:rsidRDefault="00336EDF">
      <w:pPr>
        <w:pStyle w:val="FootnoteText"/>
      </w:pPr>
      <w:r w:rsidRPr="009A2D59">
        <w:rPr>
          <w:rStyle w:val="FootnoteReference"/>
          <w:rFonts w:ascii="Times New Roman" w:hAnsi="Times New Roman" w:cs="Times New Roman"/>
        </w:rPr>
        <w:footnoteRef/>
      </w:r>
      <w:r w:rsidRPr="009A2D59">
        <w:rPr>
          <w:rFonts w:ascii="Times New Roman" w:hAnsi="Times New Roman" w:cs="Times New Roman"/>
        </w:rPr>
        <w:t xml:space="preserve"> </w:t>
      </w:r>
      <w:bookmarkStart w:id="326" w:name="f216"/>
      <w:bookmarkEnd w:id="326"/>
      <w:r w:rsidRPr="009A2D59">
        <w:rPr>
          <w:rFonts w:ascii="Times New Roman" w:hAnsi="Times New Roman" w:cs="Times New Roman"/>
        </w:rPr>
        <w:t xml:space="preserve">Matter of Desotell, </w:t>
      </w:r>
      <w:r w:rsidRPr="009A2D59">
        <w:rPr>
          <w:rFonts w:ascii="Times New Roman" w:hAnsi="Times New Roman" w:cs="Times New Roman"/>
          <w:i/>
        </w:rPr>
        <w:t>supra.,</w:t>
      </w:r>
      <w:r w:rsidRPr="009A2D59">
        <w:rPr>
          <w:rFonts w:ascii="Times New Roman" w:hAnsi="Times New Roman" w:cs="Times New Roman"/>
        </w:rPr>
        <w:t xml:space="preserve"> 767 P.2d at 1002</w:t>
      </w:r>
      <w:r>
        <w:t xml:space="preserve"> </w:t>
      </w:r>
    </w:p>
  </w:footnote>
  <w:footnote w:id="231">
    <w:p w14:paraId="624ABC16" w14:textId="6C532203" w:rsidR="00336EDF" w:rsidRDefault="00336EDF">
      <w:pPr>
        <w:pStyle w:val="FootnoteText"/>
      </w:pPr>
      <w:r w:rsidRPr="009A2D59">
        <w:rPr>
          <w:rStyle w:val="FootnoteReference"/>
          <w:rFonts w:ascii="Times New Roman" w:hAnsi="Times New Roman" w:cs="Times New Roman"/>
        </w:rPr>
        <w:footnoteRef/>
      </w:r>
      <w:r w:rsidRPr="009A2D59">
        <w:rPr>
          <w:rFonts w:ascii="Times New Roman" w:hAnsi="Times New Roman" w:cs="Times New Roman"/>
        </w:rPr>
        <w:t xml:space="preserve"> </w:t>
      </w:r>
      <w:bookmarkStart w:id="327" w:name="f217"/>
      <w:bookmarkEnd w:id="327"/>
      <w:r w:rsidRPr="009A2D59">
        <w:rPr>
          <w:rFonts w:ascii="Times New Roman" w:hAnsi="Times New Roman" w:cs="Times New Roman"/>
        </w:rPr>
        <w:t>931 P.2d 255, 258-259 (Wyo. 1997)</w:t>
      </w:r>
    </w:p>
  </w:footnote>
  <w:footnote w:id="232">
    <w:p w14:paraId="4F06D447" w14:textId="540E8FCD" w:rsidR="00336EDF" w:rsidRDefault="00336EDF">
      <w:pPr>
        <w:pStyle w:val="FootnoteText"/>
      </w:pPr>
      <w:r w:rsidRPr="00981200">
        <w:rPr>
          <w:rStyle w:val="FootnoteReference"/>
          <w:rFonts w:ascii="Times New Roman" w:hAnsi="Times New Roman" w:cs="Times New Roman"/>
        </w:rPr>
        <w:footnoteRef/>
      </w:r>
      <w:r>
        <w:t xml:space="preserve"> </w:t>
      </w:r>
      <w:bookmarkStart w:id="328" w:name="f218"/>
      <w:bookmarkStart w:id="329" w:name="_Hlk518114870"/>
      <w:bookmarkEnd w:id="328"/>
      <w:r>
        <w:rPr>
          <w:rFonts w:ascii="Times New Roman" w:hAnsi="Times New Roman" w:cs="Times New Roman"/>
        </w:rPr>
        <w:t>3</w:t>
      </w:r>
      <w:r w:rsidRPr="00C838AE">
        <w:rPr>
          <w:rFonts w:ascii="Times New Roman" w:hAnsi="Times New Roman" w:cs="Times New Roman"/>
        </w:rPr>
        <w:t xml:space="preserve"> L</w:t>
      </w:r>
      <w:r w:rsidRPr="00C838AE">
        <w:rPr>
          <w:rFonts w:ascii="Times New Roman" w:hAnsi="Times New Roman" w:cs="Times New Roman"/>
          <w:smallCaps/>
        </w:rPr>
        <w:t>arson’s</w:t>
      </w:r>
      <w:r w:rsidRPr="00C838AE">
        <w:rPr>
          <w:rFonts w:ascii="Times New Roman" w:hAnsi="Times New Roman" w:cs="Times New Roman"/>
        </w:rPr>
        <w:t xml:space="preserve"> W</w:t>
      </w:r>
      <w:r w:rsidRPr="00C838AE">
        <w:rPr>
          <w:rFonts w:ascii="Times New Roman" w:hAnsi="Times New Roman" w:cs="Times New Roman"/>
          <w:smallCaps/>
        </w:rPr>
        <w:t>orkers’</w:t>
      </w:r>
      <w:r w:rsidRPr="00C838AE">
        <w:rPr>
          <w:rFonts w:ascii="Times New Roman" w:hAnsi="Times New Roman" w:cs="Times New Roman"/>
        </w:rPr>
        <w:t xml:space="preserve"> C</w:t>
      </w:r>
      <w:r w:rsidRPr="00C838AE">
        <w:rPr>
          <w:rFonts w:ascii="Times New Roman" w:hAnsi="Times New Roman" w:cs="Times New Roman"/>
          <w:smallCaps/>
        </w:rPr>
        <w:t>ompensation</w:t>
      </w:r>
      <w:r w:rsidRPr="00C838AE">
        <w:rPr>
          <w:rFonts w:ascii="Times New Roman" w:hAnsi="Times New Roman" w:cs="Times New Roman"/>
        </w:rPr>
        <w:t xml:space="preserve"> L</w:t>
      </w:r>
      <w:r w:rsidRPr="00C838AE">
        <w:rPr>
          <w:rFonts w:ascii="Times New Roman" w:hAnsi="Times New Roman" w:cs="Times New Roman"/>
          <w:smallCaps/>
        </w:rPr>
        <w:t xml:space="preserve">aw </w:t>
      </w:r>
      <w:r w:rsidRPr="00C838AE">
        <w:rPr>
          <w:rFonts w:ascii="Times New Roman" w:hAnsi="Times New Roman" w:cs="Times New Roman"/>
        </w:rPr>
        <w:t xml:space="preserve">§ </w:t>
      </w:r>
      <w:r>
        <w:rPr>
          <w:rFonts w:ascii="Times New Roman" w:hAnsi="Times New Roman" w:cs="Times New Roman"/>
        </w:rPr>
        <w:t>44</w:t>
      </w:r>
      <w:r w:rsidRPr="00C838AE">
        <w:rPr>
          <w:rFonts w:ascii="Times New Roman" w:hAnsi="Times New Roman" w:cs="Times New Roman"/>
        </w:rPr>
        <w:t>.0</w:t>
      </w:r>
      <w:r>
        <w:rPr>
          <w:rFonts w:ascii="Times New Roman" w:hAnsi="Times New Roman" w:cs="Times New Roman"/>
        </w:rPr>
        <w:t>3</w:t>
      </w:r>
      <w:bookmarkEnd w:id="329"/>
    </w:p>
  </w:footnote>
  <w:footnote w:id="233">
    <w:p w14:paraId="621CBCC2" w14:textId="72B6583F" w:rsidR="00336EDF" w:rsidRDefault="00336EDF">
      <w:pPr>
        <w:pStyle w:val="FootnoteText"/>
      </w:pPr>
      <w:r w:rsidRPr="00981200">
        <w:rPr>
          <w:rStyle w:val="FootnoteReference"/>
          <w:rFonts w:ascii="Times New Roman" w:hAnsi="Times New Roman" w:cs="Times New Roman"/>
        </w:rPr>
        <w:footnoteRef/>
      </w:r>
      <w:r>
        <w:t xml:space="preserve"> </w:t>
      </w:r>
      <w:bookmarkStart w:id="330" w:name="f219"/>
      <w:bookmarkEnd w:id="330"/>
      <w:r>
        <w:rPr>
          <w:rFonts w:ascii="Times New Roman" w:hAnsi="Times New Roman" w:cs="Times New Roman"/>
        </w:rPr>
        <w:t>3</w:t>
      </w:r>
      <w:r w:rsidRPr="00C838AE">
        <w:rPr>
          <w:rFonts w:ascii="Times New Roman" w:hAnsi="Times New Roman" w:cs="Times New Roman"/>
        </w:rPr>
        <w:t xml:space="preserve"> L</w:t>
      </w:r>
      <w:r w:rsidRPr="00C838AE">
        <w:rPr>
          <w:rFonts w:ascii="Times New Roman" w:hAnsi="Times New Roman" w:cs="Times New Roman"/>
          <w:smallCaps/>
        </w:rPr>
        <w:t>arson’s</w:t>
      </w:r>
      <w:r w:rsidRPr="00C838AE">
        <w:rPr>
          <w:rFonts w:ascii="Times New Roman" w:hAnsi="Times New Roman" w:cs="Times New Roman"/>
        </w:rPr>
        <w:t xml:space="preserve"> W</w:t>
      </w:r>
      <w:r w:rsidRPr="00C838AE">
        <w:rPr>
          <w:rFonts w:ascii="Times New Roman" w:hAnsi="Times New Roman" w:cs="Times New Roman"/>
          <w:smallCaps/>
        </w:rPr>
        <w:t>orkers’</w:t>
      </w:r>
      <w:r w:rsidRPr="00C838AE">
        <w:rPr>
          <w:rFonts w:ascii="Times New Roman" w:hAnsi="Times New Roman" w:cs="Times New Roman"/>
        </w:rPr>
        <w:t xml:space="preserve"> C</w:t>
      </w:r>
      <w:r w:rsidRPr="00C838AE">
        <w:rPr>
          <w:rFonts w:ascii="Times New Roman" w:hAnsi="Times New Roman" w:cs="Times New Roman"/>
          <w:smallCaps/>
        </w:rPr>
        <w:t>ompensation</w:t>
      </w:r>
      <w:r w:rsidRPr="00C838AE">
        <w:rPr>
          <w:rFonts w:ascii="Times New Roman" w:hAnsi="Times New Roman" w:cs="Times New Roman"/>
        </w:rPr>
        <w:t xml:space="preserve"> L</w:t>
      </w:r>
      <w:r w:rsidRPr="00C838AE">
        <w:rPr>
          <w:rFonts w:ascii="Times New Roman" w:hAnsi="Times New Roman" w:cs="Times New Roman"/>
          <w:smallCaps/>
        </w:rPr>
        <w:t xml:space="preserve">aw </w:t>
      </w:r>
      <w:r w:rsidRPr="00C838AE">
        <w:rPr>
          <w:rFonts w:ascii="Times New Roman" w:hAnsi="Times New Roman" w:cs="Times New Roman"/>
        </w:rPr>
        <w:t xml:space="preserve">§ </w:t>
      </w:r>
      <w:r>
        <w:rPr>
          <w:rFonts w:ascii="Times New Roman" w:hAnsi="Times New Roman" w:cs="Times New Roman"/>
        </w:rPr>
        <w:t>44</w:t>
      </w:r>
      <w:r w:rsidRPr="00C838AE">
        <w:rPr>
          <w:rFonts w:ascii="Times New Roman" w:hAnsi="Times New Roman" w:cs="Times New Roman"/>
        </w:rPr>
        <w:t>.0</w:t>
      </w:r>
      <w:r>
        <w:rPr>
          <w:rFonts w:ascii="Times New Roman" w:hAnsi="Times New Roman" w:cs="Times New Roman"/>
        </w:rPr>
        <w:t>2</w:t>
      </w:r>
    </w:p>
  </w:footnote>
  <w:footnote w:id="234">
    <w:p w14:paraId="7ED1A21A" w14:textId="6C06DDE3" w:rsidR="00336EDF" w:rsidRDefault="00336EDF" w:rsidP="008476B3">
      <w:pPr>
        <w:pStyle w:val="FootnoteText"/>
        <w:jc w:val="both"/>
      </w:pPr>
      <w:r w:rsidRPr="003633E9">
        <w:rPr>
          <w:rStyle w:val="FootnoteReference"/>
          <w:rFonts w:ascii="Times New Roman" w:hAnsi="Times New Roman" w:cs="Times New Roman"/>
        </w:rPr>
        <w:footnoteRef/>
      </w:r>
      <w:r w:rsidRPr="003633E9">
        <w:rPr>
          <w:rStyle w:val="FootnoteReference"/>
          <w:rFonts w:ascii="Times New Roman" w:hAnsi="Times New Roman" w:cs="Times New Roman"/>
        </w:rPr>
        <w:t xml:space="preserve"> </w:t>
      </w:r>
      <w:bookmarkStart w:id="333" w:name="f220"/>
      <w:bookmarkEnd w:id="333"/>
      <w:r w:rsidRPr="003633E9">
        <w:rPr>
          <w:rFonts w:ascii="Times New Roman" w:hAnsi="Times New Roman" w:cs="Times New Roman"/>
        </w:rPr>
        <w:t>Big Horn Coal Co. v</w:t>
      </w:r>
      <w:r>
        <w:rPr>
          <w:rFonts w:ascii="Times New Roman" w:hAnsi="Times New Roman" w:cs="Times New Roman"/>
        </w:rPr>
        <w:t>.</w:t>
      </w:r>
      <w:r w:rsidRPr="003633E9">
        <w:rPr>
          <w:rFonts w:ascii="Times New Roman" w:hAnsi="Times New Roman" w:cs="Times New Roman"/>
        </w:rPr>
        <w:t xml:space="preserve"> LaToush, </w:t>
      </w:r>
      <w:hyperlink r:id="rId107" w:history="1">
        <w:r w:rsidRPr="008A10ED">
          <w:rPr>
            <w:rStyle w:val="Hyperlink"/>
            <w:rFonts w:ascii="Times New Roman" w:hAnsi="Times New Roman" w:cs="Times New Roman"/>
          </w:rPr>
          <w:t>501 P.2d 1250</w:t>
        </w:r>
      </w:hyperlink>
      <w:r w:rsidRPr="003633E9">
        <w:rPr>
          <w:rFonts w:ascii="Times New Roman" w:hAnsi="Times New Roman" w:cs="Times New Roman"/>
        </w:rPr>
        <w:t xml:space="preserve"> (Wyo. 1972)</w:t>
      </w:r>
      <w:r w:rsidRPr="003633E9">
        <w:t xml:space="preserve"> </w:t>
      </w:r>
    </w:p>
  </w:footnote>
  <w:footnote w:id="235">
    <w:p w14:paraId="44F75F82" w14:textId="48082B2A" w:rsidR="00336EDF" w:rsidRDefault="00336EDF" w:rsidP="008476B3">
      <w:pPr>
        <w:pStyle w:val="FootnoteText"/>
        <w:jc w:val="both"/>
      </w:pPr>
      <w:r w:rsidRPr="00E03987">
        <w:rPr>
          <w:rStyle w:val="FootnoteReference"/>
          <w:rFonts w:ascii="Times New Roman" w:hAnsi="Times New Roman" w:cs="Times New Roman"/>
        </w:rPr>
        <w:footnoteRef/>
      </w:r>
      <w:r>
        <w:t xml:space="preserve"> </w:t>
      </w:r>
      <w:bookmarkStart w:id="334" w:name="f221"/>
      <w:bookmarkEnd w:id="334"/>
      <w:r w:rsidRPr="00E03987">
        <w:rPr>
          <w:rFonts w:ascii="Times New Roman" w:hAnsi="Times New Roman" w:cs="Times New Roman"/>
        </w:rPr>
        <w:t xml:space="preserve">In re Hardison, </w:t>
      </w:r>
      <w:hyperlink r:id="rId108" w:history="1">
        <w:r w:rsidRPr="008A10ED">
          <w:rPr>
            <w:rStyle w:val="Hyperlink"/>
            <w:rFonts w:ascii="Times New Roman" w:hAnsi="Times New Roman" w:cs="Times New Roman"/>
          </w:rPr>
          <w:t>429 P.2d 320</w:t>
        </w:r>
      </w:hyperlink>
      <w:r w:rsidRPr="00E03987">
        <w:rPr>
          <w:rFonts w:ascii="Times New Roman" w:hAnsi="Times New Roman" w:cs="Times New Roman"/>
        </w:rPr>
        <w:t xml:space="preserve"> (Wyo. 1967)</w:t>
      </w:r>
    </w:p>
  </w:footnote>
  <w:footnote w:id="236">
    <w:p w14:paraId="24149479" w14:textId="7472FD76" w:rsidR="00336EDF" w:rsidRDefault="00336EDF" w:rsidP="008476B3">
      <w:pPr>
        <w:pStyle w:val="FootnoteText"/>
        <w:jc w:val="both"/>
      </w:pPr>
      <w:r w:rsidRPr="008476B3">
        <w:rPr>
          <w:rStyle w:val="FootnoteReference"/>
          <w:rFonts w:ascii="Times New Roman" w:hAnsi="Times New Roman" w:cs="Times New Roman"/>
        </w:rPr>
        <w:footnoteRef/>
      </w:r>
      <w:r>
        <w:t xml:space="preserve"> </w:t>
      </w:r>
      <w:bookmarkStart w:id="335" w:name="f222"/>
      <w:bookmarkEnd w:id="335"/>
      <w:r w:rsidRPr="008476B3">
        <w:rPr>
          <w:rFonts w:ascii="Times New Roman" w:hAnsi="Times New Roman" w:cs="Times New Roman"/>
          <w:i/>
        </w:rPr>
        <w:t>See</w:t>
      </w:r>
      <w:r w:rsidRPr="008476B3">
        <w:rPr>
          <w:rFonts w:ascii="Times New Roman" w:hAnsi="Times New Roman" w:cs="Times New Roman"/>
        </w:rPr>
        <w:t xml:space="preserve"> Wilson v. Holly Sugar Corp., </w:t>
      </w:r>
      <w:hyperlink r:id="rId109" w:history="1">
        <w:r w:rsidRPr="008A10ED">
          <w:rPr>
            <w:rStyle w:val="Hyperlink"/>
            <w:rFonts w:ascii="Times New Roman" w:hAnsi="Times New Roman" w:cs="Times New Roman"/>
          </w:rPr>
          <w:t>33 P.2d 253</w:t>
        </w:r>
      </w:hyperlink>
      <w:r w:rsidRPr="008476B3">
        <w:rPr>
          <w:rFonts w:ascii="Times New Roman" w:hAnsi="Times New Roman" w:cs="Times New Roman"/>
        </w:rPr>
        <w:t xml:space="preserve"> (Wyo. 1934</w:t>
      </w:r>
      <w:r>
        <w:rPr>
          <w:rFonts w:ascii="Times New Roman" w:hAnsi="Times New Roman" w:cs="Times New Roman"/>
        </w:rPr>
        <w:t xml:space="preserve">); statute amended </w:t>
      </w:r>
      <w:r w:rsidRPr="008476B3">
        <w:rPr>
          <w:rFonts w:ascii="Times New Roman" w:hAnsi="Times New Roman" w:cs="Times New Roman"/>
        </w:rPr>
        <w:t>in Ch 4. SL of 1935</w:t>
      </w:r>
    </w:p>
  </w:footnote>
  <w:footnote w:id="237">
    <w:p w14:paraId="7BBD811B" w14:textId="0988C6A0" w:rsidR="00336EDF" w:rsidRPr="00126784" w:rsidRDefault="00336EDF" w:rsidP="008476B3">
      <w:pPr>
        <w:pStyle w:val="FootnoteText"/>
        <w:jc w:val="both"/>
        <w:rPr>
          <w:rFonts w:ascii="Times New Roman" w:hAnsi="Times New Roman" w:cs="Times New Roman"/>
        </w:rPr>
      </w:pPr>
      <w:r w:rsidRPr="00126784">
        <w:rPr>
          <w:rStyle w:val="FootnoteReference"/>
          <w:rFonts w:ascii="Times New Roman" w:hAnsi="Times New Roman" w:cs="Times New Roman"/>
        </w:rPr>
        <w:footnoteRef/>
      </w:r>
      <w:r>
        <w:t xml:space="preserve"> </w:t>
      </w:r>
      <w:bookmarkStart w:id="336" w:name="f223"/>
      <w:bookmarkEnd w:id="336"/>
      <w:r w:rsidRPr="00126784">
        <w:rPr>
          <w:rFonts w:ascii="Times New Roman" w:hAnsi="Times New Roman" w:cs="Times New Roman"/>
        </w:rPr>
        <w:t xml:space="preserve">In re Frihauf, </w:t>
      </w:r>
      <w:hyperlink r:id="rId110" w:history="1">
        <w:r w:rsidRPr="008A10ED">
          <w:rPr>
            <w:rStyle w:val="Hyperlink"/>
            <w:rFonts w:ascii="Times New Roman" w:hAnsi="Times New Roman" w:cs="Times New Roman"/>
          </w:rPr>
          <w:t>135 P.2d 427</w:t>
        </w:r>
      </w:hyperlink>
      <w:r w:rsidRPr="00126784">
        <w:rPr>
          <w:rFonts w:ascii="Times New Roman" w:hAnsi="Times New Roman" w:cs="Times New Roman"/>
        </w:rPr>
        <w:t xml:space="preserve"> (Wyo. 1943), </w:t>
      </w:r>
      <w:r w:rsidRPr="00553888">
        <w:rPr>
          <w:rFonts w:ascii="Times New Roman" w:hAnsi="Times New Roman" w:cs="Times New Roman"/>
          <w:i/>
        </w:rPr>
        <w:t>see also</w:t>
      </w:r>
      <w:r w:rsidRPr="00126784">
        <w:rPr>
          <w:rFonts w:ascii="Times New Roman" w:hAnsi="Times New Roman" w:cs="Times New Roman"/>
        </w:rPr>
        <w:t xml:space="preserve"> In re Scrogham, </w:t>
      </w:r>
      <w:hyperlink r:id="rId111" w:history="1">
        <w:r w:rsidRPr="00824F98">
          <w:rPr>
            <w:rStyle w:val="Hyperlink"/>
            <w:rFonts w:ascii="Times New Roman" w:hAnsi="Times New Roman" w:cs="Times New Roman"/>
          </w:rPr>
          <w:t>72 P.2d 200</w:t>
        </w:r>
      </w:hyperlink>
      <w:r w:rsidRPr="00126784">
        <w:rPr>
          <w:rFonts w:ascii="Times New Roman" w:hAnsi="Times New Roman" w:cs="Times New Roman"/>
        </w:rPr>
        <w:t xml:space="preserve"> (Wyo. 1937) </w:t>
      </w:r>
      <w:r>
        <w:rPr>
          <w:rFonts w:ascii="Times New Roman" w:hAnsi="Times New Roman" w:cs="Times New Roman"/>
        </w:rPr>
        <w:t>(discussing</w:t>
      </w:r>
      <w:r w:rsidRPr="00126784">
        <w:rPr>
          <w:rFonts w:ascii="Times New Roman" w:hAnsi="Times New Roman" w:cs="Times New Roman"/>
        </w:rPr>
        <w:t xml:space="preserve"> effect of worker’s predisposition to injury</w:t>
      </w:r>
      <w:r>
        <w:rPr>
          <w:rFonts w:ascii="Times New Roman" w:hAnsi="Times New Roman" w:cs="Times New Roman"/>
        </w:rPr>
        <w:t>)</w:t>
      </w:r>
    </w:p>
  </w:footnote>
  <w:footnote w:id="238">
    <w:p w14:paraId="1184BAD9" w14:textId="7F2F4830" w:rsidR="00336EDF" w:rsidRDefault="00336EDF" w:rsidP="008476B3">
      <w:pPr>
        <w:pStyle w:val="FootnoteText"/>
        <w:jc w:val="both"/>
      </w:pPr>
      <w:r w:rsidRPr="00126784">
        <w:rPr>
          <w:rStyle w:val="FootnoteReference"/>
          <w:rFonts w:ascii="Times New Roman" w:hAnsi="Times New Roman" w:cs="Times New Roman"/>
        </w:rPr>
        <w:footnoteRef/>
      </w:r>
      <w:r>
        <w:t xml:space="preserve"> </w:t>
      </w:r>
      <w:bookmarkStart w:id="337" w:name="f224"/>
      <w:bookmarkEnd w:id="337"/>
      <w:r w:rsidRPr="00126784">
        <w:rPr>
          <w:rFonts w:ascii="Times New Roman" w:hAnsi="Times New Roman" w:cs="Times New Roman"/>
          <w:i/>
        </w:rPr>
        <w:t>See supra.</w:t>
      </w:r>
      <w:r w:rsidRPr="00126784">
        <w:rPr>
          <w:rFonts w:ascii="Times New Roman" w:hAnsi="Times New Roman" w:cs="Times New Roman"/>
        </w:rPr>
        <w:t xml:space="preserve"> of the Treatise at § 3.1</w:t>
      </w:r>
    </w:p>
  </w:footnote>
  <w:footnote w:id="239">
    <w:p w14:paraId="093B58BD" w14:textId="58CA42B9" w:rsidR="00336EDF" w:rsidRDefault="00336EDF">
      <w:pPr>
        <w:pStyle w:val="FootnoteText"/>
      </w:pPr>
      <w:r w:rsidRPr="008476B3">
        <w:rPr>
          <w:rStyle w:val="FootnoteReference"/>
          <w:rFonts w:ascii="Times New Roman" w:hAnsi="Times New Roman" w:cs="Times New Roman"/>
        </w:rPr>
        <w:footnoteRef/>
      </w:r>
      <w:r>
        <w:t xml:space="preserve"> </w:t>
      </w:r>
      <w:bookmarkStart w:id="338" w:name="f225"/>
      <w:bookmarkEnd w:id="338"/>
      <w:r w:rsidRPr="008476B3">
        <w:rPr>
          <w:rFonts w:ascii="Times New Roman" w:hAnsi="Times New Roman" w:cs="Times New Roman"/>
        </w:rPr>
        <w:t xml:space="preserve">In re Johnson, </w:t>
      </w:r>
      <w:hyperlink r:id="rId112" w:history="1">
        <w:r w:rsidRPr="00824F98">
          <w:rPr>
            <w:rStyle w:val="Hyperlink"/>
            <w:rFonts w:ascii="Times New Roman" w:hAnsi="Times New Roman" w:cs="Times New Roman"/>
          </w:rPr>
          <w:t>63 P.2d 791</w:t>
        </w:r>
      </w:hyperlink>
      <w:r w:rsidRPr="008476B3">
        <w:rPr>
          <w:rFonts w:ascii="Times New Roman" w:hAnsi="Times New Roman" w:cs="Times New Roman"/>
        </w:rPr>
        <w:t xml:space="preserve"> (Wyo. 1937)</w:t>
      </w:r>
    </w:p>
  </w:footnote>
  <w:footnote w:id="240">
    <w:p w14:paraId="1FEEC286" w14:textId="5A41E50E" w:rsidR="00336EDF" w:rsidRDefault="00336EDF">
      <w:pPr>
        <w:pStyle w:val="FootnoteText"/>
      </w:pPr>
      <w:r w:rsidRPr="00855242">
        <w:rPr>
          <w:rStyle w:val="FootnoteReference"/>
          <w:rFonts w:ascii="Times New Roman" w:hAnsi="Times New Roman" w:cs="Times New Roman"/>
        </w:rPr>
        <w:footnoteRef/>
      </w:r>
      <w:r w:rsidRPr="00855242">
        <w:rPr>
          <w:rStyle w:val="FootnoteReference"/>
          <w:rFonts w:ascii="Times New Roman" w:hAnsi="Times New Roman" w:cs="Times New Roman"/>
        </w:rPr>
        <w:t xml:space="preserve"> </w:t>
      </w:r>
      <w:bookmarkStart w:id="339" w:name="f226"/>
      <w:bookmarkEnd w:id="339"/>
      <w:r>
        <w:fldChar w:fldCharType="begin"/>
      </w:r>
      <w:r>
        <w:instrText xml:space="preserve"> HYPERLINK "https://law.justia.com/cases/wyoming/supreme-court/1991/122481.html" </w:instrText>
      </w:r>
      <w:r>
        <w:fldChar w:fldCharType="separate"/>
      </w:r>
      <w:r w:rsidRPr="00824F98">
        <w:rPr>
          <w:rStyle w:val="Hyperlink"/>
          <w:rFonts w:ascii="Times New Roman" w:hAnsi="Times New Roman" w:cs="Times New Roman"/>
        </w:rPr>
        <w:t>807 P.2d 926</w:t>
      </w:r>
      <w:r>
        <w:rPr>
          <w:rStyle w:val="Hyperlink"/>
          <w:rFonts w:ascii="Times New Roman" w:hAnsi="Times New Roman" w:cs="Times New Roman"/>
        </w:rPr>
        <w:fldChar w:fldCharType="end"/>
      </w:r>
      <w:r w:rsidRPr="00855242">
        <w:rPr>
          <w:rFonts w:ascii="Times New Roman" w:hAnsi="Times New Roman" w:cs="Times New Roman"/>
        </w:rPr>
        <w:t xml:space="preserve"> (Wyo. 1991)</w:t>
      </w:r>
    </w:p>
  </w:footnote>
  <w:footnote w:id="241">
    <w:p w14:paraId="1AD9A27A" w14:textId="0C82C59E" w:rsidR="00336EDF" w:rsidRDefault="00336EDF">
      <w:pPr>
        <w:pStyle w:val="FootnoteText"/>
      </w:pPr>
      <w:r w:rsidRPr="00855242">
        <w:rPr>
          <w:rStyle w:val="FootnoteReference"/>
          <w:rFonts w:ascii="Times New Roman" w:hAnsi="Times New Roman" w:cs="Times New Roman"/>
        </w:rPr>
        <w:footnoteRef/>
      </w:r>
      <w:r>
        <w:t xml:space="preserve"> </w:t>
      </w:r>
      <w:bookmarkStart w:id="340" w:name="f227"/>
      <w:bookmarkEnd w:id="340"/>
      <w:r w:rsidRPr="00855242">
        <w:rPr>
          <w:rFonts w:ascii="Times New Roman" w:hAnsi="Times New Roman" w:cs="Times New Roman"/>
          <w:i/>
        </w:rPr>
        <w:t>Id.</w:t>
      </w:r>
    </w:p>
  </w:footnote>
  <w:footnote w:id="242">
    <w:p w14:paraId="13CDA948" w14:textId="4C5A9CA6" w:rsidR="00336EDF" w:rsidRDefault="00336EDF">
      <w:pPr>
        <w:pStyle w:val="FootnoteText"/>
      </w:pPr>
      <w:r w:rsidRPr="00855242">
        <w:rPr>
          <w:rStyle w:val="FootnoteReference"/>
          <w:rFonts w:ascii="Times New Roman" w:hAnsi="Times New Roman" w:cs="Times New Roman"/>
        </w:rPr>
        <w:footnoteRef/>
      </w:r>
      <w:r>
        <w:t xml:space="preserve"> </w:t>
      </w:r>
      <w:bookmarkStart w:id="341" w:name="f228"/>
      <w:bookmarkEnd w:id="341"/>
      <w:r w:rsidRPr="00855242">
        <w:rPr>
          <w:rFonts w:ascii="Times New Roman" w:hAnsi="Times New Roman" w:cs="Times New Roman"/>
          <w:i/>
        </w:rPr>
        <w:t>Id.</w:t>
      </w:r>
    </w:p>
  </w:footnote>
  <w:footnote w:id="243">
    <w:p w14:paraId="1D832E61" w14:textId="225717EB" w:rsidR="00336EDF" w:rsidRDefault="00336EDF">
      <w:pPr>
        <w:pStyle w:val="FootnoteText"/>
      </w:pPr>
      <w:r w:rsidRPr="00855242">
        <w:rPr>
          <w:rStyle w:val="FootnoteReference"/>
          <w:rFonts w:ascii="Times New Roman" w:hAnsi="Times New Roman" w:cs="Times New Roman"/>
        </w:rPr>
        <w:footnoteRef/>
      </w:r>
      <w:r>
        <w:t xml:space="preserve"> </w:t>
      </w:r>
      <w:bookmarkStart w:id="342" w:name="f229"/>
      <w:bookmarkEnd w:id="342"/>
      <w:r w:rsidRPr="00855242">
        <w:rPr>
          <w:rFonts w:ascii="Times New Roman" w:hAnsi="Times New Roman" w:cs="Times New Roman"/>
          <w:i/>
        </w:rPr>
        <w:t>Id.</w:t>
      </w:r>
    </w:p>
  </w:footnote>
  <w:footnote w:id="244">
    <w:p w14:paraId="4D711898" w14:textId="2DFD0180" w:rsidR="00336EDF" w:rsidRDefault="00336EDF">
      <w:pPr>
        <w:pStyle w:val="FootnoteText"/>
      </w:pPr>
      <w:r w:rsidRPr="00931CB9">
        <w:rPr>
          <w:rStyle w:val="FootnoteReference"/>
          <w:rFonts w:ascii="Times New Roman" w:hAnsi="Times New Roman" w:cs="Times New Roman"/>
        </w:rPr>
        <w:footnoteRef/>
      </w:r>
      <w:r>
        <w:t xml:space="preserve"> </w:t>
      </w:r>
      <w:bookmarkStart w:id="343" w:name="f230"/>
      <w:bookmarkEnd w:id="343"/>
      <w:r w:rsidRPr="00931CB9">
        <w:rPr>
          <w:rFonts w:ascii="Times New Roman" w:hAnsi="Times New Roman" w:cs="Times New Roman"/>
          <w:i/>
        </w:rPr>
        <w:t>Id.</w:t>
      </w:r>
    </w:p>
  </w:footnote>
  <w:footnote w:id="245">
    <w:p w14:paraId="0E946A7E" w14:textId="12E3EA71" w:rsidR="00336EDF" w:rsidRDefault="00336EDF">
      <w:pPr>
        <w:pStyle w:val="FootnoteText"/>
      </w:pPr>
      <w:r w:rsidRPr="00931CB9">
        <w:rPr>
          <w:rStyle w:val="FootnoteReference"/>
          <w:rFonts w:ascii="Times New Roman" w:hAnsi="Times New Roman" w:cs="Times New Roman"/>
        </w:rPr>
        <w:footnoteRef/>
      </w:r>
      <w:bookmarkStart w:id="344" w:name="f231"/>
      <w:bookmarkEnd w:id="344"/>
      <w:r w:rsidRPr="00931CB9">
        <w:rPr>
          <w:rStyle w:val="FootnoteReference"/>
          <w:rFonts w:ascii="Times New Roman" w:hAnsi="Times New Roman" w:cs="Times New Roman"/>
        </w:rPr>
        <w:t xml:space="preserve"> </w:t>
      </w:r>
      <w:r w:rsidRPr="00931CB9">
        <w:rPr>
          <w:rFonts w:ascii="Times New Roman" w:hAnsi="Times New Roman" w:cs="Times New Roman"/>
          <w:i/>
        </w:rPr>
        <w:t>Id.</w:t>
      </w:r>
    </w:p>
  </w:footnote>
  <w:footnote w:id="246">
    <w:p w14:paraId="4E7532BE" w14:textId="3BAC716E" w:rsidR="00336EDF" w:rsidRDefault="00336EDF">
      <w:pPr>
        <w:pStyle w:val="FootnoteText"/>
      </w:pPr>
      <w:r w:rsidRPr="00931CB9">
        <w:rPr>
          <w:rStyle w:val="FootnoteReference"/>
          <w:rFonts w:ascii="Times New Roman" w:hAnsi="Times New Roman" w:cs="Times New Roman"/>
        </w:rPr>
        <w:footnoteRef/>
      </w:r>
      <w:bookmarkStart w:id="345" w:name="f232"/>
      <w:bookmarkEnd w:id="345"/>
      <w:r w:rsidRPr="00931CB9">
        <w:rPr>
          <w:rStyle w:val="FootnoteReference"/>
          <w:rFonts w:ascii="Times New Roman" w:hAnsi="Times New Roman" w:cs="Times New Roman"/>
        </w:rPr>
        <w:t xml:space="preserve"> </w:t>
      </w:r>
      <w:r w:rsidRPr="00931CB9">
        <w:rPr>
          <w:rFonts w:ascii="Times New Roman" w:hAnsi="Times New Roman" w:cs="Times New Roman"/>
          <w:i/>
        </w:rPr>
        <w:t>Id.</w:t>
      </w:r>
      <w:r w:rsidRPr="00931CB9">
        <w:rPr>
          <w:rFonts w:ascii="Times New Roman" w:hAnsi="Times New Roman" w:cs="Times New Roman"/>
        </w:rPr>
        <w:t xml:space="preserve"> at 927</w:t>
      </w:r>
    </w:p>
  </w:footnote>
  <w:footnote w:id="247">
    <w:p w14:paraId="5A83A0B6" w14:textId="542DC8F9" w:rsidR="00336EDF" w:rsidRDefault="00336EDF">
      <w:pPr>
        <w:pStyle w:val="FootnoteText"/>
      </w:pPr>
      <w:r w:rsidRPr="00DE46BB">
        <w:rPr>
          <w:rStyle w:val="FootnoteReference"/>
          <w:rFonts w:ascii="Times New Roman" w:hAnsi="Times New Roman" w:cs="Times New Roman"/>
        </w:rPr>
        <w:footnoteRef/>
      </w:r>
      <w:r>
        <w:t xml:space="preserve"> </w:t>
      </w:r>
      <w:bookmarkStart w:id="346" w:name="f233"/>
      <w:bookmarkEnd w:id="346"/>
      <w:r w:rsidRPr="00DE46BB">
        <w:rPr>
          <w:rFonts w:ascii="Times New Roman" w:hAnsi="Times New Roman" w:cs="Times New Roman"/>
          <w:i/>
        </w:rPr>
        <w:t>Id</w:t>
      </w:r>
      <w:r w:rsidRPr="00DE46BB">
        <w:rPr>
          <w:rFonts w:ascii="Times New Roman" w:hAnsi="Times New Roman" w:cs="Times New Roman"/>
        </w:rPr>
        <w:t>. at 928-929</w:t>
      </w:r>
    </w:p>
  </w:footnote>
  <w:footnote w:id="248">
    <w:p w14:paraId="1ED68E8A" w14:textId="6094EDFA" w:rsidR="00336EDF" w:rsidRDefault="00336EDF">
      <w:pPr>
        <w:pStyle w:val="FootnoteText"/>
      </w:pPr>
      <w:r w:rsidRPr="00B83C69">
        <w:rPr>
          <w:rStyle w:val="FootnoteReference"/>
          <w:rFonts w:ascii="Times New Roman" w:hAnsi="Times New Roman" w:cs="Times New Roman"/>
        </w:rPr>
        <w:footnoteRef/>
      </w:r>
      <w:r>
        <w:t xml:space="preserve"> </w:t>
      </w:r>
      <w:bookmarkStart w:id="347" w:name="f234"/>
      <w:bookmarkEnd w:id="347"/>
      <w:r w:rsidRPr="00B83C69">
        <w:rPr>
          <w:rFonts w:ascii="Times New Roman" w:hAnsi="Times New Roman" w:cs="Times New Roman"/>
          <w:i/>
        </w:rPr>
        <w:t>Id</w:t>
      </w:r>
      <w:r w:rsidRPr="00B83C69">
        <w:rPr>
          <w:rFonts w:ascii="Times New Roman" w:hAnsi="Times New Roman" w:cs="Times New Roman"/>
        </w:rPr>
        <w:t>. at 929</w:t>
      </w:r>
    </w:p>
  </w:footnote>
  <w:footnote w:id="249">
    <w:p w14:paraId="422F2091" w14:textId="11048C05" w:rsidR="00336EDF" w:rsidRDefault="00336EDF">
      <w:pPr>
        <w:pStyle w:val="FootnoteText"/>
      </w:pPr>
      <w:r w:rsidRPr="00B83C69">
        <w:rPr>
          <w:rStyle w:val="FootnoteReference"/>
          <w:rFonts w:ascii="Times New Roman" w:hAnsi="Times New Roman" w:cs="Times New Roman"/>
        </w:rPr>
        <w:footnoteRef/>
      </w:r>
      <w:r>
        <w:t xml:space="preserve"> </w:t>
      </w:r>
      <w:bookmarkStart w:id="348" w:name="f235"/>
      <w:bookmarkEnd w:id="348"/>
      <w:r w:rsidRPr="00B83C69">
        <w:rPr>
          <w:rFonts w:ascii="Times New Roman" w:hAnsi="Times New Roman" w:cs="Times New Roman"/>
          <w:i/>
        </w:rPr>
        <w:t>Id.</w:t>
      </w:r>
    </w:p>
  </w:footnote>
  <w:footnote w:id="250">
    <w:p w14:paraId="7D753817" w14:textId="50EDCF1B" w:rsidR="00336EDF" w:rsidRDefault="00336EDF" w:rsidP="00474AC2">
      <w:pPr>
        <w:pStyle w:val="FootnoteText"/>
        <w:jc w:val="both"/>
      </w:pPr>
      <w:r w:rsidRPr="00474AC2">
        <w:rPr>
          <w:rStyle w:val="FootnoteReference"/>
          <w:rFonts w:ascii="Times New Roman" w:hAnsi="Times New Roman" w:cs="Times New Roman"/>
        </w:rPr>
        <w:footnoteRef/>
      </w:r>
      <w:r w:rsidRPr="00474AC2">
        <w:rPr>
          <w:rStyle w:val="FootnoteReference"/>
          <w:rFonts w:ascii="Times New Roman" w:hAnsi="Times New Roman" w:cs="Times New Roman"/>
        </w:rPr>
        <w:t xml:space="preserve"> </w:t>
      </w:r>
      <w:bookmarkStart w:id="350" w:name="f236"/>
      <w:bookmarkEnd w:id="350"/>
      <w:r w:rsidRPr="00474AC2">
        <w:rPr>
          <w:rFonts w:ascii="Times New Roman" w:hAnsi="Times New Roman" w:cs="Times New Roman"/>
        </w:rPr>
        <w:t xml:space="preserve">Torres v. Workers’ Safety </w:t>
      </w:r>
      <w:r>
        <w:rPr>
          <w:rFonts w:ascii="Times New Roman" w:hAnsi="Times New Roman" w:cs="Times New Roman"/>
        </w:rPr>
        <w:t>&amp;</w:t>
      </w:r>
      <w:r w:rsidRPr="00474AC2">
        <w:rPr>
          <w:rFonts w:ascii="Times New Roman" w:hAnsi="Times New Roman" w:cs="Times New Roman"/>
        </w:rPr>
        <w:t xml:space="preserve"> Compensation Div., </w:t>
      </w:r>
      <w:hyperlink r:id="rId113" w:history="1">
        <w:r w:rsidRPr="00824F98">
          <w:rPr>
            <w:rStyle w:val="Hyperlink"/>
            <w:rFonts w:ascii="Times New Roman" w:hAnsi="Times New Roman" w:cs="Times New Roman"/>
          </w:rPr>
          <w:t>105 P.3d 101</w:t>
        </w:r>
      </w:hyperlink>
      <w:r>
        <w:rPr>
          <w:rFonts w:ascii="Times New Roman" w:hAnsi="Times New Roman" w:cs="Times New Roman"/>
        </w:rPr>
        <w:t>, 112</w:t>
      </w:r>
      <w:r w:rsidRPr="00474AC2">
        <w:rPr>
          <w:rFonts w:ascii="Times New Roman" w:hAnsi="Times New Roman" w:cs="Times New Roman"/>
        </w:rPr>
        <w:t xml:space="preserve"> (Wyo. 2005)</w:t>
      </w:r>
      <w:r>
        <w:rPr>
          <w:rFonts w:ascii="Times New Roman" w:hAnsi="Times New Roman" w:cs="Times New Roman"/>
        </w:rPr>
        <w:t xml:space="preserve">  (analyzing an “incisional hernia” under </w:t>
      </w:r>
      <w:r w:rsidRPr="003046AD">
        <w:rPr>
          <w:rFonts w:ascii="Times New Roman" w:hAnsi="Times New Roman" w:cs="Times New Roman"/>
        </w:rPr>
        <w:t xml:space="preserve">W.S. § </w:t>
      </w:r>
      <w:hyperlink r:id="rId114" w:history="1">
        <w:r w:rsidRPr="003046AD">
          <w:rPr>
            <w:rStyle w:val="Hyperlink"/>
            <w:rFonts w:ascii="Times New Roman" w:hAnsi="Times New Roman" w:cs="Times New Roman"/>
          </w:rPr>
          <w:t>27-14-603</w:t>
        </w:r>
      </w:hyperlink>
      <w:r w:rsidRPr="00545F29">
        <w:rPr>
          <w:rFonts w:ascii="Times New Roman" w:hAnsi="Times New Roman" w:cs="Times New Roman"/>
        </w:rPr>
        <w:t>(c)</w:t>
      </w:r>
      <w:r>
        <w:rPr>
          <w:rFonts w:ascii="Times New Roman" w:hAnsi="Times New Roman" w:cs="Times New Roman"/>
        </w:rPr>
        <w:t xml:space="preserve"> )</w:t>
      </w:r>
    </w:p>
  </w:footnote>
  <w:footnote w:id="251">
    <w:p w14:paraId="79F57430" w14:textId="58044069" w:rsidR="00336EDF" w:rsidRPr="001C531F" w:rsidRDefault="00336EDF" w:rsidP="00E26CA1">
      <w:pPr>
        <w:pStyle w:val="FootnoteText"/>
        <w:jc w:val="both"/>
        <w:rPr>
          <w:rFonts w:ascii="Times New Roman" w:hAnsi="Times New Roman" w:cs="Times New Roman"/>
        </w:rPr>
      </w:pPr>
      <w:r w:rsidRPr="00EE31F1">
        <w:rPr>
          <w:rStyle w:val="FootnoteReference"/>
          <w:rFonts w:ascii="Times New Roman" w:hAnsi="Times New Roman" w:cs="Times New Roman"/>
        </w:rPr>
        <w:footnoteRef/>
      </w:r>
      <w:r w:rsidRPr="004B2D58">
        <w:rPr>
          <w:rStyle w:val="FootnoteReference"/>
          <w:rFonts w:ascii="Times New Roman" w:hAnsi="Times New Roman" w:cs="Times New Roman"/>
        </w:rPr>
        <w:t xml:space="preserve"> </w:t>
      </w:r>
      <w:bookmarkStart w:id="353" w:name="f237"/>
      <w:bookmarkEnd w:id="353"/>
      <w:r w:rsidRPr="004B2D58">
        <w:rPr>
          <w:rFonts w:ascii="Times New Roman" w:hAnsi="Times New Roman" w:cs="Times New Roman"/>
        </w:rPr>
        <w:t>In re Scrogham, 73 P.2d 300, 306 (Wyo. 1937);</w:t>
      </w:r>
      <w:r>
        <w:t xml:space="preserve"> </w:t>
      </w:r>
      <w:r w:rsidRPr="00EE31F1">
        <w:rPr>
          <w:rFonts w:ascii="Times New Roman" w:hAnsi="Times New Roman" w:cs="Times New Roman"/>
        </w:rPr>
        <w:t>Matter of Injury to Carpenter</w:t>
      </w:r>
      <w:r>
        <w:rPr>
          <w:rFonts w:ascii="Times New Roman" w:hAnsi="Times New Roman" w:cs="Times New Roman"/>
        </w:rPr>
        <w:t xml:space="preserve">, </w:t>
      </w:r>
      <w:hyperlink r:id="rId115" w:history="1">
        <w:r w:rsidRPr="00824F98">
          <w:rPr>
            <w:rStyle w:val="Hyperlink"/>
            <w:rFonts w:ascii="Times New Roman" w:hAnsi="Times New Roman" w:cs="Times New Roman"/>
          </w:rPr>
          <w:t>736 P.2d 311</w:t>
        </w:r>
      </w:hyperlink>
      <w:r>
        <w:rPr>
          <w:rFonts w:ascii="Times New Roman" w:hAnsi="Times New Roman" w:cs="Times New Roman"/>
        </w:rPr>
        <w:t xml:space="preserve">, 312 (Wyo. 1987) </w:t>
      </w:r>
      <w:r w:rsidRPr="00E26CA1">
        <w:rPr>
          <w:rFonts w:ascii="Times New Roman" w:hAnsi="Times New Roman" w:cs="Times New Roman"/>
          <w:i/>
        </w:rPr>
        <w:t xml:space="preserve">citing </w:t>
      </w:r>
      <w:r w:rsidRPr="00E26CA1">
        <w:rPr>
          <w:rFonts w:ascii="Times New Roman" w:hAnsi="Times New Roman" w:cs="Times New Roman"/>
        </w:rPr>
        <w:t xml:space="preserve"> Lindbloom v. Teton International, </w:t>
      </w:r>
      <w:hyperlink r:id="rId116" w:history="1">
        <w:r w:rsidRPr="00824F98">
          <w:rPr>
            <w:rStyle w:val="Hyperlink"/>
            <w:rFonts w:ascii="Times New Roman" w:hAnsi="Times New Roman" w:cs="Times New Roman"/>
          </w:rPr>
          <w:t>684 P.2d 1388</w:t>
        </w:r>
      </w:hyperlink>
      <w:r w:rsidRPr="00E26CA1">
        <w:rPr>
          <w:rFonts w:ascii="Times New Roman" w:hAnsi="Times New Roman" w:cs="Times New Roman"/>
        </w:rPr>
        <w:t xml:space="preserve"> (1984)</w:t>
      </w:r>
      <w:r>
        <w:rPr>
          <w:rFonts w:ascii="Times New Roman" w:hAnsi="Times New Roman" w:cs="Times New Roman"/>
        </w:rPr>
        <w:t xml:space="preserve">; </w:t>
      </w:r>
      <w:r w:rsidRPr="00E26CA1">
        <w:rPr>
          <w:rFonts w:ascii="Times New Roman" w:hAnsi="Times New Roman" w:cs="Times New Roman"/>
        </w:rPr>
        <w:t xml:space="preserve">Jim's Water Service v. Eayrs, </w:t>
      </w:r>
      <w:hyperlink r:id="rId117" w:history="1">
        <w:r w:rsidRPr="00824F98">
          <w:rPr>
            <w:rStyle w:val="Hyperlink"/>
            <w:rFonts w:ascii="Times New Roman" w:hAnsi="Times New Roman" w:cs="Times New Roman"/>
          </w:rPr>
          <w:t>590 P.2d 1346</w:t>
        </w:r>
      </w:hyperlink>
      <w:r w:rsidRPr="00E26CA1">
        <w:rPr>
          <w:rFonts w:ascii="Times New Roman" w:hAnsi="Times New Roman" w:cs="Times New Roman"/>
        </w:rPr>
        <w:t xml:space="preserve"> (1979)</w:t>
      </w:r>
      <w:r>
        <w:rPr>
          <w:rFonts w:ascii="Times New Roman" w:hAnsi="Times New Roman" w:cs="Times New Roman"/>
        </w:rPr>
        <w:t xml:space="preserve">. The principle continues to be recognized. In re Torres, </w:t>
      </w:r>
      <w:r w:rsidRPr="00E26CA1">
        <w:rPr>
          <w:rFonts w:ascii="Times New Roman" w:hAnsi="Times New Roman" w:cs="Times New Roman"/>
        </w:rPr>
        <w:t>253 P.3d 175</w:t>
      </w:r>
      <w:r>
        <w:rPr>
          <w:rFonts w:ascii="Times New Roman" w:hAnsi="Times New Roman" w:cs="Times New Roman"/>
        </w:rPr>
        <w:t xml:space="preserve">, 180 (Wyo. 2011); </w:t>
      </w:r>
      <w:r w:rsidRPr="001C531F">
        <w:rPr>
          <w:rFonts w:ascii="Times New Roman" w:hAnsi="Times New Roman" w:cs="Times New Roman"/>
        </w:rPr>
        <w:t>In re Boyce</w:t>
      </w:r>
      <w:r>
        <w:rPr>
          <w:rFonts w:ascii="Times New Roman" w:hAnsi="Times New Roman" w:cs="Times New Roman"/>
        </w:rPr>
        <w:t xml:space="preserve">, </w:t>
      </w:r>
      <w:hyperlink r:id="rId118" w:history="1">
        <w:r w:rsidRPr="006C6835">
          <w:rPr>
            <w:rStyle w:val="Hyperlink"/>
            <w:rFonts w:ascii="Times New Roman" w:hAnsi="Times New Roman" w:cs="Times New Roman"/>
          </w:rPr>
          <w:t>105 P.3d 451</w:t>
        </w:r>
      </w:hyperlink>
      <w:r>
        <w:rPr>
          <w:rFonts w:ascii="Times New Roman" w:hAnsi="Times New Roman" w:cs="Times New Roman"/>
        </w:rPr>
        <w:t xml:space="preserve">, 454-455 (Wyo. 2005); Salas v. General Chemical, </w:t>
      </w:r>
      <w:hyperlink r:id="rId119" w:history="1">
        <w:r w:rsidRPr="006C6835">
          <w:rPr>
            <w:rStyle w:val="Hyperlink"/>
            <w:rFonts w:ascii="Times New Roman" w:hAnsi="Times New Roman" w:cs="Times New Roman"/>
          </w:rPr>
          <w:t>71 P.3d 708</w:t>
        </w:r>
      </w:hyperlink>
      <w:r>
        <w:rPr>
          <w:rFonts w:ascii="Times New Roman" w:hAnsi="Times New Roman" w:cs="Times New Roman"/>
        </w:rPr>
        <w:t>, 711-712 (Wyo. 2003)</w:t>
      </w:r>
    </w:p>
  </w:footnote>
  <w:footnote w:id="252">
    <w:p w14:paraId="77C67678" w14:textId="129FE78A" w:rsidR="00336EDF" w:rsidRDefault="00336EDF">
      <w:pPr>
        <w:pStyle w:val="FootnoteText"/>
      </w:pPr>
      <w:r w:rsidRPr="00B942E3">
        <w:rPr>
          <w:rStyle w:val="FootnoteReference"/>
          <w:rFonts w:ascii="Times New Roman" w:hAnsi="Times New Roman" w:cs="Times New Roman"/>
        </w:rPr>
        <w:footnoteRef/>
      </w:r>
      <w:r w:rsidRPr="00B942E3">
        <w:rPr>
          <w:rStyle w:val="FootnoteReference"/>
          <w:rFonts w:ascii="Times New Roman" w:hAnsi="Times New Roman" w:cs="Times New Roman"/>
        </w:rPr>
        <w:t xml:space="preserve"> </w:t>
      </w:r>
      <w:bookmarkStart w:id="354" w:name="f238"/>
      <w:bookmarkEnd w:id="354"/>
      <w:r w:rsidRPr="00B942E3">
        <w:rPr>
          <w:rFonts w:ascii="Times New Roman" w:hAnsi="Times New Roman" w:cs="Times New Roman"/>
        </w:rPr>
        <w:t xml:space="preserve">Claim of Vondra, </w:t>
      </w:r>
      <w:hyperlink r:id="rId120" w:history="1">
        <w:r w:rsidRPr="006C6835">
          <w:rPr>
            <w:rStyle w:val="Hyperlink"/>
            <w:rFonts w:ascii="Times New Roman" w:hAnsi="Times New Roman" w:cs="Times New Roman"/>
          </w:rPr>
          <w:t>448 P.2d 313</w:t>
        </w:r>
      </w:hyperlink>
      <w:r w:rsidRPr="00B942E3">
        <w:rPr>
          <w:rFonts w:ascii="Times New Roman" w:hAnsi="Times New Roman" w:cs="Times New Roman"/>
        </w:rPr>
        <w:t>, 318 (Wyo. 1968)</w:t>
      </w:r>
      <w:r>
        <w:rPr>
          <w:rFonts w:ascii="Times New Roman" w:hAnsi="Times New Roman" w:cs="Times New Roman"/>
        </w:rPr>
        <w:t xml:space="preserve">; Lindbloom v. Teton International, </w:t>
      </w:r>
      <w:r w:rsidRPr="00B942E3">
        <w:rPr>
          <w:rFonts w:ascii="Times New Roman" w:hAnsi="Times New Roman" w:cs="Times New Roman"/>
          <w:i/>
        </w:rPr>
        <w:t>supra</w:t>
      </w:r>
      <w:r>
        <w:rPr>
          <w:rFonts w:ascii="Times New Roman" w:hAnsi="Times New Roman" w:cs="Times New Roman"/>
        </w:rPr>
        <w:t>., 684 P.2d 1389-1390</w:t>
      </w:r>
    </w:p>
  </w:footnote>
  <w:footnote w:id="253">
    <w:p w14:paraId="74C0FA48" w14:textId="170D40BF" w:rsidR="00336EDF" w:rsidRDefault="00336EDF">
      <w:pPr>
        <w:pStyle w:val="FootnoteText"/>
      </w:pPr>
      <w:r w:rsidRPr="00BF05F3">
        <w:rPr>
          <w:rStyle w:val="FootnoteReference"/>
          <w:rFonts w:ascii="Times New Roman" w:hAnsi="Times New Roman" w:cs="Times New Roman"/>
        </w:rPr>
        <w:footnoteRef/>
      </w:r>
      <w:bookmarkStart w:id="355" w:name="f239"/>
      <w:bookmarkEnd w:id="355"/>
      <w:r w:rsidRPr="00BF05F3">
        <w:rPr>
          <w:rStyle w:val="FootnoteReference"/>
          <w:rFonts w:ascii="Times New Roman" w:hAnsi="Times New Roman" w:cs="Times New Roman"/>
        </w:rPr>
        <w:t xml:space="preserve"> </w:t>
      </w:r>
      <w:bookmarkStart w:id="356" w:name="_Hlk518750413"/>
      <w:r w:rsidRPr="00BF05F3">
        <w:rPr>
          <w:rFonts w:ascii="Times New Roman" w:hAnsi="Times New Roman" w:cs="Times New Roman"/>
        </w:rPr>
        <w:t xml:space="preserve">In re Pino, </w:t>
      </w:r>
      <w:hyperlink r:id="rId121" w:history="1">
        <w:r w:rsidRPr="006C6835">
          <w:rPr>
            <w:rStyle w:val="Hyperlink"/>
            <w:rFonts w:ascii="Times New Roman" w:hAnsi="Times New Roman" w:cs="Times New Roman"/>
          </w:rPr>
          <w:t>996 P.2d 679</w:t>
        </w:r>
      </w:hyperlink>
      <w:r w:rsidRPr="00BF05F3">
        <w:rPr>
          <w:rFonts w:ascii="Times New Roman" w:hAnsi="Times New Roman" w:cs="Times New Roman"/>
        </w:rPr>
        <w:t xml:space="preserve">, 685 </w:t>
      </w:r>
      <w:bookmarkEnd w:id="356"/>
      <w:r w:rsidRPr="00BF05F3">
        <w:rPr>
          <w:rFonts w:ascii="Times New Roman" w:hAnsi="Times New Roman" w:cs="Times New Roman"/>
        </w:rPr>
        <w:t>(Wyo. 2000)</w:t>
      </w:r>
      <w:r>
        <w:rPr>
          <w:rFonts w:ascii="Times New Roman" w:hAnsi="Times New Roman" w:cs="Times New Roman"/>
        </w:rPr>
        <w:t xml:space="preserve">; In re Armijo, </w:t>
      </w:r>
      <w:hyperlink r:id="rId122" w:history="1">
        <w:r w:rsidRPr="006C6835">
          <w:rPr>
            <w:rStyle w:val="Hyperlink"/>
            <w:rFonts w:ascii="Times New Roman" w:hAnsi="Times New Roman" w:cs="Times New Roman"/>
          </w:rPr>
          <w:t>99 P.3d 445,</w:t>
        </w:r>
      </w:hyperlink>
      <w:r>
        <w:rPr>
          <w:rFonts w:ascii="Times New Roman" w:hAnsi="Times New Roman" w:cs="Times New Roman"/>
        </w:rPr>
        <w:t xml:space="preserve"> 449-450 (Wyo. 2004)</w:t>
      </w:r>
    </w:p>
  </w:footnote>
  <w:footnote w:id="254">
    <w:p w14:paraId="76F36976" w14:textId="7776B2B1" w:rsidR="00336EDF" w:rsidRDefault="00336EDF">
      <w:pPr>
        <w:pStyle w:val="FootnoteText"/>
      </w:pPr>
      <w:r w:rsidRPr="00142C9A">
        <w:rPr>
          <w:rStyle w:val="FootnoteReference"/>
          <w:rFonts w:ascii="Times New Roman" w:hAnsi="Times New Roman" w:cs="Times New Roman"/>
        </w:rPr>
        <w:footnoteRef/>
      </w:r>
      <w:r w:rsidRPr="00142C9A">
        <w:rPr>
          <w:rFonts w:ascii="Times New Roman" w:hAnsi="Times New Roman" w:cs="Times New Roman"/>
        </w:rPr>
        <w:t xml:space="preserve"> </w:t>
      </w:r>
      <w:bookmarkStart w:id="357" w:name="f240"/>
      <w:bookmarkEnd w:id="357"/>
      <w:r w:rsidRPr="00BF05F3">
        <w:rPr>
          <w:rFonts w:ascii="Times New Roman" w:hAnsi="Times New Roman" w:cs="Times New Roman"/>
        </w:rPr>
        <w:t xml:space="preserve">In re Pino, 996 P.2d </w:t>
      </w:r>
      <w:r>
        <w:rPr>
          <w:rFonts w:ascii="Times New Roman" w:hAnsi="Times New Roman" w:cs="Times New Roman"/>
        </w:rPr>
        <w:t xml:space="preserve">at </w:t>
      </w:r>
      <w:r w:rsidRPr="00BF05F3">
        <w:rPr>
          <w:rFonts w:ascii="Times New Roman" w:hAnsi="Times New Roman" w:cs="Times New Roman"/>
        </w:rPr>
        <w:t>685</w:t>
      </w:r>
      <w:r>
        <w:rPr>
          <w:rFonts w:ascii="Times New Roman" w:hAnsi="Times New Roman" w:cs="Times New Roman"/>
        </w:rPr>
        <w:t xml:space="preserve">; </w:t>
      </w:r>
      <w:r w:rsidRPr="00776492">
        <w:rPr>
          <w:rFonts w:ascii="Times New Roman" w:hAnsi="Times New Roman" w:cs="Times New Roman"/>
        </w:rPr>
        <w:t>Salas v. General Chemical, 71 P.3d 708</w:t>
      </w:r>
      <w:r>
        <w:rPr>
          <w:rFonts w:ascii="Times New Roman" w:hAnsi="Times New Roman" w:cs="Times New Roman"/>
        </w:rPr>
        <w:t xml:space="preserve"> at </w:t>
      </w:r>
      <w:r w:rsidRPr="00776492">
        <w:rPr>
          <w:rFonts w:ascii="Times New Roman" w:hAnsi="Times New Roman" w:cs="Times New Roman"/>
        </w:rPr>
        <w:t>712</w:t>
      </w:r>
      <w:r>
        <w:rPr>
          <w:rFonts w:ascii="Times New Roman" w:hAnsi="Times New Roman" w:cs="Times New Roman"/>
        </w:rPr>
        <w:t xml:space="preserve">; </w:t>
      </w:r>
    </w:p>
  </w:footnote>
  <w:footnote w:id="255">
    <w:p w14:paraId="6D4EEAEF" w14:textId="723A8A2A" w:rsidR="00336EDF" w:rsidRDefault="00336EDF" w:rsidP="00D06581">
      <w:pPr>
        <w:pStyle w:val="FootnoteText"/>
        <w:jc w:val="both"/>
      </w:pPr>
      <w:r w:rsidRPr="00D06581">
        <w:rPr>
          <w:rStyle w:val="FootnoteReference"/>
          <w:rFonts w:ascii="Times New Roman" w:hAnsi="Times New Roman" w:cs="Times New Roman"/>
        </w:rPr>
        <w:footnoteRef/>
      </w:r>
      <w:r w:rsidRPr="00D06581">
        <w:rPr>
          <w:rFonts w:ascii="Times New Roman" w:hAnsi="Times New Roman" w:cs="Times New Roman"/>
        </w:rPr>
        <w:t xml:space="preserve"> </w:t>
      </w:r>
      <w:bookmarkStart w:id="359" w:name="f241"/>
      <w:bookmarkEnd w:id="359"/>
      <w:r w:rsidRPr="00D06581">
        <w:rPr>
          <w:rFonts w:ascii="Times New Roman" w:hAnsi="Times New Roman" w:cs="Times New Roman"/>
        </w:rPr>
        <w:t>This writer</w:t>
      </w:r>
      <w:r>
        <w:rPr>
          <w:rFonts w:ascii="Times New Roman" w:hAnsi="Times New Roman" w:cs="Times New Roman"/>
        </w:rPr>
        <w:t>, following other writers,</w:t>
      </w:r>
      <w:r w:rsidRPr="00D06581">
        <w:rPr>
          <w:rFonts w:ascii="Times New Roman" w:hAnsi="Times New Roman" w:cs="Times New Roman"/>
        </w:rPr>
        <w:t xml:space="preserve"> has previously described the problem as one of “successive </w:t>
      </w:r>
      <w:r>
        <w:rPr>
          <w:rFonts w:ascii="Times New Roman" w:hAnsi="Times New Roman" w:cs="Times New Roman"/>
        </w:rPr>
        <w:t>causation</w:t>
      </w:r>
      <w:r w:rsidRPr="00D06581">
        <w:rPr>
          <w:rFonts w:ascii="Times New Roman" w:hAnsi="Times New Roman" w:cs="Times New Roman"/>
        </w:rPr>
        <w:t>.”</w:t>
      </w:r>
      <w:r>
        <w:t xml:space="preserve"> </w:t>
      </w:r>
      <w:r w:rsidRPr="00F922CA">
        <w:rPr>
          <w:rFonts w:ascii="Times New Roman" w:hAnsi="Times New Roman" w:cs="Times New Roman"/>
        </w:rPr>
        <w:t>D</w:t>
      </w:r>
      <w:r w:rsidRPr="00F922CA">
        <w:rPr>
          <w:rFonts w:ascii="Times New Roman" w:hAnsi="Times New Roman" w:cs="Times New Roman"/>
          <w:smallCaps/>
        </w:rPr>
        <w:t>uff</w:t>
      </w:r>
      <w:r w:rsidRPr="00F922CA">
        <w:rPr>
          <w:rFonts w:ascii="Times New Roman" w:hAnsi="Times New Roman" w:cs="Times New Roman"/>
        </w:rPr>
        <w:t>, W</w:t>
      </w:r>
      <w:r w:rsidRPr="00F922CA">
        <w:rPr>
          <w:rFonts w:ascii="Times New Roman" w:hAnsi="Times New Roman" w:cs="Times New Roman"/>
          <w:smallCaps/>
        </w:rPr>
        <w:t>orkers</w:t>
      </w:r>
      <w:r w:rsidRPr="00F922CA">
        <w:rPr>
          <w:rFonts w:ascii="Times New Roman" w:hAnsi="Times New Roman" w:cs="Times New Roman"/>
        </w:rPr>
        <w:t>’ C</w:t>
      </w:r>
      <w:r w:rsidRPr="00F922CA">
        <w:rPr>
          <w:rFonts w:ascii="Times New Roman" w:hAnsi="Times New Roman" w:cs="Times New Roman"/>
          <w:smallCaps/>
        </w:rPr>
        <w:t>ompensation</w:t>
      </w:r>
      <w:r w:rsidRPr="00F922CA">
        <w:rPr>
          <w:rFonts w:ascii="Times New Roman" w:hAnsi="Times New Roman" w:cs="Times New Roman"/>
        </w:rPr>
        <w:t xml:space="preserve"> L</w:t>
      </w:r>
      <w:r w:rsidRPr="00F922CA">
        <w:rPr>
          <w:rFonts w:ascii="Times New Roman" w:hAnsi="Times New Roman" w:cs="Times New Roman"/>
          <w:smallCaps/>
        </w:rPr>
        <w:t>aw</w:t>
      </w:r>
      <w:r w:rsidRPr="00F922CA">
        <w:rPr>
          <w:rFonts w:ascii="Times New Roman" w:hAnsi="Times New Roman" w:cs="Times New Roman"/>
        </w:rPr>
        <w:t xml:space="preserve"> at </w:t>
      </w:r>
      <w:r>
        <w:rPr>
          <w:rFonts w:ascii="Times New Roman" w:hAnsi="Times New Roman" w:cs="Times New Roman"/>
        </w:rPr>
        <w:t>80</w:t>
      </w:r>
    </w:p>
  </w:footnote>
  <w:footnote w:id="256">
    <w:p w14:paraId="2644D806" w14:textId="7152A5CF" w:rsidR="00336EDF" w:rsidRDefault="00336EDF">
      <w:pPr>
        <w:pStyle w:val="FootnoteText"/>
      </w:pPr>
      <w:r w:rsidRPr="00471EB9">
        <w:rPr>
          <w:rStyle w:val="FootnoteReference"/>
          <w:rFonts w:ascii="Times New Roman" w:hAnsi="Times New Roman" w:cs="Times New Roman"/>
        </w:rPr>
        <w:footnoteRef/>
      </w:r>
      <w:r w:rsidRPr="00471EB9">
        <w:rPr>
          <w:rStyle w:val="FootnoteReference"/>
          <w:rFonts w:ascii="Times New Roman" w:hAnsi="Times New Roman" w:cs="Times New Roman"/>
        </w:rPr>
        <w:t xml:space="preserve"> </w:t>
      </w:r>
      <w:bookmarkStart w:id="360" w:name="f242"/>
      <w:bookmarkEnd w:id="360"/>
      <w:r w:rsidRPr="00471EB9">
        <w:rPr>
          <w:rFonts w:ascii="Times New Roman" w:hAnsi="Times New Roman" w:cs="Times New Roman"/>
        </w:rPr>
        <w:t xml:space="preserve">1 </w:t>
      </w:r>
      <w:r w:rsidRPr="00471EB9">
        <w:rPr>
          <w:rFonts w:ascii="Times New Roman" w:hAnsi="Times New Roman" w:cs="Times New Roman"/>
          <w:smallCaps/>
        </w:rPr>
        <w:t>Larson's Workers</w:t>
      </w:r>
      <w:r>
        <w:rPr>
          <w:rFonts w:ascii="Times New Roman" w:hAnsi="Times New Roman" w:cs="Times New Roman"/>
          <w:smallCaps/>
        </w:rPr>
        <w:t>’</w:t>
      </w:r>
      <w:r w:rsidRPr="00471EB9">
        <w:rPr>
          <w:rFonts w:ascii="Times New Roman" w:hAnsi="Times New Roman" w:cs="Times New Roman"/>
          <w:smallCaps/>
        </w:rPr>
        <w:t xml:space="preserve"> Compensation Law</w:t>
      </w:r>
      <w:r w:rsidRPr="00471EB9">
        <w:rPr>
          <w:rFonts w:ascii="Times New Roman" w:hAnsi="Times New Roman" w:cs="Times New Roman"/>
        </w:rPr>
        <w:t xml:space="preserve"> § 10.02</w:t>
      </w:r>
    </w:p>
  </w:footnote>
  <w:footnote w:id="257">
    <w:p w14:paraId="038FE5A4" w14:textId="35E929F6" w:rsidR="00336EDF" w:rsidRPr="00E96C94" w:rsidRDefault="00336EDF" w:rsidP="00054C8C">
      <w:pPr>
        <w:pStyle w:val="FootnoteText"/>
        <w:jc w:val="both"/>
      </w:pPr>
      <w:r w:rsidRPr="00471EB9">
        <w:rPr>
          <w:rStyle w:val="FootnoteReference"/>
          <w:rFonts w:ascii="Times New Roman" w:hAnsi="Times New Roman" w:cs="Times New Roman"/>
        </w:rPr>
        <w:footnoteRef/>
      </w:r>
      <w:r>
        <w:t xml:space="preserve"> </w:t>
      </w:r>
      <w:bookmarkStart w:id="361" w:name="f243"/>
      <w:bookmarkEnd w:id="361"/>
      <w:r w:rsidRPr="00471EB9">
        <w:rPr>
          <w:rFonts w:ascii="Times New Roman" w:hAnsi="Times New Roman" w:cs="Times New Roman"/>
          <w:i/>
        </w:rPr>
        <w:t>Id.</w:t>
      </w:r>
      <w:r>
        <w:rPr>
          <w:rFonts w:ascii="Times New Roman" w:hAnsi="Times New Roman" w:cs="Times New Roman"/>
          <w:i/>
        </w:rPr>
        <w:t xml:space="preserve"> </w:t>
      </w:r>
      <w:r>
        <w:rPr>
          <w:rFonts w:ascii="Times New Roman" w:hAnsi="Times New Roman" w:cs="Times New Roman"/>
        </w:rPr>
        <w:t xml:space="preserve">Although cases often speak of </w:t>
      </w:r>
      <w:r w:rsidRPr="00E96C94">
        <w:rPr>
          <w:rFonts w:ascii="Times New Roman" w:hAnsi="Times New Roman" w:cs="Times New Roman"/>
          <w:i/>
        </w:rPr>
        <w:t>intervening</w:t>
      </w:r>
      <w:r>
        <w:rPr>
          <w:rFonts w:ascii="Times New Roman" w:hAnsi="Times New Roman" w:cs="Times New Roman"/>
        </w:rPr>
        <w:t xml:space="preserve"> causes in these contexts, it is probably more accurate to say that subsequent injuries may be deemed noncompensable as a matter of law upon establishment of a </w:t>
      </w:r>
      <w:r w:rsidRPr="00451E57">
        <w:rPr>
          <w:rFonts w:ascii="Times New Roman" w:hAnsi="Times New Roman" w:cs="Times New Roman"/>
          <w:b/>
        </w:rPr>
        <w:t>superseding</w:t>
      </w:r>
      <w:r>
        <w:rPr>
          <w:rFonts w:ascii="Times New Roman" w:hAnsi="Times New Roman" w:cs="Times New Roman"/>
        </w:rPr>
        <w:t xml:space="preserve"> or </w:t>
      </w:r>
      <w:r w:rsidRPr="00E96C94">
        <w:rPr>
          <w:rFonts w:ascii="Times New Roman" w:hAnsi="Times New Roman" w:cs="Times New Roman"/>
          <w:b/>
        </w:rPr>
        <w:t>supervening</w:t>
      </w:r>
      <w:r>
        <w:rPr>
          <w:rFonts w:ascii="Times New Roman" w:hAnsi="Times New Roman" w:cs="Times New Roman"/>
        </w:rPr>
        <w:t xml:space="preserve"> cause, which is “a</w:t>
      </w:r>
      <w:r w:rsidRPr="00451E57">
        <w:rPr>
          <w:rFonts w:ascii="Times New Roman" w:hAnsi="Times New Roman" w:cs="Times New Roman"/>
        </w:rPr>
        <w:t xml:space="preserve">n intervening act or force that the law considers sufficient to override the cause for which the original tortfeasor was responsible, thereby exonerating that </w:t>
      </w:r>
      <w:r>
        <w:rPr>
          <w:rFonts w:ascii="Times New Roman" w:hAnsi="Times New Roman" w:cs="Times New Roman"/>
        </w:rPr>
        <w:t>[actor]</w:t>
      </w:r>
      <w:r w:rsidRPr="00451E57">
        <w:rPr>
          <w:rFonts w:ascii="Times New Roman" w:hAnsi="Times New Roman" w:cs="Times New Roman"/>
        </w:rPr>
        <w:t xml:space="preserve"> from liability.</w:t>
      </w:r>
      <w:r>
        <w:rPr>
          <w:rFonts w:ascii="Times New Roman" w:hAnsi="Times New Roman" w:cs="Times New Roman"/>
        </w:rPr>
        <w:t>”</w:t>
      </w:r>
      <w:r w:rsidRPr="00451E57">
        <w:t xml:space="preserve"> </w:t>
      </w:r>
      <w:r w:rsidRPr="00451E57">
        <w:rPr>
          <w:rFonts w:ascii="Times New Roman" w:hAnsi="Times New Roman" w:cs="Times New Roman"/>
          <w:smallCaps/>
        </w:rPr>
        <w:t>Black’s Law Dictionary</w:t>
      </w:r>
      <w:r w:rsidRPr="00451E57">
        <w:rPr>
          <w:rFonts w:ascii="Times New Roman" w:hAnsi="Times New Roman" w:cs="Times New Roman"/>
        </w:rPr>
        <w:t xml:space="preserve"> (1</w:t>
      </w:r>
      <w:r>
        <w:rPr>
          <w:rFonts w:ascii="Times New Roman" w:hAnsi="Times New Roman" w:cs="Times New Roman"/>
        </w:rPr>
        <w:t>1</w:t>
      </w:r>
      <w:r w:rsidRPr="00451E57">
        <w:rPr>
          <w:rFonts w:ascii="Times New Roman" w:hAnsi="Times New Roman" w:cs="Times New Roman"/>
        </w:rPr>
        <w:t>th ed. 201</w:t>
      </w:r>
      <w:r>
        <w:rPr>
          <w:rFonts w:ascii="Times New Roman" w:hAnsi="Times New Roman" w:cs="Times New Roman"/>
        </w:rPr>
        <w:t>9</w:t>
      </w:r>
      <w:r w:rsidRPr="00451E57">
        <w:rPr>
          <w:rFonts w:ascii="Times New Roman" w:hAnsi="Times New Roman" w:cs="Times New Roman"/>
        </w:rPr>
        <w:t>)</w:t>
      </w:r>
      <w:r>
        <w:rPr>
          <w:rFonts w:ascii="Times New Roman" w:hAnsi="Times New Roman" w:cs="Times New Roman"/>
        </w:rPr>
        <w:t xml:space="preserve"> </w:t>
      </w:r>
    </w:p>
  </w:footnote>
  <w:footnote w:id="258">
    <w:p w14:paraId="41A05FE7" w14:textId="5138CCB4" w:rsidR="00336EDF" w:rsidRPr="002A1B5E" w:rsidRDefault="00336EDF" w:rsidP="002A1B5E">
      <w:pPr>
        <w:pStyle w:val="FootnoteText"/>
        <w:jc w:val="both"/>
        <w:rPr>
          <w:rFonts w:ascii="Times New Roman" w:hAnsi="Times New Roman" w:cs="Times New Roman"/>
        </w:rPr>
      </w:pPr>
      <w:r w:rsidRPr="002A1B5E">
        <w:rPr>
          <w:rStyle w:val="FootnoteReference"/>
          <w:rFonts w:ascii="Times New Roman" w:hAnsi="Times New Roman" w:cs="Times New Roman"/>
        </w:rPr>
        <w:footnoteRef/>
      </w:r>
      <w:r>
        <w:t xml:space="preserve"> </w:t>
      </w:r>
      <w:bookmarkStart w:id="362" w:name="f244"/>
      <w:bookmarkEnd w:id="362"/>
      <w:r w:rsidRPr="002A1B5E">
        <w:rPr>
          <w:rFonts w:ascii="Times New Roman" w:hAnsi="Times New Roman" w:cs="Times New Roman"/>
        </w:rPr>
        <w:t xml:space="preserve">Matter of Hall, 414 P.3d 622, 625 (Wyo. 2018) </w:t>
      </w:r>
      <w:r w:rsidRPr="002A1B5E">
        <w:rPr>
          <w:rFonts w:ascii="Times New Roman" w:hAnsi="Times New Roman" w:cs="Times New Roman"/>
          <w:i/>
        </w:rPr>
        <w:t>quoting</w:t>
      </w:r>
      <w:r w:rsidRPr="002A1B5E">
        <w:rPr>
          <w:rFonts w:ascii="Times New Roman" w:hAnsi="Times New Roman" w:cs="Times New Roman"/>
        </w:rPr>
        <w:t xml:space="preserve"> Hardy v. Dep</w:t>
      </w:r>
      <w:r>
        <w:rPr>
          <w:rFonts w:ascii="Times New Roman" w:hAnsi="Times New Roman" w:cs="Times New Roman"/>
        </w:rPr>
        <w:t>’</w:t>
      </w:r>
      <w:r w:rsidRPr="002A1B5E">
        <w:rPr>
          <w:rFonts w:ascii="Times New Roman" w:hAnsi="Times New Roman" w:cs="Times New Roman"/>
        </w:rPr>
        <w:t>t of Workforce Servs., Workers</w:t>
      </w:r>
      <w:r>
        <w:rPr>
          <w:rFonts w:ascii="Times New Roman" w:hAnsi="Times New Roman" w:cs="Times New Roman"/>
        </w:rPr>
        <w:t>’</w:t>
      </w:r>
      <w:r w:rsidRPr="002A1B5E">
        <w:rPr>
          <w:rFonts w:ascii="Times New Roman" w:hAnsi="Times New Roman" w:cs="Times New Roman"/>
        </w:rPr>
        <w:t xml:space="preserve"> Comp. Div., 394 P.3d 454, 457 (Wyo. 2017); </w:t>
      </w:r>
      <w:r>
        <w:rPr>
          <w:rFonts w:ascii="Times New Roman" w:hAnsi="Times New Roman" w:cs="Times New Roman"/>
        </w:rPr>
        <w:t xml:space="preserve">in turn </w:t>
      </w:r>
      <w:r w:rsidRPr="002A1B5E">
        <w:rPr>
          <w:rFonts w:ascii="Times New Roman" w:hAnsi="Times New Roman" w:cs="Times New Roman"/>
          <w:i/>
        </w:rPr>
        <w:t>citing</w:t>
      </w:r>
      <w:r w:rsidRPr="002A1B5E">
        <w:rPr>
          <w:rFonts w:ascii="Times New Roman" w:hAnsi="Times New Roman" w:cs="Times New Roman"/>
        </w:rPr>
        <w:t xml:space="preserve"> Kenyon v. Wyo. Workers</w:t>
      </w:r>
      <w:r>
        <w:rPr>
          <w:rFonts w:ascii="Times New Roman" w:hAnsi="Times New Roman" w:cs="Times New Roman"/>
        </w:rPr>
        <w:t>’</w:t>
      </w:r>
      <w:r w:rsidRPr="002A1B5E">
        <w:rPr>
          <w:rFonts w:ascii="Times New Roman" w:hAnsi="Times New Roman" w:cs="Times New Roman"/>
        </w:rPr>
        <w:t xml:space="preserve"> Safety &amp; Comp. Div.,</w:t>
      </w:r>
      <w:r>
        <w:rPr>
          <w:rFonts w:ascii="Times New Roman" w:hAnsi="Times New Roman" w:cs="Times New Roman"/>
        </w:rPr>
        <w:t xml:space="preserve"> </w:t>
      </w:r>
      <w:r w:rsidRPr="002A1B5E">
        <w:rPr>
          <w:rFonts w:ascii="Times New Roman" w:hAnsi="Times New Roman" w:cs="Times New Roman"/>
        </w:rPr>
        <w:t xml:space="preserve">247 P.3d 845, 850 (Wyo. 2011), </w:t>
      </w:r>
      <w:r w:rsidRPr="002A1B5E">
        <w:rPr>
          <w:rFonts w:ascii="Times New Roman" w:hAnsi="Times New Roman" w:cs="Times New Roman"/>
          <w:i/>
        </w:rPr>
        <w:t>quoting</w:t>
      </w:r>
      <w:r w:rsidRPr="002A1B5E">
        <w:rPr>
          <w:rFonts w:ascii="Times New Roman" w:hAnsi="Times New Roman" w:cs="Times New Roman"/>
        </w:rPr>
        <w:t xml:space="preserve"> Yenne-Tully v. Workers</w:t>
      </w:r>
      <w:r>
        <w:rPr>
          <w:rFonts w:ascii="Times New Roman" w:hAnsi="Times New Roman" w:cs="Times New Roman"/>
        </w:rPr>
        <w:t>’</w:t>
      </w:r>
      <w:r w:rsidRPr="002A1B5E">
        <w:rPr>
          <w:rFonts w:ascii="Times New Roman" w:hAnsi="Times New Roman" w:cs="Times New Roman"/>
        </w:rPr>
        <w:t xml:space="preserve"> Safety &amp; Comp. Div., Dep</w:t>
      </w:r>
      <w:r>
        <w:rPr>
          <w:rFonts w:ascii="Times New Roman" w:hAnsi="Times New Roman" w:cs="Times New Roman"/>
        </w:rPr>
        <w:t>’</w:t>
      </w:r>
      <w:r w:rsidRPr="002A1B5E">
        <w:rPr>
          <w:rFonts w:ascii="Times New Roman" w:hAnsi="Times New Roman" w:cs="Times New Roman"/>
        </w:rPr>
        <w:t>t of Emp</w:t>
      </w:r>
      <w:r>
        <w:rPr>
          <w:rFonts w:ascii="Times New Roman" w:hAnsi="Times New Roman" w:cs="Times New Roman"/>
        </w:rPr>
        <w:t>’</w:t>
      </w:r>
      <w:r w:rsidRPr="002A1B5E">
        <w:rPr>
          <w:rFonts w:ascii="Times New Roman" w:hAnsi="Times New Roman" w:cs="Times New Roman"/>
        </w:rPr>
        <w:t>t, 12 P.3d 170, 172 (Wyo. 2000) (Yenne-Tully I )</w:t>
      </w:r>
    </w:p>
  </w:footnote>
  <w:footnote w:id="259">
    <w:p w14:paraId="3278EF0B" w14:textId="06571481" w:rsidR="00336EDF" w:rsidRDefault="00336EDF">
      <w:pPr>
        <w:pStyle w:val="FootnoteText"/>
      </w:pPr>
      <w:r w:rsidRPr="009E5771">
        <w:rPr>
          <w:rStyle w:val="FootnoteReference"/>
          <w:rFonts w:ascii="Times New Roman" w:hAnsi="Times New Roman" w:cs="Times New Roman"/>
        </w:rPr>
        <w:footnoteRef/>
      </w:r>
      <w:r>
        <w:t xml:space="preserve"> </w:t>
      </w:r>
      <w:bookmarkStart w:id="364" w:name="f245"/>
      <w:bookmarkEnd w:id="364"/>
      <w:r w:rsidRPr="003046AD">
        <w:rPr>
          <w:rFonts w:ascii="Times New Roman" w:hAnsi="Times New Roman" w:cs="Times New Roman"/>
        </w:rPr>
        <w:t xml:space="preserve">W.S. § </w:t>
      </w:r>
      <w:hyperlink r:id="rId123" w:history="1">
        <w:r w:rsidRPr="003046AD">
          <w:rPr>
            <w:rStyle w:val="Hyperlink"/>
            <w:rFonts w:ascii="Times New Roman" w:hAnsi="Times New Roman" w:cs="Times New Roman"/>
          </w:rPr>
          <w:t>27-14-605</w:t>
        </w:r>
      </w:hyperlink>
      <w:r w:rsidRPr="009E5771">
        <w:rPr>
          <w:rFonts w:ascii="Times New Roman" w:hAnsi="Times New Roman" w:cs="Times New Roman"/>
        </w:rPr>
        <w:t>. The provision in its entirety states:</w:t>
      </w:r>
    </w:p>
    <w:p w14:paraId="29715A45" w14:textId="77777777" w:rsidR="00336EDF" w:rsidRDefault="00336EDF" w:rsidP="009E5771">
      <w:pPr>
        <w:pStyle w:val="FootnoteText"/>
        <w:ind w:left="720" w:right="720"/>
        <w:jc w:val="both"/>
        <w:rPr>
          <w:rFonts w:ascii="Times New Roman" w:hAnsi="Times New Roman" w:cs="Times New Roman"/>
        </w:rPr>
      </w:pPr>
    </w:p>
    <w:p w14:paraId="514DEC80" w14:textId="1F375981" w:rsidR="00336EDF" w:rsidRPr="009E5771" w:rsidRDefault="00336EDF" w:rsidP="009E5771">
      <w:pPr>
        <w:pStyle w:val="FootnoteText"/>
        <w:ind w:left="720" w:right="720"/>
        <w:jc w:val="both"/>
        <w:rPr>
          <w:rFonts w:ascii="Times New Roman" w:hAnsi="Times New Roman" w:cs="Times New Roman"/>
        </w:rPr>
      </w:pPr>
      <w:r w:rsidRPr="009E5771">
        <w:rPr>
          <w:rFonts w:ascii="Times New Roman" w:hAnsi="Times New Roman" w:cs="Times New Roman"/>
        </w:rPr>
        <w:t>(a) If a determination is made in favor of or on behalf of an employee for any benefits under this act, an application may be made to the division by any party within four (4) years from the date of the last payment for additional benefits or for a modification of the amount of benefits on the ground of increase or decrease of incapacity due solely to the injury, or upon grounds of mistake or fraud. The division may, upon the same grounds and within the same time period, apply for modification of medical and disability benefits to a hearing examiner or the medical commission, as appropriate.</w:t>
      </w:r>
    </w:p>
    <w:p w14:paraId="3576BD72" w14:textId="77777777" w:rsidR="00336EDF" w:rsidRPr="009E5771" w:rsidRDefault="00336EDF" w:rsidP="009E5771">
      <w:pPr>
        <w:pStyle w:val="FootnoteText"/>
        <w:ind w:left="720" w:right="720"/>
        <w:jc w:val="both"/>
        <w:rPr>
          <w:rFonts w:ascii="Times New Roman" w:hAnsi="Times New Roman" w:cs="Times New Roman"/>
        </w:rPr>
      </w:pPr>
      <w:r w:rsidRPr="009E5771">
        <w:rPr>
          <w:rFonts w:ascii="Times New Roman" w:hAnsi="Times New Roman" w:cs="Times New Roman"/>
        </w:rPr>
        <w:t>(b) Any right to benefits shall be terminated and is no longer under the jurisdiction of this act if a claim for any benefit is not filed with the division within the four (4) year limitation prescribed under subsection (a) of this section.</w:t>
      </w:r>
    </w:p>
    <w:p w14:paraId="274E9B2D" w14:textId="77777777" w:rsidR="00336EDF" w:rsidRPr="009E5771" w:rsidRDefault="00336EDF" w:rsidP="009E5771">
      <w:pPr>
        <w:pStyle w:val="FootnoteText"/>
        <w:ind w:left="720" w:right="720"/>
        <w:jc w:val="both"/>
        <w:rPr>
          <w:rFonts w:ascii="Times New Roman" w:hAnsi="Times New Roman" w:cs="Times New Roman"/>
        </w:rPr>
      </w:pPr>
      <w:r w:rsidRPr="009E5771">
        <w:rPr>
          <w:rFonts w:ascii="Times New Roman" w:hAnsi="Times New Roman" w:cs="Times New Roman"/>
        </w:rPr>
        <w:t>(c) A claim for medical benefits which would otherwise be terminated under subsection (b) of this section and barred under W.S. 27-14-503(a) and (b) may be paid by the division if the claimant:</w:t>
      </w:r>
    </w:p>
    <w:p w14:paraId="0DA3E23F" w14:textId="77777777" w:rsidR="00336EDF" w:rsidRPr="009E5771" w:rsidRDefault="00336EDF" w:rsidP="009E5771">
      <w:pPr>
        <w:pStyle w:val="FootnoteText"/>
        <w:ind w:left="720" w:right="720"/>
        <w:jc w:val="both"/>
        <w:rPr>
          <w:rFonts w:ascii="Times New Roman" w:hAnsi="Times New Roman" w:cs="Times New Roman"/>
        </w:rPr>
      </w:pPr>
      <w:r w:rsidRPr="009E5771">
        <w:rPr>
          <w:rFonts w:ascii="Times New Roman" w:hAnsi="Times New Roman" w:cs="Times New Roman"/>
        </w:rPr>
        <w:t>(i) Submits medical reports to the division substantiating his claim;</w:t>
      </w:r>
    </w:p>
    <w:p w14:paraId="632B36A5" w14:textId="77777777" w:rsidR="00336EDF" w:rsidRPr="009E5771" w:rsidRDefault="00336EDF" w:rsidP="009E5771">
      <w:pPr>
        <w:pStyle w:val="FootnoteText"/>
        <w:ind w:left="720" w:right="720"/>
        <w:jc w:val="both"/>
        <w:rPr>
          <w:rFonts w:ascii="Times New Roman" w:hAnsi="Times New Roman" w:cs="Times New Roman"/>
        </w:rPr>
      </w:pPr>
      <w:r w:rsidRPr="009E5771">
        <w:rPr>
          <w:rFonts w:ascii="Times New Roman" w:hAnsi="Times New Roman" w:cs="Times New Roman"/>
        </w:rPr>
        <w:t>(ii) Proves by competent medical authority and to a reasonable degree of medical certainty that the condition is directly related to the original injury; and</w:t>
      </w:r>
    </w:p>
    <w:p w14:paraId="2416315B" w14:textId="2AB210FE" w:rsidR="00336EDF" w:rsidRDefault="00336EDF" w:rsidP="009E5771">
      <w:pPr>
        <w:pStyle w:val="FootnoteText"/>
        <w:ind w:left="720" w:right="720"/>
        <w:jc w:val="both"/>
        <w:rPr>
          <w:rFonts w:ascii="Times New Roman" w:hAnsi="Times New Roman" w:cs="Times New Roman"/>
        </w:rPr>
      </w:pPr>
      <w:r w:rsidRPr="009E5771">
        <w:rPr>
          <w:rFonts w:ascii="Times New Roman" w:hAnsi="Times New Roman" w:cs="Times New Roman"/>
        </w:rPr>
        <w:t>(iii) Submits to an examination by a health care provider selected by the division and results of the examination validate his claim.</w:t>
      </w:r>
    </w:p>
    <w:p w14:paraId="0C42A596" w14:textId="77777777" w:rsidR="00336EDF" w:rsidRPr="009E5771" w:rsidRDefault="00336EDF" w:rsidP="009E5771">
      <w:pPr>
        <w:pStyle w:val="FootnoteText"/>
        <w:ind w:left="720" w:right="720"/>
        <w:jc w:val="both"/>
        <w:rPr>
          <w:rFonts w:ascii="Times New Roman" w:hAnsi="Times New Roman" w:cs="Times New Roman"/>
        </w:rPr>
      </w:pPr>
    </w:p>
  </w:footnote>
  <w:footnote w:id="260">
    <w:p w14:paraId="3A38D534" w14:textId="14DA7DD8" w:rsidR="00336EDF" w:rsidRPr="00553888" w:rsidRDefault="00336EDF" w:rsidP="00553888">
      <w:pPr>
        <w:spacing w:after="0"/>
        <w:jc w:val="both"/>
        <w:rPr>
          <w:rFonts w:ascii="Times New Roman" w:hAnsi="Times New Roman" w:cs="Times New Roman"/>
          <w:sz w:val="20"/>
          <w:szCs w:val="20"/>
        </w:rPr>
      </w:pPr>
      <w:r w:rsidRPr="00553888">
        <w:rPr>
          <w:rStyle w:val="FootnoteReference"/>
          <w:rFonts w:ascii="Times New Roman" w:hAnsi="Times New Roman" w:cs="Times New Roman"/>
          <w:sz w:val="20"/>
          <w:szCs w:val="20"/>
        </w:rPr>
        <w:footnoteRef/>
      </w:r>
      <w:r w:rsidRPr="00553888">
        <w:rPr>
          <w:rFonts w:ascii="Times New Roman" w:hAnsi="Times New Roman" w:cs="Times New Roman"/>
          <w:sz w:val="20"/>
          <w:szCs w:val="20"/>
        </w:rPr>
        <w:t xml:space="preserve"> </w:t>
      </w:r>
      <w:bookmarkStart w:id="365" w:name="f246"/>
      <w:bookmarkEnd w:id="365"/>
      <w:r w:rsidRPr="00553888">
        <w:rPr>
          <w:rFonts w:ascii="Times New Roman" w:hAnsi="Times New Roman" w:cs="Times New Roman"/>
          <w:sz w:val="20"/>
          <w:szCs w:val="20"/>
        </w:rPr>
        <w:t xml:space="preserve">“Under the second compensable injury rule, a worker who has received a compensable injury and received benefits for that injury can, </w:t>
      </w:r>
      <w:r w:rsidRPr="00553888">
        <w:rPr>
          <w:rFonts w:ascii="Times New Roman" w:hAnsi="Times New Roman" w:cs="Times New Roman"/>
          <w:b/>
          <w:sz w:val="20"/>
          <w:szCs w:val="20"/>
          <w:u w:val="single"/>
        </w:rPr>
        <w:t>regardless of the passage of time</w:t>
      </w:r>
      <w:r w:rsidRPr="00553888">
        <w:rPr>
          <w:rFonts w:ascii="Times New Roman" w:hAnsi="Times New Roman" w:cs="Times New Roman"/>
          <w:sz w:val="20"/>
          <w:szCs w:val="20"/>
        </w:rPr>
        <w:t>, receive more benefits for that compensable injury without meeting either of the time limits or increased burden of proof found in Wyo. Stat. Ann. § 27-14-605.”  Yenne-Tully v. Workers</w:t>
      </w:r>
      <w:r>
        <w:rPr>
          <w:rFonts w:ascii="Times New Roman" w:hAnsi="Times New Roman" w:cs="Times New Roman"/>
          <w:sz w:val="20"/>
          <w:szCs w:val="20"/>
        </w:rPr>
        <w:t>’</w:t>
      </w:r>
      <w:r w:rsidRPr="00553888">
        <w:rPr>
          <w:rFonts w:ascii="Times New Roman" w:hAnsi="Times New Roman" w:cs="Times New Roman"/>
          <w:sz w:val="20"/>
          <w:szCs w:val="20"/>
        </w:rPr>
        <w:t xml:space="preserve"> Safety and Compensation Div., </w:t>
      </w:r>
      <w:hyperlink r:id="rId124" w:history="1">
        <w:r w:rsidRPr="009933E0">
          <w:rPr>
            <w:rStyle w:val="Hyperlink"/>
            <w:rFonts w:ascii="Times New Roman" w:hAnsi="Times New Roman" w:cs="Times New Roman"/>
            <w:sz w:val="20"/>
            <w:szCs w:val="20"/>
          </w:rPr>
          <w:t>48 P.3d 1057</w:t>
        </w:r>
      </w:hyperlink>
      <w:r w:rsidRPr="00553888">
        <w:rPr>
          <w:rFonts w:ascii="Times New Roman" w:hAnsi="Times New Roman" w:cs="Times New Roman"/>
          <w:sz w:val="20"/>
          <w:szCs w:val="20"/>
        </w:rPr>
        <w:t>, 1062 (Wyo. 2002) (Yenne-Tully II).</w:t>
      </w:r>
      <w:r>
        <w:rPr>
          <w:rFonts w:ascii="Times New Roman" w:hAnsi="Times New Roman" w:cs="Times New Roman"/>
          <w:sz w:val="20"/>
          <w:szCs w:val="20"/>
        </w:rPr>
        <w:t xml:space="preserve"> (emphasis supplied)</w:t>
      </w:r>
    </w:p>
  </w:footnote>
  <w:footnote w:id="261">
    <w:p w14:paraId="73B74915" w14:textId="0D6E6C95" w:rsidR="00336EDF" w:rsidRPr="00A44DD7" w:rsidRDefault="00336EDF" w:rsidP="00A44DD7">
      <w:pPr>
        <w:pStyle w:val="FootnoteText"/>
        <w:jc w:val="both"/>
        <w:rPr>
          <w:rFonts w:ascii="Times New Roman" w:hAnsi="Times New Roman" w:cs="Times New Roman"/>
        </w:rPr>
      </w:pPr>
      <w:r w:rsidRPr="00A44DD7">
        <w:rPr>
          <w:rStyle w:val="FootnoteReference"/>
          <w:rFonts w:ascii="Times New Roman" w:hAnsi="Times New Roman" w:cs="Times New Roman"/>
        </w:rPr>
        <w:footnoteRef/>
      </w:r>
      <w:r>
        <w:t xml:space="preserve"> </w:t>
      </w:r>
      <w:bookmarkStart w:id="366" w:name="f247"/>
      <w:bookmarkEnd w:id="366"/>
      <w:r w:rsidRPr="00A44DD7">
        <w:rPr>
          <w:rFonts w:ascii="Times New Roman" w:hAnsi="Times New Roman" w:cs="Times New Roman"/>
        </w:rPr>
        <w:t xml:space="preserve">In re Kaczmarek, </w:t>
      </w:r>
      <w:hyperlink r:id="rId125" w:history="1">
        <w:r w:rsidRPr="009933E0">
          <w:rPr>
            <w:rStyle w:val="Hyperlink"/>
            <w:rFonts w:ascii="Times New Roman" w:hAnsi="Times New Roman" w:cs="Times New Roman"/>
          </w:rPr>
          <w:t>215 P.3d 277</w:t>
        </w:r>
      </w:hyperlink>
      <w:r w:rsidRPr="00A44DD7">
        <w:rPr>
          <w:rFonts w:ascii="Times New Roman" w:hAnsi="Times New Roman" w:cs="Times New Roman"/>
        </w:rPr>
        <w:t xml:space="preserve">, 282 (Wyo. 2009) </w:t>
      </w:r>
      <w:r w:rsidRPr="00A44DD7">
        <w:rPr>
          <w:rFonts w:ascii="Times New Roman" w:hAnsi="Times New Roman" w:cs="Times New Roman"/>
          <w:i/>
        </w:rPr>
        <w:t xml:space="preserve">quoting </w:t>
      </w:r>
      <w:r w:rsidRPr="00A44DD7">
        <w:rPr>
          <w:rFonts w:ascii="Times New Roman" w:hAnsi="Times New Roman" w:cs="Times New Roman"/>
        </w:rPr>
        <w:t xml:space="preserve">Pino v. State ex rel. Wyo. Workers' Safety &amp; Comp. Div., 996 P.2d 679, 685 (Wyo.2000) </w:t>
      </w:r>
    </w:p>
  </w:footnote>
  <w:footnote w:id="262">
    <w:p w14:paraId="2462A4E0" w14:textId="4E3C76FD" w:rsidR="00336EDF" w:rsidRDefault="00336EDF">
      <w:pPr>
        <w:pStyle w:val="FootnoteText"/>
      </w:pPr>
      <w:r w:rsidRPr="009245CA">
        <w:rPr>
          <w:rStyle w:val="FootnoteReference"/>
          <w:rFonts w:ascii="Times New Roman" w:hAnsi="Times New Roman" w:cs="Times New Roman"/>
        </w:rPr>
        <w:footnoteRef/>
      </w:r>
      <w:r>
        <w:t xml:space="preserve"> </w:t>
      </w:r>
      <w:bookmarkStart w:id="367" w:name="f248"/>
      <w:bookmarkEnd w:id="367"/>
      <w:r w:rsidRPr="009245CA">
        <w:rPr>
          <w:rFonts w:ascii="Times New Roman" w:hAnsi="Times New Roman" w:cs="Times New Roman"/>
        </w:rPr>
        <w:t xml:space="preserve">13 </w:t>
      </w:r>
      <w:r w:rsidRPr="009245CA">
        <w:rPr>
          <w:rFonts w:ascii="Times New Roman" w:hAnsi="Times New Roman" w:cs="Times New Roman"/>
          <w:smallCaps/>
        </w:rPr>
        <w:t>Larson’s Workers’ Compensation Law</w:t>
      </w:r>
      <w:r w:rsidRPr="009245CA">
        <w:rPr>
          <w:rFonts w:ascii="Times New Roman" w:hAnsi="Times New Roman" w:cs="Times New Roman"/>
        </w:rPr>
        <w:t xml:space="preserve"> § 131.03</w:t>
      </w:r>
    </w:p>
  </w:footnote>
  <w:footnote w:id="263">
    <w:p w14:paraId="74E77032" w14:textId="57C2274D" w:rsidR="00336EDF" w:rsidRPr="008B6845" w:rsidRDefault="00336EDF" w:rsidP="005F7859">
      <w:pPr>
        <w:pStyle w:val="FootnoteText"/>
        <w:jc w:val="both"/>
        <w:rPr>
          <w:rFonts w:ascii="Times New Roman" w:hAnsi="Times New Roman" w:cs="Times New Roman"/>
        </w:rPr>
      </w:pPr>
      <w:r w:rsidRPr="008B6845">
        <w:rPr>
          <w:rStyle w:val="FootnoteReference"/>
          <w:rFonts w:ascii="Times New Roman" w:hAnsi="Times New Roman" w:cs="Times New Roman"/>
        </w:rPr>
        <w:footnoteRef/>
      </w:r>
      <w:r>
        <w:t xml:space="preserve"> </w:t>
      </w:r>
      <w:bookmarkStart w:id="369" w:name="f249"/>
      <w:bookmarkEnd w:id="369"/>
      <w:r>
        <w:rPr>
          <w:rFonts w:ascii="Times New Roman" w:hAnsi="Times New Roman" w:cs="Times New Roman"/>
        </w:rPr>
        <w:t>Very early on in Wyoming workers’ compensation history this was not</w:t>
      </w:r>
      <w:r w:rsidRPr="008B6845">
        <w:rPr>
          <w:rFonts w:ascii="Times New Roman" w:hAnsi="Times New Roman" w:cs="Times New Roman"/>
        </w:rPr>
        <w:t xml:space="preserve"> the case</w:t>
      </w:r>
      <w:r>
        <w:rPr>
          <w:rFonts w:ascii="Times New Roman" w:hAnsi="Times New Roman" w:cs="Times New Roman"/>
        </w:rPr>
        <w:t>,</w:t>
      </w:r>
      <w:r w:rsidRPr="008B6845">
        <w:rPr>
          <w:rFonts w:ascii="Times New Roman" w:hAnsi="Times New Roman" w:cs="Times New Roman"/>
        </w:rPr>
        <w:t xml:space="preserve"> however.</w:t>
      </w:r>
      <w:r w:rsidRPr="009D132C">
        <w:rPr>
          <w:rFonts w:ascii="Times New Roman" w:hAnsi="Times New Roman" w:cs="Times New Roman"/>
          <w:i/>
        </w:rPr>
        <w:t xml:space="preserve"> See</w:t>
      </w:r>
      <w:r w:rsidRPr="008B6845">
        <w:rPr>
          <w:rFonts w:ascii="Times New Roman" w:hAnsi="Times New Roman" w:cs="Times New Roman"/>
        </w:rPr>
        <w:t xml:space="preserve"> In re Pero, </w:t>
      </w:r>
      <w:hyperlink r:id="rId126" w:history="1">
        <w:r w:rsidRPr="009933E0">
          <w:rPr>
            <w:rStyle w:val="Hyperlink"/>
            <w:rFonts w:ascii="Times New Roman" w:hAnsi="Times New Roman" w:cs="Times New Roman"/>
          </w:rPr>
          <w:t>52 P.2d 690</w:t>
        </w:r>
      </w:hyperlink>
      <w:r w:rsidRPr="008B6845">
        <w:rPr>
          <w:rFonts w:ascii="Times New Roman" w:hAnsi="Times New Roman" w:cs="Times New Roman"/>
        </w:rPr>
        <w:t xml:space="preserve"> (Wyo. 1935) (finding employee’s silicosis clearly arising out of and in the course of employment to be an “accidental injury” under 1931 version of the Wyoming statute: “The words ‘injury and personal injury’ shall not include injury caused by the wilful act of a third person directed against an employee for reasons personal to such employee, or because of his employment; </w:t>
      </w:r>
      <w:r w:rsidRPr="008B6845">
        <w:rPr>
          <w:rFonts w:ascii="Times New Roman" w:hAnsi="Times New Roman" w:cs="Times New Roman"/>
          <w:b/>
        </w:rPr>
        <w:t>nor a disease</w:t>
      </w:r>
      <w:r w:rsidRPr="008B6845">
        <w:rPr>
          <w:rFonts w:ascii="Times New Roman" w:hAnsi="Times New Roman" w:cs="Times New Roman"/>
        </w:rPr>
        <w:t>, except, as it shall directly result from an injury incurred in the employment.”</w:t>
      </w:r>
      <w:r>
        <w:rPr>
          <w:rFonts w:ascii="Times New Roman" w:hAnsi="Times New Roman" w:cs="Times New Roman"/>
        </w:rPr>
        <w:t>)</w:t>
      </w:r>
      <w:r w:rsidRPr="008B6845">
        <w:rPr>
          <w:rFonts w:ascii="Times New Roman" w:hAnsi="Times New Roman" w:cs="Times New Roman"/>
        </w:rPr>
        <w:t xml:space="preserve"> </w:t>
      </w:r>
      <w:r>
        <w:rPr>
          <w:rFonts w:ascii="Times New Roman" w:hAnsi="Times New Roman" w:cs="Times New Roman"/>
        </w:rPr>
        <w:t>(emphasis supplied)</w:t>
      </w:r>
      <w:r w:rsidRPr="008B6845">
        <w:rPr>
          <w:rFonts w:ascii="Times New Roman" w:hAnsi="Times New Roman" w:cs="Times New Roman"/>
        </w:rPr>
        <w:t xml:space="preserve"> </w:t>
      </w:r>
    </w:p>
  </w:footnote>
  <w:footnote w:id="264">
    <w:p w14:paraId="7F889F08" w14:textId="334932A5" w:rsidR="00336EDF" w:rsidRPr="00C838AE" w:rsidRDefault="00336EDF" w:rsidP="00C838AE">
      <w:pPr>
        <w:pStyle w:val="FootnoteText"/>
        <w:jc w:val="both"/>
        <w:rPr>
          <w:rFonts w:ascii="Times New Roman" w:hAnsi="Times New Roman" w:cs="Times New Roman"/>
        </w:rPr>
      </w:pPr>
      <w:r w:rsidRPr="00C838AE">
        <w:rPr>
          <w:rStyle w:val="FootnoteReference"/>
          <w:rFonts w:ascii="Times New Roman" w:hAnsi="Times New Roman" w:cs="Times New Roman"/>
        </w:rPr>
        <w:footnoteRef/>
      </w:r>
      <w:r>
        <w:t xml:space="preserve"> </w:t>
      </w:r>
      <w:bookmarkStart w:id="370" w:name="f250"/>
      <w:bookmarkEnd w:id="370"/>
      <w:r w:rsidRPr="00C838AE">
        <w:rPr>
          <w:rFonts w:ascii="Times New Roman" w:hAnsi="Times New Roman" w:cs="Times New Roman"/>
          <w:i/>
        </w:rPr>
        <w:t>See</w:t>
      </w:r>
      <w:r w:rsidRPr="00C838AE">
        <w:rPr>
          <w:rFonts w:ascii="Times New Roman" w:hAnsi="Times New Roman" w:cs="Times New Roman"/>
        </w:rPr>
        <w:t xml:space="preserve"> </w:t>
      </w:r>
      <w:bookmarkStart w:id="371" w:name="_Hlk518070715"/>
      <w:r w:rsidRPr="00C838AE">
        <w:rPr>
          <w:rFonts w:ascii="Times New Roman" w:hAnsi="Times New Roman" w:cs="Times New Roman"/>
        </w:rPr>
        <w:t>4 L</w:t>
      </w:r>
      <w:r w:rsidRPr="00C838AE">
        <w:rPr>
          <w:rFonts w:ascii="Times New Roman" w:hAnsi="Times New Roman" w:cs="Times New Roman"/>
          <w:smallCaps/>
        </w:rPr>
        <w:t>arson’s</w:t>
      </w:r>
      <w:r w:rsidRPr="00C838AE">
        <w:rPr>
          <w:rFonts w:ascii="Times New Roman" w:hAnsi="Times New Roman" w:cs="Times New Roman"/>
        </w:rPr>
        <w:t xml:space="preserve"> W</w:t>
      </w:r>
      <w:r w:rsidRPr="00C838AE">
        <w:rPr>
          <w:rFonts w:ascii="Times New Roman" w:hAnsi="Times New Roman" w:cs="Times New Roman"/>
          <w:smallCaps/>
        </w:rPr>
        <w:t>orkers’</w:t>
      </w:r>
      <w:r w:rsidRPr="00C838AE">
        <w:rPr>
          <w:rFonts w:ascii="Times New Roman" w:hAnsi="Times New Roman" w:cs="Times New Roman"/>
        </w:rPr>
        <w:t xml:space="preserve"> C</w:t>
      </w:r>
      <w:r w:rsidRPr="00C838AE">
        <w:rPr>
          <w:rFonts w:ascii="Times New Roman" w:hAnsi="Times New Roman" w:cs="Times New Roman"/>
          <w:smallCaps/>
        </w:rPr>
        <w:t>ompensation</w:t>
      </w:r>
      <w:r w:rsidRPr="00C838AE">
        <w:rPr>
          <w:rFonts w:ascii="Times New Roman" w:hAnsi="Times New Roman" w:cs="Times New Roman"/>
        </w:rPr>
        <w:t xml:space="preserve"> L</w:t>
      </w:r>
      <w:r w:rsidRPr="00C838AE">
        <w:rPr>
          <w:rFonts w:ascii="Times New Roman" w:hAnsi="Times New Roman" w:cs="Times New Roman"/>
          <w:smallCaps/>
        </w:rPr>
        <w:t xml:space="preserve">aw </w:t>
      </w:r>
      <w:r w:rsidRPr="00C838AE">
        <w:rPr>
          <w:rFonts w:ascii="Times New Roman" w:hAnsi="Times New Roman" w:cs="Times New Roman"/>
        </w:rPr>
        <w:t xml:space="preserve">§ 52.02 </w:t>
      </w:r>
      <w:bookmarkEnd w:id="371"/>
      <w:r w:rsidRPr="00C838AE">
        <w:rPr>
          <w:rFonts w:ascii="Times New Roman" w:hAnsi="Times New Roman" w:cs="Times New Roman"/>
        </w:rPr>
        <w:t>(discussing</w:t>
      </w:r>
      <w:r>
        <w:rPr>
          <w:rFonts w:ascii="Times New Roman" w:hAnsi="Times New Roman" w:cs="Times New Roman"/>
        </w:rPr>
        <w:t xml:space="preserve"> the</w:t>
      </w:r>
      <w:r w:rsidRPr="00C838AE">
        <w:rPr>
          <w:rFonts w:ascii="Times New Roman" w:hAnsi="Times New Roman" w:cs="Times New Roman"/>
        </w:rPr>
        <w:t xml:space="preserve"> following arguments: only “accidents” were subject to the original quid pro quo; the problem should be dealt with under general health insurance; wide prevalence of certain diseases in certain injuries would result in the workers’ compensation system becoming overburdened)  </w:t>
      </w:r>
    </w:p>
  </w:footnote>
  <w:footnote w:id="265">
    <w:p w14:paraId="65272136" w14:textId="28594E85" w:rsidR="00336EDF" w:rsidRDefault="00336EDF" w:rsidP="00740BA6">
      <w:pPr>
        <w:pStyle w:val="FootnoteText"/>
        <w:jc w:val="both"/>
      </w:pPr>
      <w:r w:rsidRPr="00740BA6">
        <w:rPr>
          <w:rStyle w:val="FootnoteReference"/>
          <w:rFonts w:ascii="Times New Roman" w:hAnsi="Times New Roman" w:cs="Times New Roman"/>
        </w:rPr>
        <w:footnoteRef/>
      </w:r>
      <w:r>
        <w:t xml:space="preserve"> </w:t>
      </w:r>
      <w:bookmarkStart w:id="373" w:name="f251"/>
      <w:bookmarkEnd w:id="373"/>
      <w:r w:rsidRPr="00740BA6">
        <w:rPr>
          <w:rFonts w:ascii="Times New Roman" w:hAnsi="Times New Roman" w:cs="Times New Roman"/>
        </w:rPr>
        <w:t>Those exclusions</w:t>
      </w:r>
      <w:r>
        <w:rPr>
          <w:rFonts w:ascii="Times New Roman" w:hAnsi="Times New Roman" w:cs="Times New Roman"/>
        </w:rPr>
        <w:t xml:space="preserve"> under </w:t>
      </w:r>
      <w:r w:rsidRPr="003046AD">
        <w:rPr>
          <w:rFonts w:ascii="Times New Roman" w:hAnsi="Times New Roman" w:cs="Times New Roman"/>
        </w:rPr>
        <w:t xml:space="preserve">W.S. § </w:t>
      </w:r>
      <w:hyperlink r:id="rId127" w:history="1">
        <w:r w:rsidRPr="003046AD">
          <w:rPr>
            <w:rStyle w:val="Hyperlink"/>
            <w:rFonts w:ascii="Times New Roman" w:hAnsi="Times New Roman" w:cs="Times New Roman"/>
          </w:rPr>
          <w:t>27-14-102</w:t>
        </w:r>
      </w:hyperlink>
      <w:r w:rsidRPr="00C912F1">
        <w:rPr>
          <w:rFonts w:ascii="Times New Roman" w:hAnsi="Times New Roman" w:cs="Times New Roman"/>
        </w:rPr>
        <w:t xml:space="preserve">(xi) </w:t>
      </w:r>
      <w:r w:rsidRPr="00740BA6">
        <w:rPr>
          <w:rFonts w:ascii="Times New Roman" w:hAnsi="Times New Roman" w:cs="Times New Roman"/>
        </w:rPr>
        <w:t>are</w:t>
      </w:r>
      <w:r>
        <w:rPr>
          <w:rFonts w:ascii="Times New Roman" w:hAnsi="Times New Roman" w:cs="Times New Roman"/>
        </w:rPr>
        <w:t xml:space="preserve"> seriatim</w:t>
      </w:r>
      <w:r w:rsidRPr="00740BA6">
        <w:rPr>
          <w:rFonts w:ascii="Times New Roman" w:hAnsi="Times New Roman" w:cs="Times New Roman"/>
        </w:rPr>
        <w:t>:</w:t>
      </w:r>
      <w:r>
        <w:t xml:space="preserve"> </w:t>
      </w:r>
    </w:p>
    <w:p w14:paraId="4DC28D55" w14:textId="69D9D75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(A) Any illness or communicable disease unless the risk of contracting the illness or disease is increased by the nature of the employment;</w:t>
      </w:r>
    </w:p>
    <w:p w14:paraId="3BB4CAEC"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(B) Injury caused by:</w:t>
      </w:r>
    </w:p>
    <w:p w14:paraId="21D99FCB" w14:textId="3BF4530A" w:rsidR="00336EDF" w:rsidRPr="00740BA6" w:rsidRDefault="00336EDF" w:rsidP="00740BA6">
      <w:pPr>
        <w:pStyle w:val="FootnoteText"/>
        <w:jc w:val="both"/>
        <w:rPr>
          <w:rFonts w:ascii="Times New Roman" w:hAnsi="Times New Roman" w:cs="Times New Roman"/>
        </w:rPr>
      </w:pPr>
      <w:r>
        <w:rPr>
          <w:rFonts w:ascii="Times New Roman" w:hAnsi="Times New Roman" w:cs="Times New Roman"/>
        </w:rPr>
        <w:tab/>
      </w:r>
      <w:r w:rsidRPr="00740BA6">
        <w:rPr>
          <w:rFonts w:ascii="Times New Roman" w:hAnsi="Times New Roman" w:cs="Times New Roman"/>
        </w:rPr>
        <w:t xml:space="preserve">(I) The fact the employee is intoxicated or under the influence of a controlled substance, or both, except any </w:t>
      </w:r>
      <w:r>
        <w:rPr>
          <w:rFonts w:ascii="Times New Roman" w:hAnsi="Times New Roman" w:cs="Times New Roman"/>
        </w:rPr>
        <w:tab/>
      </w:r>
      <w:r w:rsidRPr="00740BA6">
        <w:rPr>
          <w:rFonts w:ascii="Times New Roman" w:hAnsi="Times New Roman" w:cs="Times New Roman"/>
        </w:rPr>
        <w:t xml:space="preserve">prescribed drug taken as directed by an authorized health care provider. The division shall define </w:t>
      </w:r>
      <w:r>
        <w:rPr>
          <w:rFonts w:ascii="Times New Roman" w:hAnsi="Times New Roman" w:cs="Times New Roman"/>
        </w:rPr>
        <w:tab/>
      </w:r>
      <w:r w:rsidRPr="00740BA6">
        <w:rPr>
          <w:rFonts w:ascii="Times New Roman" w:hAnsi="Times New Roman" w:cs="Times New Roman"/>
        </w:rPr>
        <w:t xml:space="preserve">“intoxicated” and “under the influence of a controlled substance” for purposes of this subparagraph in its </w:t>
      </w:r>
      <w:r>
        <w:rPr>
          <w:rFonts w:ascii="Times New Roman" w:hAnsi="Times New Roman" w:cs="Times New Roman"/>
        </w:rPr>
        <w:tab/>
      </w:r>
      <w:r w:rsidRPr="00740BA6">
        <w:rPr>
          <w:rFonts w:ascii="Times New Roman" w:hAnsi="Times New Roman" w:cs="Times New Roman"/>
        </w:rPr>
        <w:t>rules and regulations; or</w:t>
      </w:r>
    </w:p>
    <w:p w14:paraId="34D40357" w14:textId="5E437C50" w:rsidR="00336EDF" w:rsidRPr="00740BA6" w:rsidRDefault="00336EDF" w:rsidP="00740BA6">
      <w:pPr>
        <w:pStyle w:val="FootnoteText"/>
        <w:jc w:val="both"/>
        <w:rPr>
          <w:rFonts w:ascii="Times New Roman" w:hAnsi="Times New Roman" w:cs="Times New Roman"/>
        </w:rPr>
      </w:pPr>
      <w:r>
        <w:rPr>
          <w:rFonts w:ascii="Times New Roman" w:hAnsi="Times New Roman" w:cs="Times New Roman"/>
        </w:rPr>
        <w:tab/>
      </w:r>
      <w:r w:rsidRPr="00740BA6">
        <w:rPr>
          <w:rFonts w:ascii="Times New Roman" w:hAnsi="Times New Roman" w:cs="Times New Roman"/>
        </w:rPr>
        <w:t>(II) The employee's willful intention to injure or kill himself or another.</w:t>
      </w:r>
    </w:p>
    <w:p w14:paraId="4490FD38"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(C) Injury due solely to the culpable negligence of the injured employee;</w:t>
      </w:r>
    </w:p>
    <w:p w14:paraId="094F144E"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(D) Any injury sustained during travel to or from employment unless the employee is reimbursed for travel expenses or is transported by a vehicle of the employer;</w:t>
      </w:r>
    </w:p>
    <w:p w14:paraId="39CAA856"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(E) Any injury sustained by the prisoner during or any harm resulting from any illegal activity engaged in by prisoners held under custody;</w:t>
      </w:r>
    </w:p>
    <w:p w14:paraId="2EA8C755"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(F) Any injury or condition preexisting at the time of employment with the employer against whom a claim is made;</w:t>
      </w:r>
    </w:p>
    <w:p w14:paraId="1BF3C46C"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(G) Any injury resulting primarily from the natural aging process or from the normal activities of day-to-day living, as established by medical evidence supported by objective findings;</w:t>
      </w:r>
    </w:p>
    <w:p w14:paraId="71C33414" w14:textId="77777777"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(H) Any injury sustained while engaged in recreational or social events under circumstances where an employee was under no duty to attend and where the injury did not result from the performance of tasks related to the employee's normal job duties or as specifically instructed to be performed by the employer; or</w:t>
      </w:r>
    </w:p>
    <w:p w14:paraId="46F754C9" w14:textId="3408B1EB" w:rsidR="00336EDF" w:rsidRPr="00740BA6" w:rsidRDefault="00336EDF" w:rsidP="00740BA6">
      <w:pPr>
        <w:pStyle w:val="FootnoteText"/>
        <w:jc w:val="both"/>
        <w:rPr>
          <w:rFonts w:ascii="Times New Roman" w:hAnsi="Times New Roman" w:cs="Times New Roman"/>
        </w:rPr>
      </w:pPr>
      <w:r w:rsidRPr="00740BA6">
        <w:rPr>
          <w:rFonts w:ascii="Times New Roman" w:hAnsi="Times New Roman" w:cs="Times New Roman"/>
        </w:rPr>
        <w:t>(J) Any mental injury unless it is caused by a compensable physical injury, it occurs subsequent to or simultaneously with, the physical injury and it is established by clear and convincing evidence, which shall include a diagnosis by a licensed psychiatrist or licensed clinical psychologist meeting criteria established in the most recent edition of the diagnostic and statistical manual of mental disorders published by the American Psychiatric Association. In no event shall benefits for a compensable mental injury be paid for more than six (6) months after an injured employee's physical injury has healed to the point that it is not reasonably expected to substantially improve.</w:t>
      </w:r>
    </w:p>
  </w:footnote>
  <w:footnote w:id="266">
    <w:p w14:paraId="7756BDE1" w14:textId="281C98A3" w:rsidR="00336EDF" w:rsidRPr="00EF08A0" w:rsidRDefault="00336EDF" w:rsidP="00EF08A0">
      <w:pPr>
        <w:pStyle w:val="FootnoteText"/>
        <w:jc w:val="both"/>
      </w:pPr>
      <w:r w:rsidRPr="00740BA6">
        <w:rPr>
          <w:rStyle w:val="FootnoteReference"/>
          <w:rFonts w:ascii="Times New Roman" w:hAnsi="Times New Roman" w:cs="Times New Roman"/>
        </w:rPr>
        <w:footnoteRef/>
      </w:r>
      <w:r>
        <w:t xml:space="preserve"> </w:t>
      </w:r>
      <w:bookmarkStart w:id="374" w:name="f252"/>
      <w:bookmarkStart w:id="375" w:name="_Hlk518072866"/>
      <w:bookmarkEnd w:id="374"/>
      <w:r w:rsidRPr="00C838AE">
        <w:rPr>
          <w:rFonts w:ascii="Times New Roman" w:hAnsi="Times New Roman" w:cs="Times New Roman"/>
        </w:rPr>
        <w:t>4 L</w:t>
      </w:r>
      <w:r w:rsidRPr="00C838AE">
        <w:rPr>
          <w:rFonts w:ascii="Times New Roman" w:hAnsi="Times New Roman" w:cs="Times New Roman"/>
          <w:smallCaps/>
        </w:rPr>
        <w:t>arson’s</w:t>
      </w:r>
      <w:r w:rsidRPr="00C838AE">
        <w:rPr>
          <w:rFonts w:ascii="Times New Roman" w:hAnsi="Times New Roman" w:cs="Times New Roman"/>
        </w:rPr>
        <w:t xml:space="preserve"> W</w:t>
      </w:r>
      <w:r w:rsidRPr="00C838AE">
        <w:rPr>
          <w:rFonts w:ascii="Times New Roman" w:hAnsi="Times New Roman" w:cs="Times New Roman"/>
          <w:smallCaps/>
        </w:rPr>
        <w:t>orkers’</w:t>
      </w:r>
      <w:r w:rsidRPr="00C838AE">
        <w:rPr>
          <w:rFonts w:ascii="Times New Roman" w:hAnsi="Times New Roman" w:cs="Times New Roman"/>
        </w:rPr>
        <w:t xml:space="preserve"> C</w:t>
      </w:r>
      <w:r w:rsidRPr="00C838AE">
        <w:rPr>
          <w:rFonts w:ascii="Times New Roman" w:hAnsi="Times New Roman" w:cs="Times New Roman"/>
          <w:smallCaps/>
        </w:rPr>
        <w:t>ompensation</w:t>
      </w:r>
      <w:r w:rsidRPr="00C838AE">
        <w:rPr>
          <w:rFonts w:ascii="Times New Roman" w:hAnsi="Times New Roman" w:cs="Times New Roman"/>
        </w:rPr>
        <w:t xml:space="preserve"> L</w:t>
      </w:r>
      <w:r w:rsidRPr="00C838AE">
        <w:rPr>
          <w:rFonts w:ascii="Times New Roman" w:hAnsi="Times New Roman" w:cs="Times New Roman"/>
          <w:smallCaps/>
        </w:rPr>
        <w:t xml:space="preserve">aw </w:t>
      </w:r>
      <w:r w:rsidRPr="00C838AE">
        <w:rPr>
          <w:rFonts w:ascii="Times New Roman" w:hAnsi="Times New Roman" w:cs="Times New Roman"/>
        </w:rPr>
        <w:t>§ 52.0</w:t>
      </w:r>
      <w:r>
        <w:rPr>
          <w:rFonts w:ascii="Times New Roman" w:hAnsi="Times New Roman" w:cs="Times New Roman"/>
        </w:rPr>
        <w:t>3</w:t>
      </w:r>
      <w:bookmarkEnd w:id="375"/>
      <w:r>
        <w:rPr>
          <w:rFonts w:ascii="Times New Roman" w:hAnsi="Times New Roman" w:cs="Times New Roman"/>
        </w:rPr>
        <w:t xml:space="preserve">; In re Pero, </w:t>
      </w:r>
      <w:r w:rsidRPr="008B6845">
        <w:rPr>
          <w:rFonts w:ascii="Times New Roman" w:hAnsi="Times New Roman" w:cs="Times New Roman"/>
          <w:i/>
        </w:rPr>
        <w:t>supra</w:t>
      </w:r>
      <w:r>
        <w:rPr>
          <w:rFonts w:ascii="Times New Roman" w:hAnsi="Times New Roman" w:cs="Times New Roman"/>
        </w:rPr>
        <w:t xml:space="preserve">., 52 P.2d at 693-699 provides a striking example of a Wyoming court having to perform just that sort of grappling. The accident requirement was again circumnavigated in </w:t>
      </w:r>
      <w:r w:rsidRPr="009933E0">
        <w:rPr>
          <w:rFonts w:ascii="Times New Roman" w:hAnsi="Times New Roman" w:cs="Times New Roman"/>
          <w:iCs/>
        </w:rPr>
        <w:t>Wright v. Wyoming State Training School</w:t>
      </w:r>
      <w:r>
        <w:rPr>
          <w:rFonts w:ascii="Times New Roman" w:hAnsi="Times New Roman" w:cs="Times New Roman"/>
          <w:i/>
        </w:rPr>
        <w:t xml:space="preserve">, </w:t>
      </w:r>
      <w:hyperlink r:id="rId128" w:history="1">
        <w:r w:rsidRPr="009933E0">
          <w:rPr>
            <w:rStyle w:val="Hyperlink"/>
            <w:rFonts w:ascii="Times New Roman" w:hAnsi="Times New Roman" w:cs="Times New Roman"/>
          </w:rPr>
          <w:t>255 P.2d 211</w:t>
        </w:r>
      </w:hyperlink>
      <w:r w:rsidRPr="009D132C">
        <w:rPr>
          <w:rFonts w:ascii="Times New Roman" w:hAnsi="Times New Roman" w:cs="Times New Roman"/>
        </w:rPr>
        <w:t xml:space="preserve"> (Wyo. 1953)</w:t>
      </w:r>
      <w:r>
        <w:rPr>
          <w:rFonts w:ascii="Times New Roman" w:hAnsi="Times New Roman" w:cs="Times New Roman"/>
        </w:rPr>
        <w:t>, when it was concluded that an employee contracting “</w:t>
      </w:r>
      <w:r w:rsidRPr="00EF08A0">
        <w:rPr>
          <w:rFonts w:ascii="Times New Roman" w:hAnsi="Times New Roman" w:cs="Times New Roman"/>
        </w:rPr>
        <w:t>contact dermatitis</w:t>
      </w:r>
      <w:r>
        <w:rPr>
          <w:rFonts w:ascii="Times New Roman" w:hAnsi="Times New Roman" w:cs="Times New Roman"/>
        </w:rPr>
        <w:t xml:space="preserve">” had suffered an accidental injury. The rule of liberal construction was doubtless at work here. </w:t>
      </w:r>
    </w:p>
  </w:footnote>
  <w:footnote w:id="267">
    <w:p w14:paraId="42525856" w14:textId="5696BF01" w:rsidR="00336EDF" w:rsidRDefault="00336EDF">
      <w:pPr>
        <w:pStyle w:val="FootnoteText"/>
      </w:pPr>
      <w:r w:rsidRPr="009D132C">
        <w:rPr>
          <w:rStyle w:val="FootnoteReference"/>
          <w:rFonts w:ascii="Times New Roman" w:hAnsi="Times New Roman" w:cs="Times New Roman"/>
        </w:rPr>
        <w:footnoteRef/>
      </w:r>
      <w:r>
        <w:t xml:space="preserve"> </w:t>
      </w:r>
      <w:bookmarkStart w:id="376" w:name="f253"/>
      <w:bookmarkEnd w:id="376"/>
      <w:r w:rsidRPr="00C838AE">
        <w:rPr>
          <w:rFonts w:ascii="Times New Roman" w:hAnsi="Times New Roman" w:cs="Times New Roman"/>
        </w:rPr>
        <w:t>4 L</w:t>
      </w:r>
      <w:r w:rsidRPr="00C838AE">
        <w:rPr>
          <w:rFonts w:ascii="Times New Roman" w:hAnsi="Times New Roman" w:cs="Times New Roman"/>
          <w:smallCaps/>
        </w:rPr>
        <w:t>arson’s</w:t>
      </w:r>
      <w:r w:rsidRPr="00C838AE">
        <w:rPr>
          <w:rFonts w:ascii="Times New Roman" w:hAnsi="Times New Roman" w:cs="Times New Roman"/>
        </w:rPr>
        <w:t xml:space="preserve"> W</w:t>
      </w:r>
      <w:r w:rsidRPr="00C838AE">
        <w:rPr>
          <w:rFonts w:ascii="Times New Roman" w:hAnsi="Times New Roman" w:cs="Times New Roman"/>
          <w:smallCaps/>
        </w:rPr>
        <w:t>orkers’</w:t>
      </w:r>
      <w:r w:rsidRPr="00C838AE">
        <w:rPr>
          <w:rFonts w:ascii="Times New Roman" w:hAnsi="Times New Roman" w:cs="Times New Roman"/>
        </w:rPr>
        <w:t xml:space="preserve"> C</w:t>
      </w:r>
      <w:r w:rsidRPr="00C838AE">
        <w:rPr>
          <w:rFonts w:ascii="Times New Roman" w:hAnsi="Times New Roman" w:cs="Times New Roman"/>
          <w:smallCaps/>
        </w:rPr>
        <w:t>ompensation</w:t>
      </w:r>
      <w:r w:rsidRPr="00C838AE">
        <w:rPr>
          <w:rFonts w:ascii="Times New Roman" w:hAnsi="Times New Roman" w:cs="Times New Roman"/>
        </w:rPr>
        <w:t xml:space="preserve"> L</w:t>
      </w:r>
      <w:r w:rsidRPr="00C838AE">
        <w:rPr>
          <w:rFonts w:ascii="Times New Roman" w:hAnsi="Times New Roman" w:cs="Times New Roman"/>
          <w:smallCaps/>
        </w:rPr>
        <w:t xml:space="preserve">aw </w:t>
      </w:r>
      <w:r w:rsidRPr="00C838AE">
        <w:rPr>
          <w:rFonts w:ascii="Times New Roman" w:hAnsi="Times New Roman" w:cs="Times New Roman"/>
        </w:rPr>
        <w:t>§ 52.0</w:t>
      </w:r>
      <w:r>
        <w:rPr>
          <w:rFonts w:ascii="Times New Roman" w:hAnsi="Times New Roman" w:cs="Times New Roman"/>
        </w:rPr>
        <w:t>2</w:t>
      </w:r>
    </w:p>
  </w:footnote>
  <w:footnote w:id="268">
    <w:p w14:paraId="1CEB7C6D" w14:textId="10F33F21" w:rsidR="00336EDF" w:rsidRPr="005948EB" w:rsidRDefault="00336EDF" w:rsidP="005948EB">
      <w:pPr>
        <w:pStyle w:val="FootnoteText"/>
        <w:jc w:val="both"/>
        <w:rPr>
          <w:rFonts w:ascii="Times New Roman" w:hAnsi="Times New Roman" w:cs="Times New Roman"/>
        </w:rPr>
      </w:pPr>
      <w:r w:rsidRPr="00195F44">
        <w:rPr>
          <w:rStyle w:val="FootnoteReference"/>
          <w:rFonts w:ascii="Times New Roman" w:hAnsi="Times New Roman" w:cs="Times New Roman"/>
        </w:rPr>
        <w:footnoteRef/>
      </w:r>
      <w:r>
        <w:rPr>
          <w:rFonts w:ascii="Times New Roman" w:hAnsi="Times New Roman" w:cs="Times New Roman"/>
        </w:rPr>
        <w:t xml:space="preserve"> </w:t>
      </w:r>
      <w:bookmarkStart w:id="377" w:name="f254"/>
      <w:bookmarkEnd w:id="377"/>
      <w:r w:rsidRPr="005948EB">
        <w:rPr>
          <w:rFonts w:ascii="Times New Roman" w:hAnsi="Times New Roman" w:cs="Times New Roman"/>
        </w:rPr>
        <w:t>Session Laws</w:t>
      </w:r>
      <w:r>
        <w:rPr>
          <w:rFonts w:ascii="Times New Roman" w:hAnsi="Times New Roman" w:cs="Times New Roman"/>
        </w:rPr>
        <w:t xml:space="preserve"> of Wyoming</w:t>
      </w:r>
      <w:r w:rsidRPr="005948EB">
        <w:rPr>
          <w:rFonts w:ascii="Times New Roman" w:hAnsi="Times New Roman" w:cs="Times New Roman"/>
        </w:rPr>
        <w:t xml:space="preserve"> 1969, Chapter 200. See especially Section 23(b) amending Subsection III (b), Section 27-49, Wyoming Statutes 1957, Compiled 1967, excluding “disease from the definition of injury and stating that the words “injury and personal injury” were to be construed as meaning an injury “directly and solely caused” by a traumatic accident in the employment.</w:t>
      </w:r>
    </w:p>
  </w:footnote>
  <w:footnote w:id="269">
    <w:p w14:paraId="6F01AECD" w14:textId="4BBF18C8" w:rsidR="00336EDF" w:rsidRPr="00C912F1" w:rsidRDefault="00336EDF" w:rsidP="00C912F1">
      <w:pPr>
        <w:pStyle w:val="FootnoteText"/>
        <w:jc w:val="both"/>
        <w:rPr>
          <w:rFonts w:ascii="Times New Roman" w:hAnsi="Times New Roman" w:cs="Times New Roman"/>
        </w:rPr>
      </w:pPr>
      <w:r w:rsidRPr="000A2006">
        <w:rPr>
          <w:rStyle w:val="FootnoteReference"/>
          <w:rFonts w:ascii="Times New Roman" w:hAnsi="Times New Roman" w:cs="Times New Roman"/>
        </w:rPr>
        <w:footnoteRef/>
      </w:r>
      <w:r>
        <w:t xml:space="preserve"> </w:t>
      </w:r>
      <w:r w:rsidRPr="00C912F1">
        <w:rPr>
          <w:rFonts w:ascii="Times New Roman" w:hAnsi="Times New Roman" w:cs="Times New Roman"/>
        </w:rPr>
        <w:t>The schedule</w:t>
      </w:r>
      <w:r>
        <w:rPr>
          <w:rFonts w:ascii="Times New Roman" w:hAnsi="Times New Roman" w:cs="Times New Roman"/>
        </w:rPr>
        <w:t>, at Section 3, listed forty-six compensable authorized diseases.</w:t>
      </w:r>
    </w:p>
  </w:footnote>
  <w:footnote w:id="270">
    <w:p w14:paraId="2E073D17" w14:textId="17A0E978" w:rsidR="00336EDF" w:rsidRPr="00195F44" w:rsidRDefault="00336EDF" w:rsidP="00195F44">
      <w:pPr>
        <w:pStyle w:val="FootnoteText"/>
        <w:jc w:val="both"/>
        <w:rPr>
          <w:rFonts w:ascii="Times New Roman" w:hAnsi="Times New Roman" w:cs="Times New Roman"/>
        </w:rPr>
      </w:pPr>
      <w:r w:rsidRPr="00195F44">
        <w:rPr>
          <w:rStyle w:val="FootnoteReference"/>
          <w:rFonts w:ascii="Times New Roman" w:hAnsi="Times New Roman" w:cs="Times New Roman"/>
        </w:rPr>
        <w:footnoteRef/>
      </w:r>
      <w:r w:rsidRPr="00195F44">
        <w:rPr>
          <w:rStyle w:val="FootnoteReference"/>
          <w:rFonts w:ascii="Times New Roman" w:hAnsi="Times New Roman" w:cs="Times New Roman"/>
        </w:rPr>
        <w:t xml:space="preserve"> </w:t>
      </w:r>
      <w:bookmarkStart w:id="378" w:name="f255"/>
      <w:bookmarkStart w:id="379" w:name="f256"/>
      <w:bookmarkStart w:id="380" w:name="_Hlk518116223"/>
      <w:bookmarkEnd w:id="378"/>
      <w:bookmarkEnd w:id="379"/>
      <w:r w:rsidRPr="00195F44">
        <w:rPr>
          <w:rFonts w:ascii="Times New Roman" w:hAnsi="Times New Roman" w:cs="Times New Roman"/>
        </w:rPr>
        <w:t xml:space="preserve">Hammond v. Hitching Post Inn, </w:t>
      </w:r>
      <w:hyperlink r:id="rId129" w:history="1">
        <w:r w:rsidRPr="009933E0">
          <w:rPr>
            <w:rStyle w:val="Hyperlink"/>
            <w:rFonts w:ascii="Times New Roman" w:hAnsi="Times New Roman" w:cs="Times New Roman"/>
          </w:rPr>
          <w:t>523 P.2d 482</w:t>
        </w:r>
      </w:hyperlink>
      <w:r w:rsidRPr="00195F44">
        <w:rPr>
          <w:rFonts w:ascii="Times New Roman" w:hAnsi="Times New Roman" w:cs="Times New Roman"/>
        </w:rPr>
        <w:t xml:space="preserve"> (Wyo. 1974) (denying dust inhalation chronic bronchitis claim); Olson v. Federal American Partners, </w:t>
      </w:r>
      <w:hyperlink r:id="rId130" w:history="1">
        <w:r w:rsidRPr="009933E0">
          <w:rPr>
            <w:rStyle w:val="Hyperlink"/>
            <w:rFonts w:ascii="Times New Roman" w:hAnsi="Times New Roman" w:cs="Times New Roman"/>
          </w:rPr>
          <w:t>567 P.2d 710</w:t>
        </w:r>
      </w:hyperlink>
      <w:r w:rsidRPr="00195F44">
        <w:rPr>
          <w:rFonts w:ascii="Times New Roman" w:hAnsi="Times New Roman" w:cs="Times New Roman"/>
        </w:rPr>
        <w:t xml:space="preserve"> (Wyo. 1977)</w:t>
      </w:r>
      <w:r>
        <w:rPr>
          <w:rFonts w:ascii="Times New Roman" w:hAnsi="Times New Roman" w:cs="Times New Roman"/>
        </w:rPr>
        <w:t xml:space="preserve"> </w:t>
      </w:r>
      <w:r w:rsidRPr="00195F44">
        <w:rPr>
          <w:rFonts w:ascii="Times New Roman" w:hAnsi="Times New Roman" w:cs="Times New Roman"/>
        </w:rPr>
        <w:t xml:space="preserve">(denying uranium radiation exposure claim)  </w:t>
      </w:r>
      <w:bookmarkEnd w:id="380"/>
    </w:p>
  </w:footnote>
  <w:footnote w:id="271">
    <w:p w14:paraId="5E9E1163" w14:textId="2EC7B5A9" w:rsidR="00336EDF" w:rsidRDefault="00336EDF">
      <w:pPr>
        <w:pStyle w:val="FootnoteText"/>
      </w:pPr>
      <w:r w:rsidRPr="00417A3F">
        <w:rPr>
          <w:rStyle w:val="FootnoteReference"/>
          <w:rFonts w:ascii="Times New Roman" w:hAnsi="Times New Roman" w:cs="Times New Roman"/>
        </w:rPr>
        <w:footnoteRef/>
      </w:r>
      <w:r>
        <w:t xml:space="preserve"> </w:t>
      </w:r>
      <w:bookmarkStart w:id="381" w:name="f257"/>
      <w:bookmarkEnd w:id="381"/>
      <w:r w:rsidRPr="00417A3F">
        <w:rPr>
          <w:rFonts w:ascii="Times New Roman" w:hAnsi="Times New Roman" w:cs="Times New Roman"/>
        </w:rPr>
        <w:t>Session Laws of Wyoming 1975, Chapter 149</w:t>
      </w:r>
      <w:r>
        <w:t xml:space="preserve"> </w:t>
      </w:r>
    </w:p>
  </w:footnote>
  <w:footnote w:id="272">
    <w:p w14:paraId="4F697280" w14:textId="4AC02D37" w:rsidR="00336EDF" w:rsidRDefault="00336EDF" w:rsidP="0020316F">
      <w:pPr>
        <w:pStyle w:val="FootnoteText"/>
        <w:jc w:val="both"/>
      </w:pPr>
      <w:r w:rsidRPr="0020316F">
        <w:rPr>
          <w:rStyle w:val="FootnoteReference"/>
          <w:rFonts w:ascii="Times New Roman" w:hAnsi="Times New Roman" w:cs="Times New Roman"/>
        </w:rPr>
        <w:footnoteRef/>
      </w:r>
      <w:r w:rsidRPr="0020316F">
        <w:rPr>
          <w:rStyle w:val="FootnoteReference"/>
          <w:rFonts w:ascii="Times New Roman" w:hAnsi="Times New Roman" w:cs="Times New Roman"/>
        </w:rPr>
        <w:t xml:space="preserve"> </w:t>
      </w:r>
      <w:bookmarkStart w:id="383" w:name="f258"/>
      <w:bookmarkEnd w:id="383"/>
      <w:r>
        <w:rPr>
          <w:rFonts w:ascii="Times New Roman" w:hAnsi="Times New Roman" w:cs="Times New Roman"/>
        </w:rPr>
        <w:t xml:space="preserve">The amended version of the Occupational Disease statute is discussed in Hammond v. Hitching Post Inn, </w:t>
      </w:r>
      <w:r w:rsidRPr="00B31C40">
        <w:rPr>
          <w:rFonts w:ascii="Times New Roman" w:hAnsi="Times New Roman" w:cs="Times New Roman"/>
          <w:i/>
        </w:rPr>
        <w:t>supra</w:t>
      </w:r>
      <w:r>
        <w:rPr>
          <w:rFonts w:ascii="Times New Roman" w:hAnsi="Times New Roman" w:cs="Times New Roman"/>
        </w:rPr>
        <w:t xml:space="preserve">. 523 P.3d at 483. </w:t>
      </w:r>
      <w:r w:rsidRPr="0020316F">
        <w:rPr>
          <w:rFonts w:ascii="Times New Roman" w:hAnsi="Times New Roman" w:cs="Times New Roman"/>
        </w:rPr>
        <w:t xml:space="preserve">Compare § 27-297(a), W.S.1957, 1973 Cum.Supp. to </w:t>
      </w:r>
      <w:r>
        <w:rPr>
          <w:rFonts w:ascii="Times New Roman" w:hAnsi="Times New Roman" w:cs="Times New Roman"/>
        </w:rPr>
        <w:t xml:space="preserve">the </w:t>
      </w:r>
      <w:r w:rsidRPr="0020316F">
        <w:rPr>
          <w:rFonts w:ascii="Times New Roman" w:hAnsi="Times New Roman" w:cs="Times New Roman"/>
        </w:rPr>
        <w:t>present</w:t>
      </w:r>
      <w:r>
        <w:rPr>
          <w:rFonts w:ascii="Times New Roman" w:hAnsi="Times New Roman" w:cs="Times New Roman"/>
        </w:rPr>
        <w:t xml:space="preserve"> statutory provision in </w:t>
      </w:r>
      <w:r w:rsidRPr="003046AD">
        <w:rPr>
          <w:rFonts w:ascii="Times New Roman" w:hAnsi="Times New Roman" w:cs="Times New Roman"/>
        </w:rPr>
        <w:t xml:space="preserve">W.S. § </w:t>
      </w:r>
      <w:hyperlink r:id="rId131" w:history="1">
        <w:r w:rsidRPr="003046AD">
          <w:rPr>
            <w:rStyle w:val="Hyperlink"/>
            <w:rFonts w:ascii="Times New Roman" w:hAnsi="Times New Roman" w:cs="Times New Roman"/>
          </w:rPr>
          <w:t>27-14-603</w:t>
        </w:r>
      </w:hyperlink>
      <w:r w:rsidRPr="00C0606A">
        <w:rPr>
          <w:rFonts w:ascii="Times New Roman" w:hAnsi="Times New Roman" w:cs="Times New Roman"/>
        </w:rPr>
        <w:t>(a)</w:t>
      </w:r>
    </w:p>
  </w:footnote>
  <w:footnote w:id="273">
    <w:p w14:paraId="50444E87" w14:textId="3E2ED08F" w:rsidR="006B1484" w:rsidRDefault="006B1484">
      <w:pPr>
        <w:pStyle w:val="FootnoteText"/>
      </w:pPr>
      <w:r w:rsidRPr="006B1474">
        <w:rPr>
          <w:rStyle w:val="FootnoteReference"/>
          <w:rFonts w:ascii="Times New Roman" w:hAnsi="Times New Roman" w:cs="Times New Roman"/>
        </w:rPr>
        <w:footnoteRef/>
      </w:r>
      <w:r w:rsidRPr="006B1474">
        <w:rPr>
          <w:rFonts w:ascii="Times New Roman" w:hAnsi="Times New Roman" w:cs="Times New Roman"/>
        </w:rPr>
        <w:t xml:space="preserve"> 464 P.3d 1215 (2020)</w:t>
      </w:r>
    </w:p>
  </w:footnote>
  <w:footnote w:id="274">
    <w:p w14:paraId="5C60CD3D" w14:textId="02A2D829" w:rsidR="006B1484" w:rsidRDefault="006B1484">
      <w:pPr>
        <w:pStyle w:val="FootnoteText"/>
      </w:pPr>
      <w:r w:rsidRPr="006B1474">
        <w:rPr>
          <w:rStyle w:val="FootnoteReference"/>
          <w:rFonts w:ascii="Times New Roman" w:hAnsi="Times New Roman" w:cs="Times New Roman"/>
        </w:rPr>
        <w:footnoteRef/>
      </w:r>
      <w:r w:rsidRPr="006B1474">
        <w:rPr>
          <w:rFonts w:ascii="Times New Roman" w:hAnsi="Times New Roman" w:cs="Times New Roman"/>
        </w:rPr>
        <w:t xml:space="preserve"> </w:t>
      </w:r>
      <w:r w:rsidRPr="006B1474">
        <w:rPr>
          <w:rFonts w:ascii="Times New Roman" w:hAnsi="Times New Roman" w:cs="Times New Roman"/>
          <w:i/>
          <w:iCs/>
        </w:rPr>
        <w:t>Id</w:t>
      </w:r>
      <w:r w:rsidRPr="006B1474">
        <w:rPr>
          <w:rFonts w:ascii="Times New Roman" w:hAnsi="Times New Roman" w:cs="Times New Roman"/>
        </w:rPr>
        <w:t>. at 1221</w:t>
      </w:r>
      <w:r>
        <w:rPr>
          <w:rFonts w:ascii="Times New Roman" w:hAnsi="Times New Roman" w:cs="Times New Roman"/>
        </w:rPr>
        <w:t xml:space="preserve">-1222. </w:t>
      </w:r>
    </w:p>
  </w:footnote>
  <w:footnote w:id="275">
    <w:p w14:paraId="0C6443F9" w14:textId="4EFC0BA8" w:rsidR="00693BFF" w:rsidRDefault="00693BFF">
      <w:pPr>
        <w:pStyle w:val="FootnoteText"/>
      </w:pPr>
      <w:r>
        <w:rPr>
          <w:rStyle w:val="FootnoteReference"/>
        </w:rPr>
        <w:footnoteRef/>
      </w:r>
      <w:r>
        <w:t xml:space="preserve"> </w:t>
      </w:r>
      <w:r w:rsidR="00704A59" w:rsidRPr="003046AD">
        <w:rPr>
          <w:rFonts w:ascii="Times New Roman" w:hAnsi="Times New Roman" w:cs="Times New Roman"/>
        </w:rPr>
        <w:t xml:space="preserve">W.S. § </w:t>
      </w:r>
      <w:hyperlink r:id="rId132" w:history="1">
        <w:r w:rsidR="00704A59" w:rsidRPr="003046AD">
          <w:rPr>
            <w:rStyle w:val="Hyperlink"/>
            <w:rFonts w:ascii="Times New Roman" w:hAnsi="Times New Roman" w:cs="Times New Roman"/>
          </w:rPr>
          <w:t>27-14-102</w:t>
        </w:r>
      </w:hyperlink>
      <w:r w:rsidR="00704A59" w:rsidRPr="000E298E">
        <w:rPr>
          <w:rFonts w:ascii="Times New Roman" w:hAnsi="Times New Roman" w:cs="Times New Roman"/>
        </w:rPr>
        <w:t>(xi)(A)</w:t>
      </w:r>
    </w:p>
  </w:footnote>
  <w:footnote w:id="276">
    <w:p w14:paraId="4B8B4C14" w14:textId="3A5EB788" w:rsidR="00336EDF" w:rsidRDefault="00336EDF">
      <w:pPr>
        <w:pStyle w:val="FootnoteText"/>
      </w:pPr>
      <w:r w:rsidRPr="000E298E">
        <w:rPr>
          <w:rStyle w:val="FootnoteReference"/>
          <w:rFonts w:ascii="Times New Roman" w:hAnsi="Times New Roman" w:cs="Times New Roman"/>
        </w:rPr>
        <w:footnoteRef/>
      </w:r>
      <w:r w:rsidRPr="000E298E">
        <w:rPr>
          <w:rStyle w:val="FootnoteReference"/>
          <w:rFonts w:ascii="Times New Roman" w:hAnsi="Times New Roman" w:cs="Times New Roman"/>
        </w:rPr>
        <w:t xml:space="preserve"> </w:t>
      </w:r>
      <w:bookmarkStart w:id="384" w:name="f259"/>
      <w:bookmarkStart w:id="385" w:name="_Hlk73712605"/>
      <w:bookmarkEnd w:id="384"/>
      <w:r w:rsidRPr="003046AD">
        <w:rPr>
          <w:rFonts w:ascii="Times New Roman" w:hAnsi="Times New Roman" w:cs="Times New Roman"/>
        </w:rPr>
        <w:t xml:space="preserve">W.S. § </w:t>
      </w:r>
      <w:hyperlink r:id="rId133" w:history="1">
        <w:r w:rsidRPr="003046AD">
          <w:rPr>
            <w:rStyle w:val="Hyperlink"/>
            <w:rFonts w:ascii="Times New Roman" w:hAnsi="Times New Roman" w:cs="Times New Roman"/>
          </w:rPr>
          <w:t>27-14-102</w:t>
        </w:r>
      </w:hyperlink>
      <w:r w:rsidRPr="000E298E">
        <w:rPr>
          <w:rFonts w:ascii="Times New Roman" w:hAnsi="Times New Roman" w:cs="Times New Roman"/>
        </w:rPr>
        <w:t>(xi)(A)</w:t>
      </w:r>
      <w:r>
        <w:rPr>
          <w:rFonts w:ascii="Times New Roman" w:hAnsi="Times New Roman" w:cs="Times New Roman"/>
        </w:rPr>
        <w:t xml:space="preserve">; </w:t>
      </w:r>
      <w:bookmarkEnd w:id="385"/>
      <w:r w:rsidRPr="006E1198">
        <w:rPr>
          <w:rFonts w:ascii="Times New Roman" w:hAnsi="Times New Roman" w:cs="Times New Roman"/>
          <w:i/>
          <w:iCs/>
        </w:rPr>
        <w:t>see</w:t>
      </w:r>
      <w:r>
        <w:rPr>
          <w:rFonts w:ascii="Times New Roman" w:hAnsi="Times New Roman" w:cs="Times New Roman"/>
        </w:rPr>
        <w:t xml:space="preserve"> 4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 xml:space="preserve">51.01; </w:t>
      </w:r>
      <w:r w:rsidRPr="00EF5C68">
        <w:rPr>
          <w:rFonts w:ascii="Times New Roman" w:hAnsi="Times New Roman" w:cs="Times New Roman"/>
          <w:i/>
          <w:iCs/>
        </w:rPr>
        <w:t>see also</w:t>
      </w:r>
      <w:r>
        <w:rPr>
          <w:rFonts w:ascii="Times New Roman" w:hAnsi="Times New Roman" w:cs="Times New Roman"/>
        </w:rPr>
        <w:t xml:space="preserve"> Leib v. Dept. of Workforce Services, </w:t>
      </w:r>
      <w:hyperlink r:id="rId134" w:history="1">
        <w:r w:rsidRPr="00D118A0">
          <w:rPr>
            <w:rStyle w:val="Hyperlink"/>
            <w:rFonts w:ascii="Times New Roman" w:hAnsi="Times New Roman" w:cs="Times New Roman"/>
          </w:rPr>
          <w:t>373 P.3d 420</w:t>
        </w:r>
      </w:hyperlink>
      <w:r>
        <w:rPr>
          <w:rFonts w:ascii="Times New Roman" w:hAnsi="Times New Roman" w:cs="Times New Roman"/>
        </w:rPr>
        <w:t xml:space="preserve"> (Wyo. 2016)</w:t>
      </w:r>
    </w:p>
  </w:footnote>
  <w:footnote w:id="277">
    <w:p w14:paraId="7FBE4148" w14:textId="1139C431" w:rsidR="006839CB" w:rsidRDefault="006839CB">
      <w:pPr>
        <w:pStyle w:val="FootnoteText"/>
      </w:pPr>
      <w:r w:rsidRPr="006B1474">
        <w:rPr>
          <w:rStyle w:val="FootnoteReference"/>
          <w:rFonts w:ascii="Times New Roman" w:hAnsi="Times New Roman" w:cs="Times New Roman"/>
        </w:rPr>
        <w:footnoteRef/>
      </w:r>
      <w:r w:rsidRPr="006B1474">
        <w:rPr>
          <w:rFonts w:ascii="Times New Roman" w:hAnsi="Times New Roman" w:cs="Times New Roman"/>
        </w:rPr>
        <w:t xml:space="preserve"> 473 P.3d 299 (Wyo. 2020)</w:t>
      </w:r>
    </w:p>
  </w:footnote>
  <w:footnote w:id="278">
    <w:p w14:paraId="3C36EB25" w14:textId="5DB20936" w:rsidR="00B15075" w:rsidRDefault="00B15075">
      <w:pPr>
        <w:pStyle w:val="FootnoteText"/>
      </w:pPr>
      <w:r w:rsidRPr="006B1474">
        <w:rPr>
          <w:rStyle w:val="FootnoteReference"/>
          <w:rFonts w:ascii="Times New Roman" w:hAnsi="Times New Roman" w:cs="Times New Roman"/>
        </w:rPr>
        <w:footnoteRef/>
      </w:r>
      <w:r w:rsidRPr="006B1474">
        <w:rPr>
          <w:i/>
          <w:iCs/>
        </w:rPr>
        <w:t xml:space="preserve"> </w:t>
      </w:r>
      <w:r w:rsidRPr="006B1474">
        <w:rPr>
          <w:rFonts w:ascii="Times New Roman" w:hAnsi="Times New Roman" w:cs="Times New Roman"/>
          <w:i/>
          <w:iCs/>
        </w:rPr>
        <w:t>Id</w:t>
      </w:r>
      <w:r w:rsidRPr="006B1474">
        <w:rPr>
          <w:rFonts w:ascii="Times New Roman" w:hAnsi="Times New Roman" w:cs="Times New Roman"/>
        </w:rPr>
        <w:t>. at 311. In essence, the ensuing disability represents a ripening of the original injury.</w:t>
      </w:r>
    </w:p>
  </w:footnote>
  <w:footnote w:id="279">
    <w:p w14:paraId="100CBF90" w14:textId="100A8AAD" w:rsidR="00693BFF" w:rsidRDefault="00693BFF" w:rsidP="006B1474">
      <w:pPr>
        <w:pStyle w:val="FootnoteText"/>
        <w:jc w:val="both"/>
      </w:pPr>
      <w:r w:rsidRPr="006B1474">
        <w:rPr>
          <w:rStyle w:val="FootnoteReference"/>
          <w:rFonts w:ascii="Times New Roman" w:hAnsi="Times New Roman" w:cs="Times New Roman"/>
        </w:rPr>
        <w:footnoteRef/>
      </w:r>
      <w:r>
        <w:t xml:space="preserve"> </w:t>
      </w:r>
      <w:r w:rsidRPr="00693BFF">
        <w:rPr>
          <w:rFonts w:ascii="Times New Roman" w:hAnsi="Times New Roman"/>
          <w:smallCaps/>
        </w:rPr>
        <w:t>Lex K. Larson, Larson’s Workers’ Compensation Law</w:t>
      </w:r>
      <w:r w:rsidRPr="00693BFF">
        <w:rPr>
          <w:rFonts w:ascii="Times New Roman" w:hAnsi="Times New Roman"/>
        </w:rPr>
        <w:t xml:space="preserve"> </w:t>
      </w:r>
      <w:r w:rsidRPr="00693BFF">
        <w:rPr>
          <w:rFonts w:ascii="Times New Roman" w:hAnsi="Times New Roman" w:cs="Times New Roman"/>
        </w:rPr>
        <w:t>§</w:t>
      </w:r>
      <w:r w:rsidRPr="00693BFF">
        <w:rPr>
          <w:rFonts w:ascii="Times New Roman" w:hAnsi="Times New Roman"/>
        </w:rPr>
        <w:t xml:space="preserve"> 5.05[2]. A partial list of cases cited by the </w:t>
      </w:r>
      <w:r w:rsidRPr="006B1474">
        <w:rPr>
          <w:rFonts w:ascii="Times New Roman" w:hAnsi="Times New Roman"/>
          <w:i/>
          <w:iCs/>
        </w:rPr>
        <w:t>Larson</w:t>
      </w:r>
      <w:r>
        <w:rPr>
          <w:rFonts w:ascii="Times New Roman" w:hAnsi="Times New Roman"/>
        </w:rPr>
        <w:t xml:space="preserve">’s </w:t>
      </w:r>
      <w:r w:rsidRPr="00693BFF">
        <w:rPr>
          <w:rFonts w:ascii="Times New Roman" w:hAnsi="Times New Roman"/>
        </w:rPr>
        <w:t>treatise includes Roe v. Boise Grocery Co., 53 Idaho 82, 21 P.2d 910 (1933) (Rocky Mountain spotted fever); Fidelity &amp; Cas. Co. v. Industrial Accident Comm’n, 84 Cal. App. 506, 258 P. 698 (1927) (typhoid); Lothrop v. Hamilton Wright Orgs., Inc., 45 A.D.2d 784, 356 N.Y.S.2d 730 (1974) (viral hepatitis); Engels Copper Mining Co. v. Industrial Accident Comm’n, 183 Cal. 714, 192 P. 845 (1920) (influenza); Sacred Heart Med. Ctr. v. Carrado, 92 Wn.2d 631, 600 P.2d 1015 (1979), rev’g, 20 Wn. App. 285, 579 P.2d 412 (1978) (hepatitis); Smith v. Capital Region Med. Ctr., 412 S.W.3d 252 (Mo. Ct. App. 2013) (influenza)</w:t>
      </w:r>
    </w:p>
  </w:footnote>
  <w:footnote w:id="280">
    <w:p w14:paraId="0D24ED61" w14:textId="6CF899EA" w:rsidR="00704A59" w:rsidRDefault="00704A59">
      <w:pPr>
        <w:pStyle w:val="FootnoteText"/>
      </w:pPr>
      <w:r w:rsidRPr="006B1474">
        <w:rPr>
          <w:rStyle w:val="FootnoteReference"/>
          <w:rFonts w:ascii="Times New Roman" w:hAnsi="Times New Roman" w:cs="Times New Roman"/>
        </w:rPr>
        <w:footnoteRef/>
      </w:r>
      <w:r>
        <w:t xml:space="preserve"> </w:t>
      </w:r>
      <w:r w:rsidR="00421091" w:rsidRPr="006B1474">
        <w:rPr>
          <w:rFonts w:ascii="Times New Roman" w:hAnsi="Times New Roman" w:cs="Times New Roman"/>
          <w:smallCaps/>
        </w:rPr>
        <w:t xml:space="preserve">Josh Cunningham, </w:t>
      </w:r>
      <w:r w:rsidRPr="006B1474">
        <w:rPr>
          <w:rFonts w:ascii="Times New Roman" w:hAnsi="Times New Roman" w:cs="Times New Roman"/>
          <w:smallCaps/>
        </w:rPr>
        <w:t>Covid-19: Workers’ Compensation</w:t>
      </w:r>
      <w:r w:rsidR="00421091" w:rsidRPr="006B1474">
        <w:rPr>
          <w:rFonts w:ascii="Times New Roman" w:hAnsi="Times New Roman" w:cs="Times New Roman"/>
          <w:smallCaps/>
        </w:rPr>
        <w:t>, National Conference of State Legislatures</w:t>
      </w:r>
      <w:r w:rsidR="00421091" w:rsidRPr="006B1474">
        <w:rPr>
          <w:rFonts w:ascii="Times New Roman" w:hAnsi="Times New Roman" w:cs="Times New Roman"/>
        </w:rPr>
        <w:t xml:space="preserve"> </w:t>
      </w:r>
      <w:r w:rsidR="00421091" w:rsidRPr="006B1474">
        <w:rPr>
          <w:rFonts w:ascii="Times New Roman" w:hAnsi="Times New Roman" w:cs="Times New Roman"/>
          <w:i/>
          <w:iCs/>
        </w:rPr>
        <w:t>available at</w:t>
      </w:r>
      <w:r w:rsidR="00421091" w:rsidRPr="006B1474">
        <w:rPr>
          <w:rFonts w:ascii="Times New Roman" w:hAnsi="Times New Roman" w:cs="Times New Roman"/>
        </w:rPr>
        <w:t xml:space="preserve"> https://www.ncsl.org/research/labor-and-employment/covid-19-workers-compensation.aspx</w:t>
      </w:r>
    </w:p>
  </w:footnote>
  <w:footnote w:id="281">
    <w:p w14:paraId="25E2734B" w14:textId="50647DFB" w:rsidR="00693BFF" w:rsidRDefault="00693BFF" w:rsidP="006B1474">
      <w:pPr>
        <w:pStyle w:val="FootnoteText"/>
        <w:jc w:val="both"/>
      </w:pPr>
      <w:r w:rsidRPr="006B1474">
        <w:rPr>
          <w:rStyle w:val="FootnoteReference"/>
          <w:rFonts w:ascii="Times New Roman" w:hAnsi="Times New Roman" w:cs="Times New Roman"/>
        </w:rPr>
        <w:footnoteRef/>
      </w:r>
      <w:r>
        <w:t xml:space="preserve"> </w:t>
      </w:r>
      <w:r w:rsidR="00704A59" w:rsidRPr="003046AD">
        <w:rPr>
          <w:rFonts w:ascii="Times New Roman" w:hAnsi="Times New Roman" w:cs="Times New Roman"/>
        </w:rPr>
        <w:t xml:space="preserve">W.S. § </w:t>
      </w:r>
      <w:hyperlink r:id="rId135" w:history="1">
        <w:r w:rsidR="00704A59" w:rsidRPr="003046AD">
          <w:rPr>
            <w:rStyle w:val="Hyperlink"/>
            <w:rFonts w:ascii="Times New Roman" w:hAnsi="Times New Roman" w:cs="Times New Roman"/>
          </w:rPr>
          <w:t>27-14-102</w:t>
        </w:r>
      </w:hyperlink>
      <w:r w:rsidR="00704A59" w:rsidRPr="000E298E">
        <w:rPr>
          <w:rFonts w:ascii="Times New Roman" w:hAnsi="Times New Roman" w:cs="Times New Roman"/>
        </w:rPr>
        <w:t>(xi)(A)</w:t>
      </w:r>
      <w:r w:rsidR="00704A59">
        <w:rPr>
          <w:rFonts w:ascii="Times New Roman" w:hAnsi="Times New Roman" w:cs="Times New Roman"/>
        </w:rPr>
        <w:t xml:space="preserve"> (“</w:t>
      </w:r>
      <w:r w:rsidR="00704A59" w:rsidRPr="00704A59">
        <w:rPr>
          <w:rFonts w:ascii="Times New Roman" w:hAnsi="Times New Roman" w:cs="Times New Roman"/>
        </w:rPr>
        <w:t>For the period beginning January 1, 2020 through December 30, 2020, if any employee in an employment sector for which coverage is provided by this act is infected with the COVID-19 Coronavirus, it shall be presumed that the risk of contracting the illness or disease was increased by the nature of the employment</w:t>
      </w:r>
      <w:r w:rsidR="00704A59">
        <w:rPr>
          <w:rFonts w:ascii="Times New Roman" w:hAnsi="Times New Roman" w:cs="Times New Roman"/>
        </w:rPr>
        <w:t xml:space="preserve">.”). The language does not quite create a presumption of causation because it only addresses legal (increased risk) rather than factual (medical) causation. It is not yet clear whether this distinction has made a practical difference in litigation, but no cases along these lines have been reported.  </w:t>
      </w:r>
    </w:p>
  </w:footnote>
  <w:footnote w:id="282">
    <w:p w14:paraId="4DC42F28" w14:textId="6E4A6E50" w:rsidR="00336EDF" w:rsidRDefault="00336EDF">
      <w:pPr>
        <w:pStyle w:val="FootnoteText"/>
      </w:pPr>
      <w:r w:rsidRPr="00A9240F">
        <w:rPr>
          <w:rStyle w:val="FootnoteReference"/>
          <w:rFonts w:ascii="Times New Roman" w:hAnsi="Times New Roman" w:cs="Times New Roman"/>
        </w:rPr>
        <w:footnoteRef/>
      </w:r>
      <w:r>
        <w:t xml:space="preserve"> </w:t>
      </w:r>
      <w:bookmarkStart w:id="388" w:name="f260"/>
      <w:bookmarkEnd w:id="388"/>
      <w:r w:rsidRPr="003046AD">
        <w:rPr>
          <w:rFonts w:ascii="Times New Roman" w:hAnsi="Times New Roman" w:cs="Times New Roman"/>
        </w:rPr>
        <w:t xml:space="preserve">W.S. § </w:t>
      </w:r>
      <w:hyperlink r:id="rId136" w:history="1">
        <w:r w:rsidRPr="003046AD">
          <w:rPr>
            <w:rStyle w:val="Hyperlink"/>
            <w:rFonts w:ascii="Times New Roman" w:hAnsi="Times New Roman" w:cs="Times New Roman"/>
          </w:rPr>
          <w:t>27-14-102</w:t>
        </w:r>
      </w:hyperlink>
      <w:r w:rsidRPr="00A9240F">
        <w:rPr>
          <w:rFonts w:ascii="Times New Roman" w:hAnsi="Times New Roman" w:cs="Times New Roman"/>
        </w:rPr>
        <w:t>(a)(xi)(J)</w:t>
      </w:r>
      <w:r w:rsidRPr="00A9240F">
        <w:t xml:space="preserve">  </w:t>
      </w:r>
    </w:p>
  </w:footnote>
  <w:footnote w:id="283">
    <w:p w14:paraId="7C86DC55" w14:textId="1758806A" w:rsidR="00336EDF" w:rsidRDefault="00336EDF">
      <w:pPr>
        <w:pStyle w:val="FootnoteText"/>
      </w:pPr>
      <w:r w:rsidRPr="00BF02A0">
        <w:rPr>
          <w:rStyle w:val="FootnoteReference"/>
          <w:rFonts w:ascii="Times New Roman" w:hAnsi="Times New Roman" w:cs="Times New Roman"/>
        </w:rPr>
        <w:footnoteRef/>
      </w:r>
      <w:r w:rsidRPr="00BF02A0">
        <w:rPr>
          <w:rStyle w:val="FootnoteReference"/>
          <w:rFonts w:ascii="Times New Roman" w:hAnsi="Times New Roman" w:cs="Times New Roman"/>
        </w:rPr>
        <w:t xml:space="preserve"> </w:t>
      </w:r>
      <w:bookmarkStart w:id="389" w:name="f261"/>
      <w:bookmarkEnd w:id="389"/>
      <w:r w:rsidRPr="00BF02A0">
        <w:rPr>
          <w:rFonts w:ascii="Times New Roman" w:hAnsi="Times New Roman" w:cs="Times New Roman"/>
        </w:rPr>
        <w:t xml:space="preserve">For commentary on “most recent edition” incorporations </w:t>
      </w:r>
      <w:r w:rsidRPr="00EF5C68">
        <w:rPr>
          <w:rFonts w:ascii="Times New Roman" w:hAnsi="Times New Roman" w:cs="Times New Roman"/>
          <w:i/>
          <w:iCs/>
        </w:rPr>
        <w:t>see</w:t>
      </w:r>
      <w:r w:rsidRPr="00BF02A0">
        <w:rPr>
          <w:rFonts w:ascii="Times New Roman" w:hAnsi="Times New Roman" w:cs="Times New Roman"/>
        </w:rPr>
        <w:t xml:space="preserve"> supra. in this </w:t>
      </w:r>
      <w:r>
        <w:rPr>
          <w:rFonts w:ascii="Times New Roman" w:hAnsi="Times New Roman" w:cs="Times New Roman"/>
        </w:rPr>
        <w:t>T</w:t>
      </w:r>
      <w:r w:rsidRPr="00BF02A0">
        <w:rPr>
          <w:rFonts w:ascii="Times New Roman" w:hAnsi="Times New Roman" w:cs="Times New Roman"/>
        </w:rPr>
        <w:t>reatise at Section 2.21</w:t>
      </w:r>
    </w:p>
  </w:footnote>
  <w:footnote w:id="284">
    <w:p w14:paraId="3626141D" w14:textId="4F29069F" w:rsidR="00336EDF" w:rsidRDefault="00336EDF">
      <w:pPr>
        <w:pStyle w:val="FootnoteText"/>
      </w:pPr>
      <w:r w:rsidRPr="00C735CF">
        <w:rPr>
          <w:rStyle w:val="FootnoteReference"/>
          <w:rFonts w:ascii="Times New Roman" w:hAnsi="Times New Roman" w:cs="Times New Roman"/>
        </w:rPr>
        <w:footnoteRef/>
      </w:r>
      <w:r>
        <w:t xml:space="preserve"> </w:t>
      </w:r>
      <w:bookmarkStart w:id="390" w:name="f262"/>
      <w:bookmarkStart w:id="391" w:name="_Hlk518132887"/>
      <w:bookmarkStart w:id="392" w:name="_Hlk518317856"/>
      <w:bookmarkEnd w:id="390"/>
      <w:r>
        <w:rPr>
          <w:rFonts w:ascii="Times New Roman" w:hAnsi="Times New Roman" w:cs="Times New Roman"/>
        </w:rPr>
        <w:t xml:space="preserve">4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56</w:t>
      </w:r>
      <w:r w:rsidRPr="00B93977">
        <w:rPr>
          <w:rFonts w:ascii="Times New Roman" w:hAnsi="Times New Roman" w:cs="Times New Roman"/>
        </w:rPr>
        <w:t>.01</w:t>
      </w:r>
      <w:bookmarkEnd w:id="391"/>
    </w:p>
    <w:bookmarkEnd w:id="392"/>
  </w:footnote>
  <w:footnote w:id="285">
    <w:p w14:paraId="4E1522E7" w14:textId="27AFA01C" w:rsidR="00336EDF" w:rsidRDefault="00336EDF">
      <w:pPr>
        <w:pStyle w:val="FootnoteText"/>
      </w:pPr>
      <w:r w:rsidRPr="00C735CF">
        <w:rPr>
          <w:rStyle w:val="FootnoteReference"/>
          <w:rFonts w:ascii="Times New Roman" w:hAnsi="Times New Roman" w:cs="Times New Roman"/>
        </w:rPr>
        <w:footnoteRef/>
      </w:r>
      <w:r w:rsidRPr="00C735CF">
        <w:rPr>
          <w:rStyle w:val="FootnoteReference"/>
          <w:rFonts w:ascii="Times New Roman" w:hAnsi="Times New Roman" w:cs="Times New Roman"/>
        </w:rPr>
        <w:t xml:space="preserve"> </w:t>
      </w:r>
      <w:bookmarkStart w:id="393" w:name="f263"/>
      <w:bookmarkEnd w:id="393"/>
      <w:r>
        <w:rPr>
          <w:rFonts w:ascii="Times New Roman" w:hAnsi="Times New Roman" w:cs="Times New Roman"/>
        </w:rPr>
        <w:t xml:space="preserve">4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56</w:t>
      </w:r>
      <w:r w:rsidRPr="00B93977">
        <w:rPr>
          <w:rFonts w:ascii="Times New Roman" w:hAnsi="Times New Roman" w:cs="Times New Roman"/>
        </w:rPr>
        <w:t>.0</w:t>
      </w:r>
      <w:r>
        <w:rPr>
          <w:rFonts w:ascii="Times New Roman" w:hAnsi="Times New Roman" w:cs="Times New Roman"/>
        </w:rPr>
        <w:t>4</w:t>
      </w:r>
    </w:p>
  </w:footnote>
  <w:footnote w:id="286">
    <w:p w14:paraId="470B896C" w14:textId="783779C5" w:rsidR="00336EDF" w:rsidRDefault="00336EDF">
      <w:pPr>
        <w:pStyle w:val="FootnoteText"/>
      </w:pPr>
      <w:r w:rsidRPr="00497C12">
        <w:rPr>
          <w:rStyle w:val="FootnoteReference"/>
          <w:rFonts w:ascii="Times New Roman" w:hAnsi="Times New Roman" w:cs="Times New Roman"/>
        </w:rPr>
        <w:footnoteRef/>
      </w:r>
      <w:r w:rsidRPr="00497C12">
        <w:rPr>
          <w:rStyle w:val="FootnoteReference"/>
          <w:rFonts w:ascii="Times New Roman" w:hAnsi="Times New Roman" w:cs="Times New Roman"/>
        </w:rPr>
        <w:t xml:space="preserve"> </w:t>
      </w:r>
      <w:bookmarkStart w:id="394" w:name="f264"/>
      <w:bookmarkEnd w:id="394"/>
      <w:r>
        <w:fldChar w:fldCharType="begin"/>
      </w:r>
      <w:r>
        <w:instrText xml:space="preserve"> HYPERLINK "https://www.courtlistener.com/opinion/2363159/wheeler-v-state-ex-rel-wyoming-workerssafety-comp-div/" </w:instrText>
      </w:r>
      <w:r>
        <w:fldChar w:fldCharType="separate"/>
      </w:r>
      <w:r w:rsidRPr="009933E0">
        <w:rPr>
          <w:rStyle w:val="Hyperlink"/>
          <w:rFonts w:ascii="Times New Roman" w:hAnsi="Times New Roman" w:cs="Times New Roman"/>
        </w:rPr>
        <w:t>245 P.3d 811</w:t>
      </w:r>
      <w:r>
        <w:rPr>
          <w:rStyle w:val="Hyperlink"/>
          <w:rFonts w:ascii="Times New Roman" w:hAnsi="Times New Roman" w:cs="Times New Roman"/>
        </w:rPr>
        <w:fldChar w:fldCharType="end"/>
      </w:r>
      <w:r>
        <w:rPr>
          <w:rFonts w:ascii="Times New Roman" w:hAnsi="Times New Roman" w:cs="Times New Roman"/>
        </w:rPr>
        <w:t xml:space="preserve"> (Wyo. 2010)</w:t>
      </w:r>
    </w:p>
  </w:footnote>
  <w:footnote w:id="287">
    <w:p w14:paraId="1EDD6BB5" w14:textId="638A6CAC" w:rsidR="00336EDF" w:rsidRDefault="00336EDF">
      <w:pPr>
        <w:pStyle w:val="FootnoteText"/>
      </w:pPr>
      <w:r w:rsidRPr="00C26146">
        <w:rPr>
          <w:rStyle w:val="FootnoteReference"/>
          <w:rFonts w:ascii="Times New Roman" w:hAnsi="Times New Roman" w:cs="Times New Roman"/>
        </w:rPr>
        <w:footnoteRef/>
      </w:r>
      <w:r w:rsidRPr="00C26146">
        <w:rPr>
          <w:i/>
        </w:rPr>
        <w:t xml:space="preserve"> </w:t>
      </w:r>
      <w:bookmarkStart w:id="395" w:name="f265"/>
      <w:bookmarkEnd w:id="395"/>
      <w:r w:rsidRPr="00C26146">
        <w:rPr>
          <w:rFonts w:ascii="Times New Roman" w:hAnsi="Times New Roman" w:cs="Times New Roman"/>
          <w:i/>
        </w:rPr>
        <w:t>Id</w:t>
      </w:r>
      <w:r w:rsidRPr="00C26146">
        <w:rPr>
          <w:rFonts w:ascii="Times New Roman" w:hAnsi="Times New Roman" w:cs="Times New Roman"/>
        </w:rPr>
        <w:t>. at 814-815</w:t>
      </w:r>
    </w:p>
  </w:footnote>
  <w:footnote w:id="288">
    <w:p w14:paraId="7353F7D5" w14:textId="613838AB" w:rsidR="00336EDF" w:rsidRDefault="00336EDF">
      <w:pPr>
        <w:pStyle w:val="FootnoteText"/>
      </w:pPr>
      <w:r w:rsidRPr="007D3CFD">
        <w:rPr>
          <w:rStyle w:val="FootnoteReference"/>
          <w:rFonts w:ascii="Times New Roman" w:hAnsi="Times New Roman" w:cs="Times New Roman"/>
        </w:rPr>
        <w:footnoteRef/>
      </w:r>
      <w:r>
        <w:t xml:space="preserve"> </w:t>
      </w:r>
      <w:bookmarkStart w:id="396" w:name="f266"/>
      <w:bookmarkEnd w:id="396"/>
      <w:r w:rsidRPr="007D3CFD">
        <w:rPr>
          <w:rFonts w:ascii="Times New Roman" w:hAnsi="Times New Roman" w:cs="Times New Roman"/>
          <w:i/>
        </w:rPr>
        <w:t>Id</w:t>
      </w:r>
      <w:r w:rsidRPr="007D3CFD">
        <w:rPr>
          <w:rFonts w:ascii="Times New Roman" w:hAnsi="Times New Roman" w:cs="Times New Roman"/>
        </w:rPr>
        <w:t>. at 816</w:t>
      </w:r>
    </w:p>
  </w:footnote>
  <w:footnote w:id="289">
    <w:p w14:paraId="3628FA36" w14:textId="09C8A919" w:rsidR="00336EDF" w:rsidRDefault="00336EDF">
      <w:pPr>
        <w:pStyle w:val="FootnoteText"/>
      </w:pPr>
      <w:r w:rsidRPr="00416C05">
        <w:rPr>
          <w:rStyle w:val="FootnoteReference"/>
          <w:rFonts w:ascii="Times New Roman" w:hAnsi="Times New Roman" w:cs="Times New Roman"/>
        </w:rPr>
        <w:footnoteRef/>
      </w:r>
      <w:r>
        <w:t xml:space="preserve"> </w:t>
      </w:r>
      <w:bookmarkStart w:id="397" w:name="f267"/>
      <w:bookmarkEnd w:id="397"/>
      <w:r>
        <w:fldChar w:fldCharType="begin"/>
      </w:r>
      <w:r>
        <w:instrText xml:space="preserve"> HYPERLINK "https://casetext.com/case/egans-case" </w:instrText>
      </w:r>
      <w:r>
        <w:fldChar w:fldCharType="separate"/>
      </w:r>
      <w:r w:rsidRPr="009933E0">
        <w:rPr>
          <w:rStyle w:val="Hyperlink"/>
          <w:rFonts w:ascii="Times New Roman" w:hAnsi="Times New Roman" w:cs="Times New Roman"/>
        </w:rPr>
        <w:t>331 Mass. 11</w:t>
      </w:r>
      <w:r>
        <w:rPr>
          <w:rStyle w:val="Hyperlink"/>
          <w:rFonts w:ascii="Times New Roman" w:hAnsi="Times New Roman" w:cs="Times New Roman"/>
        </w:rPr>
        <w:fldChar w:fldCharType="end"/>
      </w:r>
      <w:r>
        <w:rPr>
          <w:rFonts w:ascii="Times New Roman" w:hAnsi="Times New Roman" w:cs="Times New Roman"/>
        </w:rPr>
        <w:t xml:space="preserve"> (1954)</w:t>
      </w:r>
    </w:p>
  </w:footnote>
  <w:footnote w:id="290">
    <w:p w14:paraId="07E1290E" w14:textId="6955B23C" w:rsidR="00336EDF" w:rsidRDefault="00336EDF">
      <w:pPr>
        <w:pStyle w:val="FootnoteText"/>
      </w:pPr>
      <w:r w:rsidRPr="007D3CFD">
        <w:rPr>
          <w:rStyle w:val="FootnoteReference"/>
          <w:rFonts w:ascii="Times New Roman" w:hAnsi="Times New Roman" w:cs="Times New Roman"/>
        </w:rPr>
        <w:footnoteRef/>
      </w:r>
      <w:r>
        <w:t xml:space="preserve"> </w:t>
      </w:r>
      <w:bookmarkStart w:id="398" w:name="f268"/>
      <w:bookmarkEnd w:id="398"/>
      <w:r w:rsidRPr="008971A6">
        <w:rPr>
          <w:rFonts w:ascii="Times New Roman" w:hAnsi="Times New Roman" w:cs="Times New Roman"/>
          <w:i/>
          <w:iCs/>
        </w:rPr>
        <w:t>See</w:t>
      </w:r>
      <w:r w:rsidRPr="007D3CFD">
        <w:rPr>
          <w:rFonts w:ascii="Times New Roman" w:hAnsi="Times New Roman" w:cs="Times New Roman"/>
        </w:rPr>
        <w:t xml:space="preserve"> a discussion of the case in D</w:t>
      </w:r>
      <w:r w:rsidRPr="007D3CFD">
        <w:rPr>
          <w:rFonts w:ascii="Times New Roman" w:hAnsi="Times New Roman" w:cs="Times New Roman"/>
          <w:smallCaps/>
        </w:rPr>
        <w:t>uff</w:t>
      </w:r>
      <w:r w:rsidRPr="007D3CFD">
        <w:rPr>
          <w:rFonts w:ascii="Times New Roman" w:hAnsi="Times New Roman" w:cs="Times New Roman"/>
        </w:rPr>
        <w:t>, W</w:t>
      </w:r>
      <w:r w:rsidRPr="007D3CFD">
        <w:rPr>
          <w:rFonts w:ascii="Times New Roman" w:hAnsi="Times New Roman" w:cs="Times New Roman"/>
          <w:smallCaps/>
        </w:rPr>
        <w:t>orkers</w:t>
      </w:r>
      <w:r w:rsidRPr="007D3CFD">
        <w:rPr>
          <w:rFonts w:ascii="Times New Roman" w:hAnsi="Times New Roman" w:cs="Times New Roman"/>
        </w:rPr>
        <w:t>’ C</w:t>
      </w:r>
      <w:r w:rsidRPr="007D3CFD">
        <w:rPr>
          <w:rFonts w:ascii="Times New Roman" w:hAnsi="Times New Roman" w:cs="Times New Roman"/>
          <w:smallCaps/>
        </w:rPr>
        <w:t>ompensation</w:t>
      </w:r>
      <w:r w:rsidRPr="007D3CFD">
        <w:rPr>
          <w:rFonts w:ascii="Times New Roman" w:hAnsi="Times New Roman" w:cs="Times New Roman"/>
        </w:rPr>
        <w:t xml:space="preserve"> L</w:t>
      </w:r>
      <w:r w:rsidRPr="007D3CFD">
        <w:rPr>
          <w:rFonts w:ascii="Times New Roman" w:hAnsi="Times New Roman" w:cs="Times New Roman"/>
          <w:smallCaps/>
        </w:rPr>
        <w:t>aw</w:t>
      </w:r>
      <w:r w:rsidRPr="007D3CFD">
        <w:rPr>
          <w:rFonts w:ascii="Times New Roman" w:hAnsi="Times New Roman" w:cs="Times New Roman"/>
        </w:rPr>
        <w:t xml:space="preserve">, </w:t>
      </w:r>
      <w:r w:rsidRPr="007D3CFD">
        <w:rPr>
          <w:rFonts w:ascii="Times New Roman" w:hAnsi="Times New Roman" w:cs="Times New Roman"/>
          <w:i/>
        </w:rPr>
        <w:t>supra</w:t>
      </w:r>
      <w:r w:rsidRPr="007D3CFD">
        <w:rPr>
          <w:rFonts w:ascii="Times New Roman" w:hAnsi="Times New Roman" w:cs="Times New Roman"/>
        </w:rPr>
        <w:t>. at 72-74</w:t>
      </w:r>
    </w:p>
  </w:footnote>
  <w:footnote w:id="291">
    <w:p w14:paraId="365D4F3E" w14:textId="2D95BD58" w:rsidR="00336EDF" w:rsidRDefault="00336EDF">
      <w:pPr>
        <w:pStyle w:val="FootnoteText"/>
      </w:pPr>
      <w:r w:rsidRPr="00181855">
        <w:rPr>
          <w:rStyle w:val="FootnoteReference"/>
          <w:rFonts w:ascii="Times New Roman" w:hAnsi="Times New Roman" w:cs="Times New Roman"/>
        </w:rPr>
        <w:footnoteRef/>
      </w:r>
      <w:r>
        <w:t xml:space="preserve"> </w:t>
      </w:r>
      <w:bookmarkStart w:id="399" w:name="f269"/>
      <w:bookmarkStart w:id="400" w:name="_Hlk518329599"/>
      <w:bookmarkEnd w:id="399"/>
      <w:r>
        <w:rPr>
          <w:rFonts w:ascii="Times New Roman" w:hAnsi="Times New Roman" w:cs="Times New Roman"/>
        </w:rPr>
        <w:t xml:space="preserve">4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56</w:t>
      </w:r>
      <w:r w:rsidRPr="00B93977">
        <w:rPr>
          <w:rFonts w:ascii="Times New Roman" w:hAnsi="Times New Roman" w:cs="Times New Roman"/>
        </w:rPr>
        <w:t>.0</w:t>
      </w:r>
      <w:r>
        <w:rPr>
          <w:rFonts w:ascii="Times New Roman" w:hAnsi="Times New Roman" w:cs="Times New Roman"/>
        </w:rPr>
        <w:t>2</w:t>
      </w:r>
      <w:bookmarkEnd w:id="400"/>
    </w:p>
  </w:footnote>
  <w:footnote w:id="292">
    <w:p w14:paraId="5BA6F045" w14:textId="6A7C8778" w:rsidR="00336EDF" w:rsidRPr="00416C05" w:rsidRDefault="00336EDF" w:rsidP="00416C05">
      <w:pPr>
        <w:pStyle w:val="FootnoteText"/>
        <w:jc w:val="both"/>
        <w:rPr>
          <w:rFonts w:ascii="Times New Roman" w:hAnsi="Times New Roman" w:cs="Times New Roman"/>
        </w:rPr>
      </w:pPr>
      <w:r w:rsidRPr="00181855">
        <w:rPr>
          <w:rStyle w:val="FootnoteReference"/>
          <w:rFonts w:ascii="Times New Roman" w:hAnsi="Times New Roman" w:cs="Times New Roman"/>
        </w:rPr>
        <w:footnoteRef/>
      </w:r>
      <w:r>
        <w:t xml:space="preserve"> </w:t>
      </w:r>
      <w:bookmarkStart w:id="401" w:name="f270"/>
      <w:bookmarkEnd w:id="401"/>
      <w:r w:rsidRPr="00416C05">
        <w:rPr>
          <w:rFonts w:ascii="Times New Roman" w:hAnsi="Times New Roman" w:cs="Times New Roman"/>
          <w:i/>
        </w:rPr>
        <w:t>See</w:t>
      </w:r>
      <w:r w:rsidRPr="00416C05">
        <w:rPr>
          <w:rFonts w:ascii="Times New Roman" w:hAnsi="Times New Roman" w:cs="Times New Roman"/>
        </w:rPr>
        <w:t xml:space="preserve">  Cook v. Shoshone First Bank, </w:t>
      </w:r>
      <w:hyperlink r:id="rId137" w:history="1">
        <w:r w:rsidRPr="00224411">
          <w:rPr>
            <w:rStyle w:val="Hyperlink"/>
            <w:rFonts w:ascii="Times New Roman" w:hAnsi="Times New Roman" w:cs="Times New Roman"/>
          </w:rPr>
          <w:t>126 P.3d 886</w:t>
        </w:r>
      </w:hyperlink>
      <w:r w:rsidRPr="00416C05">
        <w:rPr>
          <w:rFonts w:ascii="Times New Roman" w:hAnsi="Times New Roman" w:cs="Times New Roman"/>
        </w:rPr>
        <w:t>, 890–91 (Wyo.2006); Brierley v. Workers</w:t>
      </w:r>
      <w:r>
        <w:rPr>
          <w:rFonts w:ascii="Times New Roman" w:hAnsi="Times New Roman" w:cs="Times New Roman"/>
        </w:rPr>
        <w:t>’</w:t>
      </w:r>
      <w:r w:rsidRPr="00416C05">
        <w:rPr>
          <w:rFonts w:ascii="Times New Roman" w:hAnsi="Times New Roman" w:cs="Times New Roman"/>
        </w:rPr>
        <w:t xml:space="preserve"> Safety &amp; Comp. Div.,</w:t>
      </w:r>
      <w:r>
        <w:rPr>
          <w:rFonts w:ascii="Times New Roman" w:hAnsi="Times New Roman" w:cs="Times New Roman"/>
        </w:rPr>
        <w:t xml:space="preserve"> </w:t>
      </w:r>
      <w:hyperlink r:id="rId138" w:history="1">
        <w:r w:rsidRPr="00224411">
          <w:rPr>
            <w:rStyle w:val="Hyperlink"/>
            <w:rFonts w:ascii="Times New Roman" w:hAnsi="Times New Roman" w:cs="Times New Roman"/>
          </w:rPr>
          <w:t>52 P.3d 564</w:t>
        </w:r>
      </w:hyperlink>
      <w:r w:rsidRPr="00416C05">
        <w:rPr>
          <w:rFonts w:ascii="Times New Roman" w:hAnsi="Times New Roman" w:cs="Times New Roman"/>
        </w:rPr>
        <w:t>, 565 (Wyo.2002); Sechrist v.</w:t>
      </w:r>
      <w:r>
        <w:rPr>
          <w:rFonts w:ascii="Times New Roman" w:hAnsi="Times New Roman" w:cs="Times New Roman"/>
        </w:rPr>
        <w:t xml:space="preserve"> </w:t>
      </w:r>
      <w:r w:rsidRPr="00416C05">
        <w:rPr>
          <w:rFonts w:ascii="Times New Roman" w:hAnsi="Times New Roman" w:cs="Times New Roman"/>
        </w:rPr>
        <w:t>Workers</w:t>
      </w:r>
      <w:r>
        <w:rPr>
          <w:rFonts w:ascii="Times New Roman" w:hAnsi="Times New Roman" w:cs="Times New Roman"/>
        </w:rPr>
        <w:t>’</w:t>
      </w:r>
      <w:r w:rsidRPr="00416C05">
        <w:rPr>
          <w:rFonts w:ascii="Times New Roman" w:hAnsi="Times New Roman" w:cs="Times New Roman"/>
        </w:rPr>
        <w:t xml:space="preserve"> Safety &amp; Comp. Div., </w:t>
      </w:r>
      <w:hyperlink r:id="rId139" w:history="1">
        <w:r w:rsidRPr="00224411">
          <w:rPr>
            <w:rStyle w:val="Hyperlink"/>
            <w:rFonts w:ascii="Times New Roman" w:hAnsi="Times New Roman" w:cs="Times New Roman"/>
          </w:rPr>
          <w:t>23 P.3d 1138</w:t>
        </w:r>
      </w:hyperlink>
      <w:r w:rsidRPr="00416C05">
        <w:rPr>
          <w:rFonts w:ascii="Times New Roman" w:hAnsi="Times New Roman" w:cs="Times New Roman"/>
        </w:rPr>
        <w:t>, 1141 (Wyo.2001)</w:t>
      </w:r>
    </w:p>
  </w:footnote>
  <w:footnote w:id="293">
    <w:p w14:paraId="2DC78DE0" w14:textId="507D974D" w:rsidR="00336EDF" w:rsidRDefault="00336EDF">
      <w:pPr>
        <w:pStyle w:val="FootnoteText"/>
      </w:pPr>
      <w:r w:rsidRPr="000173C7">
        <w:rPr>
          <w:rStyle w:val="FootnoteReference"/>
          <w:rFonts w:ascii="Times New Roman" w:hAnsi="Times New Roman" w:cs="Times New Roman"/>
        </w:rPr>
        <w:footnoteRef/>
      </w:r>
      <w:r w:rsidRPr="00181855">
        <w:rPr>
          <w:rStyle w:val="FootnoteReference"/>
          <w:rFonts w:ascii="Times New Roman" w:hAnsi="Times New Roman" w:cs="Times New Roman"/>
          <w:sz w:val="22"/>
          <w:szCs w:val="22"/>
        </w:rPr>
        <w:t xml:space="preserve"> </w:t>
      </w:r>
      <w:r w:rsidRPr="00E12E58">
        <w:rPr>
          <w:rFonts w:ascii="Times New Roman" w:hAnsi="Times New Roman" w:cs="Times New Roman"/>
          <w:i/>
        </w:rPr>
        <w:t>Id.</w:t>
      </w:r>
    </w:p>
  </w:footnote>
  <w:footnote w:id="294">
    <w:p w14:paraId="5CA00C78" w14:textId="42CBF5E6" w:rsidR="00336EDF" w:rsidRPr="00461BAE" w:rsidRDefault="00336EDF" w:rsidP="00461BAE">
      <w:pPr>
        <w:pStyle w:val="FootnoteText"/>
        <w:jc w:val="both"/>
        <w:rPr>
          <w:rFonts w:ascii="Times New Roman" w:hAnsi="Times New Roman" w:cs="Times New Roman"/>
        </w:rPr>
      </w:pPr>
      <w:r w:rsidRPr="000173C7">
        <w:rPr>
          <w:rStyle w:val="FootnoteReference"/>
          <w:rFonts w:ascii="Times New Roman" w:hAnsi="Times New Roman" w:cs="Times New Roman"/>
        </w:rPr>
        <w:footnoteRef/>
      </w:r>
      <w:r w:rsidRPr="000173C7">
        <w:rPr>
          <w:rStyle w:val="FootnoteReference"/>
          <w:rFonts w:ascii="Times New Roman" w:hAnsi="Times New Roman" w:cs="Times New Roman"/>
        </w:rPr>
        <w:t xml:space="preserve"> </w:t>
      </w:r>
      <w:bookmarkStart w:id="403" w:name="f271"/>
      <w:bookmarkStart w:id="404" w:name="f272"/>
      <w:bookmarkEnd w:id="403"/>
      <w:bookmarkEnd w:id="404"/>
      <w:r>
        <w:fldChar w:fldCharType="begin"/>
      </w:r>
      <w:r>
        <w:instrText xml:space="preserve"> HYPERLINK "https://law.justia.com/cases/wyoming/supreme-court/1997/123520.html" </w:instrText>
      </w:r>
      <w:r>
        <w:fldChar w:fldCharType="separate"/>
      </w:r>
      <w:r w:rsidRPr="00224411">
        <w:rPr>
          <w:rStyle w:val="Hyperlink"/>
          <w:rFonts w:ascii="Times New Roman" w:hAnsi="Times New Roman" w:cs="Times New Roman"/>
        </w:rPr>
        <w:t>932 P.2d 750</w:t>
      </w:r>
      <w:r>
        <w:rPr>
          <w:rStyle w:val="Hyperlink"/>
          <w:rFonts w:ascii="Times New Roman" w:hAnsi="Times New Roman" w:cs="Times New Roman"/>
        </w:rPr>
        <w:fldChar w:fldCharType="end"/>
      </w:r>
      <w:r w:rsidRPr="00461BAE">
        <w:rPr>
          <w:rFonts w:ascii="Times New Roman" w:hAnsi="Times New Roman" w:cs="Times New Roman"/>
        </w:rPr>
        <w:t xml:space="preserve"> (Wyo. 1997) </w:t>
      </w:r>
      <w:r w:rsidRPr="00461BAE">
        <w:rPr>
          <w:rFonts w:ascii="Times New Roman" w:hAnsi="Times New Roman" w:cs="Times New Roman"/>
          <w:i/>
        </w:rPr>
        <w:t>overruled on other grounds</w:t>
      </w:r>
      <w:r w:rsidRPr="00461BAE">
        <w:rPr>
          <w:rFonts w:ascii="Times New Roman" w:hAnsi="Times New Roman" w:cs="Times New Roman"/>
        </w:rPr>
        <w:t xml:space="preserve"> Torres v. Workers</w:t>
      </w:r>
      <w:r>
        <w:rPr>
          <w:rFonts w:ascii="Times New Roman" w:hAnsi="Times New Roman" w:cs="Times New Roman"/>
        </w:rPr>
        <w:t>’</w:t>
      </w:r>
      <w:r w:rsidRPr="00461BAE">
        <w:rPr>
          <w:rFonts w:ascii="Times New Roman" w:hAnsi="Times New Roman" w:cs="Times New Roman"/>
        </w:rPr>
        <w:t xml:space="preserve"> Safety </w:t>
      </w:r>
      <w:r>
        <w:rPr>
          <w:rFonts w:ascii="Times New Roman" w:hAnsi="Times New Roman" w:cs="Times New Roman"/>
        </w:rPr>
        <w:t xml:space="preserve">&amp; </w:t>
      </w:r>
      <w:r w:rsidRPr="00461BAE">
        <w:rPr>
          <w:rFonts w:ascii="Times New Roman" w:hAnsi="Times New Roman" w:cs="Times New Roman"/>
        </w:rPr>
        <w:t xml:space="preserve">Compensation Div., 95 P.3d 794 (Wyo. 2004) </w:t>
      </w:r>
      <w:r w:rsidRPr="00461BAE">
        <w:rPr>
          <w:rFonts w:ascii="Times New Roman" w:hAnsi="Times New Roman" w:cs="Times New Roman"/>
          <w:i/>
        </w:rPr>
        <w:t>reaffirmed in relevant part</w:t>
      </w:r>
      <w:r w:rsidRPr="00461BAE">
        <w:rPr>
          <w:rFonts w:ascii="Times New Roman" w:hAnsi="Times New Roman" w:cs="Times New Roman"/>
        </w:rPr>
        <w:t xml:space="preserve"> Pinkerton v. Workers’ Safety </w:t>
      </w:r>
      <w:r>
        <w:rPr>
          <w:rFonts w:ascii="Times New Roman" w:hAnsi="Times New Roman" w:cs="Times New Roman"/>
        </w:rPr>
        <w:t>&amp;</w:t>
      </w:r>
      <w:r w:rsidRPr="00461BAE">
        <w:rPr>
          <w:rFonts w:ascii="Times New Roman" w:hAnsi="Times New Roman" w:cs="Times New Roman"/>
        </w:rPr>
        <w:t xml:space="preserve"> Compensation Div., </w:t>
      </w:r>
      <w:hyperlink r:id="rId140" w:history="1">
        <w:r w:rsidRPr="00224411">
          <w:rPr>
            <w:rStyle w:val="Hyperlink"/>
            <w:rFonts w:ascii="Times New Roman" w:hAnsi="Times New Roman" w:cs="Times New Roman"/>
          </w:rPr>
          <w:t>939 P.2d 250</w:t>
        </w:r>
      </w:hyperlink>
      <w:r w:rsidRPr="00461BAE">
        <w:rPr>
          <w:rFonts w:ascii="Times New Roman" w:hAnsi="Times New Roman" w:cs="Times New Roman"/>
        </w:rPr>
        <w:t xml:space="preserve"> (Wyo. 1997)</w:t>
      </w:r>
    </w:p>
  </w:footnote>
  <w:footnote w:id="295">
    <w:p w14:paraId="1D83784C" w14:textId="4EDD613E" w:rsidR="00336EDF" w:rsidRDefault="00336EDF">
      <w:pPr>
        <w:pStyle w:val="FootnoteText"/>
      </w:pPr>
      <w:r w:rsidRPr="000173C7">
        <w:rPr>
          <w:rStyle w:val="FootnoteReference"/>
          <w:rFonts w:ascii="Times New Roman" w:hAnsi="Times New Roman" w:cs="Times New Roman"/>
        </w:rPr>
        <w:footnoteRef/>
      </w:r>
      <w:r w:rsidRPr="000173C7">
        <w:rPr>
          <w:rStyle w:val="FootnoteReference"/>
          <w:rFonts w:ascii="Times New Roman" w:hAnsi="Times New Roman" w:cs="Times New Roman"/>
        </w:rPr>
        <w:t xml:space="preserve"> </w:t>
      </w:r>
      <w:bookmarkStart w:id="405" w:name="f273"/>
      <w:bookmarkEnd w:id="405"/>
      <w:r w:rsidRPr="00181855">
        <w:rPr>
          <w:rFonts w:ascii="Times New Roman" w:hAnsi="Times New Roman" w:cs="Times New Roman"/>
        </w:rPr>
        <w:t xml:space="preserve">Frantz., </w:t>
      </w:r>
      <w:r w:rsidRPr="00181855">
        <w:rPr>
          <w:rFonts w:ascii="Times New Roman" w:hAnsi="Times New Roman" w:cs="Times New Roman"/>
          <w:i/>
        </w:rPr>
        <w:t>supra</w:t>
      </w:r>
      <w:r w:rsidRPr="00181855">
        <w:rPr>
          <w:rFonts w:ascii="Times New Roman" w:hAnsi="Times New Roman" w:cs="Times New Roman"/>
        </w:rPr>
        <w:t>., 932 P.2d at 754</w:t>
      </w:r>
    </w:p>
  </w:footnote>
  <w:footnote w:id="296">
    <w:p w14:paraId="4DE74AFB" w14:textId="332C45B2" w:rsidR="00336EDF" w:rsidRDefault="00336EDF">
      <w:pPr>
        <w:pStyle w:val="FootnoteText"/>
      </w:pPr>
      <w:r w:rsidRPr="000173C7">
        <w:rPr>
          <w:rStyle w:val="FootnoteReference"/>
          <w:rFonts w:ascii="Times New Roman" w:hAnsi="Times New Roman" w:cs="Times New Roman"/>
        </w:rPr>
        <w:footnoteRef/>
      </w:r>
      <w:r>
        <w:t xml:space="preserve"> </w:t>
      </w:r>
      <w:bookmarkStart w:id="406" w:name="f274"/>
      <w:bookmarkEnd w:id="406"/>
      <w:r w:rsidRPr="000173C7">
        <w:rPr>
          <w:rFonts w:ascii="Times New Roman" w:hAnsi="Times New Roman" w:cs="Times New Roman"/>
          <w:i/>
        </w:rPr>
        <w:t>See</w:t>
      </w:r>
      <w:r w:rsidRPr="000173C7">
        <w:rPr>
          <w:rFonts w:ascii="Times New Roman" w:hAnsi="Times New Roman" w:cs="Times New Roman"/>
        </w:rPr>
        <w:t xml:space="preserve"> discussion </w:t>
      </w:r>
      <w:r w:rsidRPr="000173C7">
        <w:rPr>
          <w:rFonts w:ascii="Times New Roman" w:hAnsi="Times New Roman" w:cs="Times New Roman"/>
          <w:i/>
        </w:rPr>
        <w:t>supra</w:t>
      </w:r>
      <w:r w:rsidRPr="000173C7">
        <w:rPr>
          <w:rFonts w:ascii="Times New Roman" w:hAnsi="Times New Roman" w:cs="Times New Roman"/>
        </w:rPr>
        <w:t xml:space="preserve">. Section 1.6 </w:t>
      </w:r>
      <w:r w:rsidRPr="00F93F1B">
        <w:rPr>
          <w:rFonts w:ascii="Times New Roman" w:hAnsi="Times New Roman" w:cs="Times New Roman"/>
          <w:i/>
        </w:rPr>
        <w:t>citing</w:t>
      </w:r>
      <w:r w:rsidRPr="000173C7">
        <w:rPr>
          <w:rFonts w:ascii="Times New Roman" w:hAnsi="Times New Roman" w:cs="Times New Roman"/>
        </w:rPr>
        <w:t xml:space="preserve"> Cook v. Shoshone First Bank, 126 P.3d 886 (Wyo. 2006)</w:t>
      </w:r>
    </w:p>
  </w:footnote>
  <w:footnote w:id="297">
    <w:p w14:paraId="3D62958A" w14:textId="7EC68A03" w:rsidR="00336EDF" w:rsidRDefault="00336EDF">
      <w:pPr>
        <w:pStyle w:val="FootnoteText"/>
      </w:pPr>
      <w:r w:rsidRPr="00A34CC3">
        <w:rPr>
          <w:rStyle w:val="FootnoteReference"/>
          <w:rFonts w:ascii="Times New Roman" w:hAnsi="Times New Roman" w:cs="Times New Roman"/>
        </w:rPr>
        <w:footnoteRef/>
      </w:r>
      <w:r w:rsidRPr="00A34CC3">
        <w:rPr>
          <w:rFonts w:ascii="Times New Roman" w:hAnsi="Times New Roman" w:cs="Times New Roman"/>
        </w:rPr>
        <w:t xml:space="preserve"> </w:t>
      </w:r>
      <w:bookmarkStart w:id="409" w:name="f275"/>
      <w:bookmarkStart w:id="410" w:name="_Hlk20413103"/>
      <w:bookmarkEnd w:id="409"/>
      <w:r>
        <w:rPr>
          <w:rFonts w:ascii="Times New Roman" w:hAnsi="Times New Roman" w:cs="Times New Roman"/>
        </w:rPr>
        <w:t xml:space="preserve">1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9.01</w:t>
      </w:r>
      <w:bookmarkEnd w:id="410"/>
    </w:p>
  </w:footnote>
  <w:footnote w:id="298">
    <w:p w14:paraId="6BE54FFB" w14:textId="316C5809" w:rsidR="00336EDF" w:rsidRDefault="00336EDF">
      <w:pPr>
        <w:pStyle w:val="FootnoteText"/>
      </w:pPr>
      <w:r w:rsidRPr="00B600D7">
        <w:rPr>
          <w:rStyle w:val="FootnoteReference"/>
          <w:rFonts w:ascii="Times New Roman" w:hAnsi="Times New Roman" w:cs="Times New Roman"/>
        </w:rPr>
        <w:footnoteRef/>
      </w:r>
      <w:r>
        <w:t xml:space="preserve"> </w:t>
      </w:r>
      <w:bookmarkStart w:id="411" w:name="f276"/>
      <w:bookmarkEnd w:id="411"/>
      <w:r w:rsidRPr="00072428">
        <w:rPr>
          <w:rFonts w:ascii="Times New Roman" w:hAnsi="Times New Roman" w:cs="Times New Roman"/>
          <w:i/>
        </w:rPr>
        <w:t>Id.</w:t>
      </w:r>
    </w:p>
  </w:footnote>
  <w:footnote w:id="299">
    <w:p w14:paraId="1BB06B26" w14:textId="3EBACD85" w:rsidR="00336EDF" w:rsidRDefault="00336EDF">
      <w:pPr>
        <w:pStyle w:val="FootnoteText"/>
      </w:pPr>
      <w:r w:rsidRPr="00B600D7">
        <w:rPr>
          <w:rStyle w:val="FootnoteReference"/>
          <w:rFonts w:ascii="Times New Roman" w:hAnsi="Times New Roman" w:cs="Times New Roman"/>
        </w:rPr>
        <w:footnoteRef/>
      </w:r>
      <w:bookmarkStart w:id="412" w:name="f277"/>
      <w:bookmarkEnd w:id="412"/>
      <w:r w:rsidRPr="00B600D7">
        <w:rPr>
          <w:rStyle w:val="FootnoteReference"/>
          <w:rFonts w:ascii="Times New Roman" w:hAnsi="Times New Roman" w:cs="Times New Roman"/>
        </w:rPr>
        <w:t xml:space="preserve"> </w:t>
      </w:r>
      <w:r w:rsidRPr="00072428">
        <w:rPr>
          <w:rFonts w:ascii="Times New Roman" w:hAnsi="Times New Roman" w:cs="Times New Roman"/>
          <w:i/>
        </w:rPr>
        <w:t>Id.</w:t>
      </w:r>
    </w:p>
  </w:footnote>
  <w:footnote w:id="300">
    <w:p w14:paraId="2919858D" w14:textId="14E76992" w:rsidR="00336EDF" w:rsidRDefault="00336EDF">
      <w:pPr>
        <w:pStyle w:val="FootnoteText"/>
      </w:pPr>
      <w:r w:rsidRPr="00B600D7">
        <w:rPr>
          <w:rStyle w:val="FootnoteReference"/>
          <w:rFonts w:ascii="Times New Roman" w:hAnsi="Times New Roman" w:cs="Times New Roman"/>
        </w:rPr>
        <w:footnoteRef/>
      </w:r>
      <w:bookmarkStart w:id="413" w:name="f278"/>
      <w:bookmarkEnd w:id="413"/>
      <w:r w:rsidRPr="00B600D7">
        <w:rPr>
          <w:rStyle w:val="FootnoteReference"/>
          <w:rFonts w:ascii="Times New Roman" w:hAnsi="Times New Roman" w:cs="Times New Roman"/>
        </w:rPr>
        <w:t xml:space="preserve"> </w:t>
      </w:r>
      <w:hyperlink r:id="rId141" w:history="1">
        <w:r w:rsidRPr="00224411">
          <w:rPr>
            <w:rStyle w:val="Hyperlink"/>
            <w:rFonts w:ascii="Times New Roman" w:hAnsi="Times New Roman" w:cs="Times New Roman"/>
          </w:rPr>
          <w:t>796 P.2d 893</w:t>
        </w:r>
      </w:hyperlink>
      <w:r w:rsidRPr="00B600D7">
        <w:rPr>
          <w:rFonts w:ascii="Times New Roman" w:hAnsi="Times New Roman" w:cs="Times New Roman"/>
        </w:rPr>
        <w:t xml:space="preserve"> (Az. 1990)</w:t>
      </w:r>
    </w:p>
  </w:footnote>
  <w:footnote w:id="301">
    <w:p w14:paraId="6FA0FA41" w14:textId="4D72AA33" w:rsidR="00336EDF" w:rsidRDefault="00336EDF">
      <w:pPr>
        <w:pStyle w:val="FootnoteText"/>
      </w:pPr>
      <w:r w:rsidRPr="00072428">
        <w:rPr>
          <w:rStyle w:val="FootnoteReference"/>
          <w:rFonts w:ascii="Times New Roman" w:hAnsi="Times New Roman" w:cs="Times New Roman"/>
        </w:rPr>
        <w:footnoteRef/>
      </w:r>
      <w:r w:rsidRPr="00072428">
        <w:rPr>
          <w:i/>
        </w:rPr>
        <w:t xml:space="preserve"> </w:t>
      </w:r>
      <w:bookmarkStart w:id="414" w:name="f279"/>
      <w:bookmarkEnd w:id="414"/>
      <w:r w:rsidRPr="00072428">
        <w:rPr>
          <w:rFonts w:ascii="Times New Roman" w:hAnsi="Times New Roman" w:cs="Times New Roman"/>
          <w:i/>
        </w:rPr>
        <w:t>Id</w:t>
      </w:r>
      <w:r w:rsidRPr="00072428">
        <w:rPr>
          <w:rFonts w:ascii="Times New Roman" w:hAnsi="Times New Roman" w:cs="Times New Roman"/>
        </w:rPr>
        <w:t>. at 894-895</w:t>
      </w:r>
    </w:p>
  </w:footnote>
  <w:footnote w:id="302">
    <w:p w14:paraId="4E6E1FF1" w14:textId="4C1E4F02" w:rsidR="00336EDF" w:rsidRDefault="00336EDF">
      <w:pPr>
        <w:pStyle w:val="FootnoteText"/>
      </w:pPr>
      <w:r w:rsidRPr="00072428">
        <w:rPr>
          <w:rStyle w:val="FootnoteReference"/>
          <w:rFonts w:ascii="Times New Roman" w:hAnsi="Times New Roman" w:cs="Times New Roman"/>
        </w:rPr>
        <w:footnoteRef/>
      </w:r>
      <w:r w:rsidRPr="00072428">
        <w:rPr>
          <w:rStyle w:val="FootnoteReference"/>
          <w:rFonts w:ascii="Times New Roman" w:hAnsi="Times New Roman" w:cs="Times New Roman"/>
        </w:rPr>
        <w:t xml:space="preserve"> </w:t>
      </w:r>
      <w:bookmarkStart w:id="415" w:name="f280"/>
      <w:bookmarkEnd w:id="415"/>
      <w:r w:rsidRPr="00072428">
        <w:rPr>
          <w:rFonts w:ascii="Times New Roman" w:hAnsi="Times New Roman" w:cs="Times New Roman"/>
          <w:i/>
        </w:rPr>
        <w:t>Id</w:t>
      </w:r>
      <w:r w:rsidRPr="00072428">
        <w:rPr>
          <w:rFonts w:ascii="Times New Roman" w:hAnsi="Times New Roman" w:cs="Times New Roman"/>
        </w:rPr>
        <w:t>. at 895</w:t>
      </w:r>
    </w:p>
  </w:footnote>
  <w:footnote w:id="303">
    <w:p w14:paraId="2A451BE7" w14:textId="44CA24B9" w:rsidR="00336EDF" w:rsidRDefault="00336EDF">
      <w:pPr>
        <w:pStyle w:val="FootnoteText"/>
      </w:pPr>
      <w:r w:rsidRPr="00482F78">
        <w:rPr>
          <w:rStyle w:val="FootnoteReference"/>
          <w:rFonts w:ascii="Times New Roman" w:hAnsi="Times New Roman" w:cs="Times New Roman"/>
        </w:rPr>
        <w:footnoteRef/>
      </w:r>
      <w:r>
        <w:t xml:space="preserve"> </w:t>
      </w:r>
      <w:bookmarkStart w:id="417" w:name="f281"/>
      <w:bookmarkEnd w:id="417"/>
      <w:r w:rsidRPr="00482F78">
        <w:rPr>
          <w:rFonts w:ascii="Times New Roman" w:hAnsi="Times New Roman" w:cs="Times New Roman"/>
          <w:i/>
        </w:rPr>
        <w:t>Id.</w:t>
      </w:r>
      <w:r>
        <w:t xml:space="preserve"> </w:t>
      </w:r>
      <w:r w:rsidRPr="00482F78">
        <w:rPr>
          <w:rFonts w:ascii="Times New Roman" w:hAnsi="Times New Roman" w:cs="Times New Roman"/>
        </w:rPr>
        <w:t>at 898</w:t>
      </w:r>
    </w:p>
  </w:footnote>
  <w:footnote w:id="304">
    <w:p w14:paraId="7F6A70FE" w14:textId="7B68561D" w:rsidR="00336EDF" w:rsidRDefault="00336EDF" w:rsidP="00502BA0">
      <w:pPr>
        <w:pStyle w:val="FootnoteText"/>
        <w:jc w:val="both"/>
      </w:pPr>
      <w:r w:rsidRPr="00502BA0">
        <w:rPr>
          <w:rStyle w:val="FootnoteReference"/>
          <w:rFonts w:ascii="Times New Roman" w:hAnsi="Times New Roman" w:cs="Times New Roman"/>
        </w:rPr>
        <w:footnoteRef/>
      </w:r>
      <w:r w:rsidRPr="00502BA0">
        <w:rPr>
          <w:rStyle w:val="FootnoteReference"/>
          <w:rFonts w:ascii="Times New Roman" w:hAnsi="Times New Roman" w:cs="Times New Roman"/>
        </w:rPr>
        <w:t xml:space="preserve"> </w:t>
      </w:r>
      <w:bookmarkStart w:id="418" w:name="f282"/>
      <w:bookmarkStart w:id="419" w:name="_Hlk518678028"/>
      <w:bookmarkEnd w:id="418"/>
      <w:r w:rsidRPr="00502BA0">
        <w:rPr>
          <w:rFonts w:ascii="Times New Roman" w:hAnsi="Times New Roman" w:cs="Times New Roman"/>
        </w:rPr>
        <w:t>Archuleta v. Carbon County School Dist. No. 1</w:t>
      </w:r>
      <w:bookmarkEnd w:id="419"/>
      <w:r>
        <w:rPr>
          <w:rFonts w:ascii="Times New Roman" w:hAnsi="Times New Roman" w:cs="Times New Roman"/>
        </w:rPr>
        <w:t xml:space="preserve">, </w:t>
      </w:r>
      <w:hyperlink r:id="rId142" w:history="1">
        <w:r w:rsidRPr="00224411">
          <w:rPr>
            <w:rStyle w:val="Hyperlink"/>
            <w:rFonts w:ascii="Times New Roman" w:hAnsi="Times New Roman" w:cs="Times New Roman"/>
          </w:rPr>
          <w:t>787 P.2d 91</w:t>
        </w:r>
      </w:hyperlink>
      <w:r>
        <w:rPr>
          <w:rFonts w:ascii="Times New Roman" w:hAnsi="Times New Roman" w:cs="Times New Roman"/>
        </w:rPr>
        <w:t xml:space="preserve"> (Wyo. 1990) (“[W]</w:t>
      </w:r>
      <w:r w:rsidRPr="00502BA0">
        <w:rPr>
          <w:rFonts w:ascii="Times New Roman" w:hAnsi="Times New Roman" w:cs="Times New Roman"/>
        </w:rPr>
        <w:t>e hold that where the elements of the premises rule, as set forth above, have been established, a rebuttable presumption arises that the employee's injury is causally connected to his employment.</w:t>
      </w:r>
      <w:r>
        <w:rPr>
          <w:rFonts w:ascii="Times New Roman" w:hAnsi="Times New Roman" w:cs="Times New Roman"/>
        </w:rPr>
        <w:t>”)</w:t>
      </w:r>
    </w:p>
  </w:footnote>
  <w:footnote w:id="305">
    <w:p w14:paraId="1F597F3C" w14:textId="2C42A323" w:rsidR="00336EDF" w:rsidRDefault="00336EDF">
      <w:pPr>
        <w:pStyle w:val="FootnoteText"/>
      </w:pPr>
      <w:r w:rsidRPr="00502BA0">
        <w:rPr>
          <w:rStyle w:val="FootnoteReference"/>
          <w:rFonts w:ascii="Times New Roman" w:hAnsi="Times New Roman" w:cs="Times New Roman"/>
        </w:rPr>
        <w:footnoteRef/>
      </w:r>
      <w:r w:rsidRPr="00502BA0">
        <w:rPr>
          <w:rStyle w:val="FootnoteReference"/>
          <w:rFonts w:ascii="Times New Roman" w:hAnsi="Times New Roman" w:cs="Times New Roman"/>
        </w:rPr>
        <w:t xml:space="preserve"> </w:t>
      </w:r>
      <w:bookmarkStart w:id="420" w:name="f283"/>
      <w:bookmarkEnd w:id="420"/>
      <w:r>
        <w:fldChar w:fldCharType="begin"/>
      </w:r>
      <w:r>
        <w:instrText xml:space="preserve"> HYPERLINK "https://www.leagle.com/decision/inwyco20180205g77" </w:instrText>
      </w:r>
      <w:r>
        <w:fldChar w:fldCharType="separate"/>
      </w:r>
      <w:r w:rsidRPr="00224411">
        <w:rPr>
          <w:rStyle w:val="Hyperlink"/>
          <w:rFonts w:ascii="Times New Roman" w:hAnsi="Times New Roman" w:cs="Times New Roman"/>
        </w:rPr>
        <w:t>409 P.3d 1219</w:t>
      </w:r>
      <w:r>
        <w:rPr>
          <w:rStyle w:val="Hyperlink"/>
          <w:rFonts w:ascii="Times New Roman" w:hAnsi="Times New Roman" w:cs="Times New Roman"/>
        </w:rPr>
        <w:fldChar w:fldCharType="end"/>
      </w:r>
      <w:r w:rsidRPr="00502BA0">
        <w:rPr>
          <w:rFonts w:ascii="Times New Roman" w:hAnsi="Times New Roman" w:cs="Times New Roman"/>
        </w:rPr>
        <w:t xml:space="preserve"> (Wyo. 201</w:t>
      </w:r>
      <w:r>
        <w:rPr>
          <w:rFonts w:ascii="Times New Roman" w:hAnsi="Times New Roman" w:cs="Times New Roman"/>
        </w:rPr>
        <w:t>8</w:t>
      </w:r>
      <w:r w:rsidRPr="00502BA0">
        <w:rPr>
          <w:rFonts w:ascii="Times New Roman" w:hAnsi="Times New Roman" w:cs="Times New Roman"/>
        </w:rPr>
        <w:t>)</w:t>
      </w:r>
    </w:p>
  </w:footnote>
  <w:footnote w:id="306">
    <w:p w14:paraId="40F6A9DB" w14:textId="0D93160B" w:rsidR="00336EDF" w:rsidRDefault="00336EDF">
      <w:pPr>
        <w:pStyle w:val="FootnoteText"/>
      </w:pPr>
      <w:r w:rsidRPr="00206D05">
        <w:rPr>
          <w:rStyle w:val="FootnoteReference"/>
          <w:rFonts w:ascii="Times New Roman" w:hAnsi="Times New Roman" w:cs="Times New Roman"/>
        </w:rPr>
        <w:footnoteRef/>
      </w:r>
      <w:r>
        <w:t xml:space="preserve"> </w:t>
      </w:r>
      <w:bookmarkStart w:id="421" w:name="f284"/>
      <w:bookmarkEnd w:id="421"/>
      <w:r w:rsidRPr="00206D05">
        <w:rPr>
          <w:rFonts w:ascii="Times New Roman" w:hAnsi="Times New Roman" w:cs="Times New Roman"/>
          <w:i/>
        </w:rPr>
        <w:t>Id.</w:t>
      </w:r>
      <w:r w:rsidRPr="00206D05">
        <w:rPr>
          <w:rFonts w:ascii="Times New Roman" w:hAnsi="Times New Roman" w:cs="Times New Roman"/>
        </w:rPr>
        <w:t xml:space="preserve"> at 1228</w:t>
      </w:r>
    </w:p>
  </w:footnote>
  <w:footnote w:id="307">
    <w:p w14:paraId="196B71EC" w14:textId="5AC88B9C" w:rsidR="00336EDF" w:rsidRDefault="00336EDF">
      <w:pPr>
        <w:pStyle w:val="FootnoteText"/>
      </w:pPr>
      <w:r w:rsidRPr="00922BFD">
        <w:rPr>
          <w:rStyle w:val="FootnoteReference"/>
          <w:rFonts w:ascii="Times New Roman" w:hAnsi="Times New Roman" w:cs="Times New Roman"/>
        </w:rPr>
        <w:footnoteRef/>
      </w:r>
      <w:r w:rsidRPr="00922BFD">
        <w:rPr>
          <w:rStyle w:val="FootnoteReference"/>
          <w:rFonts w:ascii="Times New Roman" w:hAnsi="Times New Roman" w:cs="Times New Roman"/>
        </w:rPr>
        <w:t xml:space="preserve"> </w:t>
      </w:r>
      <w:bookmarkStart w:id="422" w:name="f285"/>
      <w:bookmarkEnd w:id="422"/>
      <w:r w:rsidRPr="00922BFD">
        <w:rPr>
          <w:rFonts w:ascii="Times New Roman" w:hAnsi="Times New Roman" w:cs="Times New Roman"/>
          <w:i/>
        </w:rPr>
        <w:t>Id</w:t>
      </w:r>
      <w:r>
        <w:t xml:space="preserve">. </w:t>
      </w:r>
      <w:r w:rsidRPr="00922BFD">
        <w:rPr>
          <w:rFonts w:ascii="Times New Roman" w:hAnsi="Times New Roman" w:cs="Times New Roman"/>
        </w:rPr>
        <w:t>at 1229</w:t>
      </w:r>
    </w:p>
  </w:footnote>
  <w:footnote w:id="308">
    <w:p w14:paraId="0AC13F62" w14:textId="28F791C5" w:rsidR="00336EDF" w:rsidRDefault="00336EDF">
      <w:pPr>
        <w:pStyle w:val="FootnoteText"/>
      </w:pPr>
      <w:r w:rsidRPr="00922BFD">
        <w:rPr>
          <w:rStyle w:val="FootnoteReference"/>
          <w:rFonts w:ascii="Times New Roman" w:hAnsi="Times New Roman" w:cs="Times New Roman"/>
        </w:rPr>
        <w:footnoteRef/>
      </w:r>
      <w:bookmarkStart w:id="423" w:name="f286"/>
      <w:bookmarkEnd w:id="423"/>
      <w:r w:rsidRPr="00922BFD">
        <w:rPr>
          <w:rStyle w:val="FootnoteReference"/>
          <w:rFonts w:ascii="Times New Roman" w:hAnsi="Times New Roman" w:cs="Times New Roman"/>
        </w:rPr>
        <w:t xml:space="preserve"> </w:t>
      </w:r>
      <w:r w:rsidRPr="00922BFD">
        <w:rPr>
          <w:rFonts w:ascii="Times New Roman" w:hAnsi="Times New Roman" w:cs="Times New Roman"/>
          <w:i/>
        </w:rPr>
        <w:t>Id.</w:t>
      </w:r>
    </w:p>
  </w:footnote>
  <w:footnote w:id="309">
    <w:p w14:paraId="23660866" w14:textId="39BF75E2" w:rsidR="00336EDF" w:rsidRDefault="00336EDF">
      <w:pPr>
        <w:pStyle w:val="FootnoteText"/>
      </w:pPr>
      <w:r w:rsidRPr="00922BFD">
        <w:rPr>
          <w:rStyle w:val="FootnoteReference"/>
          <w:rFonts w:ascii="Times New Roman" w:hAnsi="Times New Roman" w:cs="Times New Roman"/>
        </w:rPr>
        <w:footnoteRef/>
      </w:r>
      <w:r w:rsidRPr="00922BFD">
        <w:rPr>
          <w:rFonts w:ascii="Times New Roman" w:hAnsi="Times New Roman" w:cs="Times New Roman"/>
          <w:i/>
        </w:rPr>
        <w:t xml:space="preserve"> </w:t>
      </w:r>
      <w:bookmarkStart w:id="424" w:name="f287"/>
      <w:bookmarkEnd w:id="424"/>
      <w:r w:rsidRPr="00922BFD">
        <w:rPr>
          <w:rFonts w:ascii="Times New Roman" w:hAnsi="Times New Roman" w:cs="Times New Roman"/>
          <w:i/>
        </w:rPr>
        <w:t>Id</w:t>
      </w:r>
      <w:r>
        <w:t xml:space="preserve">. </w:t>
      </w:r>
      <w:r w:rsidRPr="00922BFD">
        <w:rPr>
          <w:rFonts w:ascii="Times New Roman" w:hAnsi="Times New Roman" w:cs="Times New Roman"/>
        </w:rPr>
        <w:t>at 1223</w:t>
      </w:r>
    </w:p>
  </w:footnote>
  <w:footnote w:id="310">
    <w:p w14:paraId="2CA09DC1" w14:textId="3B8A155B" w:rsidR="00336EDF" w:rsidRDefault="00336EDF">
      <w:pPr>
        <w:pStyle w:val="FootnoteText"/>
      </w:pPr>
      <w:r w:rsidRPr="00922BFD">
        <w:rPr>
          <w:rStyle w:val="FootnoteReference"/>
          <w:rFonts w:ascii="Times New Roman" w:hAnsi="Times New Roman" w:cs="Times New Roman"/>
        </w:rPr>
        <w:footnoteRef/>
      </w:r>
      <w:r w:rsidRPr="00922BFD">
        <w:rPr>
          <w:rStyle w:val="FootnoteReference"/>
          <w:rFonts w:ascii="Times New Roman" w:hAnsi="Times New Roman" w:cs="Times New Roman"/>
        </w:rPr>
        <w:t xml:space="preserve"> </w:t>
      </w:r>
      <w:bookmarkStart w:id="425" w:name="f288"/>
      <w:bookmarkEnd w:id="425"/>
      <w:r w:rsidRPr="00922BFD">
        <w:rPr>
          <w:rFonts w:ascii="Times New Roman" w:hAnsi="Times New Roman" w:cs="Times New Roman"/>
          <w:i/>
        </w:rPr>
        <w:t>Id.</w:t>
      </w:r>
      <w:r>
        <w:t xml:space="preserve"> </w:t>
      </w:r>
      <w:r w:rsidRPr="00922BFD">
        <w:rPr>
          <w:rFonts w:ascii="Times New Roman" w:hAnsi="Times New Roman" w:cs="Times New Roman"/>
        </w:rPr>
        <w:t>at 1228</w:t>
      </w:r>
    </w:p>
  </w:footnote>
  <w:footnote w:id="311">
    <w:p w14:paraId="3FB206DE" w14:textId="449CBDD3" w:rsidR="00336EDF" w:rsidRDefault="00336EDF">
      <w:pPr>
        <w:pStyle w:val="FootnoteText"/>
      </w:pPr>
      <w:r w:rsidRPr="001D72A6">
        <w:rPr>
          <w:rStyle w:val="FootnoteReference"/>
          <w:rFonts w:ascii="Times New Roman" w:hAnsi="Times New Roman" w:cs="Times New Roman"/>
        </w:rPr>
        <w:footnoteRef/>
      </w:r>
      <w:r>
        <w:t xml:space="preserve"> </w:t>
      </w:r>
      <w:bookmarkStart w:id="427" w:name="f289"/>
      <w:bookmarkEnd w:id="427"/>
      <w:r w:rsidRPr="001D72A6">
        <w:rPr>
          <w:rFonts w:ascii="Times New Roman" w:hAnsi="Times New Roman" w:cs="Times New Roman"/>
          <w:i/>
        </w:rPr>
        <w:t>Id.</w:t>
      </w:r>
      <w:r>
        <w:t xml:space="preserve"> </w:t>
      </w:r>
      <w:r w:rsidRPr="001D72A6">
        <w:rPr>
          <w:rFonts w:ascii="Times New Roman" w:hAnsi="Times New Roman" w:cs="Times New Roman"/>
        </w:rPr>
        <w:t>at 1227-1228</w:t>
      </w:r>
      <w:r>
        <w:rPr>
          <w:rFonts w:ascii="Times New Roman" w:hAnsi="Times New Roman" w:cs="Times New Roman"/>
        </w:rPr>
        <w:t xml:space="preserve"> (Emphasis supplied)</w:t>
      </w:r>
    </w:p>
  </w:footnote>
  <w:footnote w:id="312">
    <w:p w14:paraId="4BEE1481" w14:textId="3B32CAAC" w:rsidR="00336EDF" w:rsidRDefault="00336EDF">
      <w:pPr>
        <w:pStyle w:val="FootnoteText"/>
      </w:pPr>
      <w:r w:rsidRPr="00AE6B1E">
        <w:rPr>
          <w:rStyle w:val="FootnoteReference"/>
          <w:rFonts w:ascii="Times New Roman" w:hAnsi="Times New Roman" w:cs="Times New Roman"/>
        </w:rPr>
        <w:footnoteRef/>
      </w:r>
      <w:bookmarkStart w:id="429" w:name="f290"/>
      <w:bookmarkEnd w:id="429"/>
      <w:r>
        <w:t xml:space="preserve"> </w:t>
      </w:r>
      <w:r w:rsidRPr="00AE6B1E">
        <w:rPr>
          <w:rFonts w:ascii="Times New Roman" w:hAnsi="Times New Roman" w:cs="Times New Roman"/>
        </w:rPr>
        <w:t xml:space="preserve">Archuleta, </w:t>
      </w:r>
      <w:r w:rsidRPr="00AE6B1E">
        <w:rPr>
          <w:rFonts w:ascii="Times New Roman" w:hAnsi="Times New Roman" w:cs="Times New Roman"/>
          <w:i/>
        </w:rPr>
        <w:t>supra</w:t>
      </w:r>
      <w:r w:rsidRPr="00AE6B1E">
        <w:rPr>
          <w:rFonts w:ascii="Times New Roman" w:hAnsi="Times New Roman" w:cs="Times New Roman"/>
        </w:rPr>
        <w:t>., 787 P.2d at 91</w:t>
      </w:r>
    </w:p>
  </w:footnote>
  <w:footnote w:id="313">
    <w:p w14:paraId="31C6E0C5" w14:textId="27DCC38A" w:rsidR="00336EDF" w:rsidRDefault="00336EDF">
      <w:pPr>
        <w:pStyle w:val="FootnoteText"/>
      </w:pPr>
      <w:r w:rsidRPr="00AE6B1E">
        <w:rPr>
          <w:rStyle w:val="FootnoteReference"/>
          <w:rFonts w:ascii="Times New Roman" w:hAnsi="Times New Roman" w:cs="Times New Roman"/>
        </w:rPr>
        <w:footnoteRef/>
      </w:r>
      <w:r>
        <w:t xml:space="preserve"> </w:t>
      </w:r>
      <w:bookmarkStart w:id="430" w:name="f291"/>
      <w:bookmarkEnd w:id="430"/>
      <w:r w:rsidRPr="00AE6B1E">
        <w:rPr>
          <w:rFonts w:ascii="Times New Roman" w:hAnsi="Times New Roman" w:cs="Times New Roman"/>
          <w:i/>
        </w:rPr>
        <w:t>Id.</w:t>
      </w:r>
      <w:r>
        <w:t xml:space="preserve"> </w:t>
      </w:r>
    </w:p>
  </w:footnote>
  <w:footnote w:id="314">
    <w:p w14:paraId="5D61CA30" w14:textId="7E08C54B" w:rsidR="00336EDF" w:rsidRDefault="00336EDF">
      <w:pPr>
        <w:pStyle w:val="FootnoteText"/>
      </w:pPr>
      <w:r w:rsidRPr="009D4D25">
        <w:rPr>
          <w:rStyle w:val="FootnoteReference"/>
          <w:rFonts w:ascii="Times New Roman" w:hAnsi="Times New Roman" w:cs="Times New Roman"/>
        </w:rPr>
        <w:footnoteRef/>
      </w:r>
      <w:r>
        <w:t xml:space="preserve"> </w:t>
      </w:r>
      <w:bookmarkStart w:id="432" w:name="f292"/>
      <w:bookmarkEnd w:id="432"/>
      <w:r w:rsidRPr="009D4D25">
        <w:rPr>
          <w:rFonts w:ascii="Times New Roman" w:hAnsi="Times New Roman" w:cs="Times New Roman"/>
        </w:rPr>
        <w:t>723 P.2d at 60-61</w:t>
      </w:r>
    </w:p>
  </w:footnote>
  <w:footnote w:id="315">
    <w:p w14:paraId="5816337A" w14:textId="63E3662F" w:rsidR="00336EDF" w:rsidRDefault="00336EDF">
      <w:pPr>
        <w:pStyle w:val="FootnoteText"/>
      </w:pPr>
      <w:r w:rsidRPr="009D4D25">
        <w:rPr>
          <w:rStyle w:val="FootnoteReference"/>
          <w:rFonts w:ascii="Times New Roman" w:hAnsi="Times New Roman" w:cs="Times New Roman"/>
        </w:rPr>
        <w:footnoteRef/>
      </w:r>
      <w:r w:rsidRPr="00BF53A3">
        <w:rPr>
          <w:rStyle w:val="FootnoteReference"/>
          <w:rFonts w:ascii="Times New Roman" w:hAnsi="Times New Roman" w:cs="Times New Roman"/>
        </w:rPr>
        <w:t xml:space="preserve"> </w:t>
      </w:r>
      <w:bookmarkStart w:id="433" w:name="f293"/>
      <w:bookmarkStart w:id="434" w:name="_Hlk518470456"/>
      <w:bookmarkEnd w:id="433"/>
      <w:r>
        <w:rPr>
          <w:rFonts w:ascii="Times New Roman" w:hAnsi="Times New Roman" w:cs="Times New Roman"/>
        </w:rPr>
        <w:t xml:space="preserve">2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13</w:t>
      </w:r>
      <w:r w:rsidRPr="00B93977">
        <w:rPr>
          <w:rFonts w:ascii="Times New Roman" w:hAnsi="Times New Roman" w:cs="Times New Roman"/>
        </w:rPr>
        <w:t>.0</w:t>
      </w:r>
      <w:r>
        <w:rPr>
          <w:rFonts w:ascii="Times New Roman" w:hAnsi="Times New Roman" w:cs="Times New Roman"/>
        </w:rPr>
        <w:t>4</w:t>
      </w:r>
    </w:p>
    <w:bookmarkEnd w:id="434"/>
  </w:footnote>
  <w:footnote w:id="316">
    <w:p w14:paraId="4674D962" w14:textId="2AC63E50" w:rsidR="00336EDF" w:rsidRPr="002B243D" w:rsidRDefault="00336EDF" w:rsidP="002B243D">
      <w:pPr>
        <w:pStyle w:val="FootnoteText"/>
        <w:jc w:val="both"/>
        <w:rPr>
          <w:rFonts w:ascii="Times New Roman" w:hAnsi="Times New Roman" w:cs="Times New Roman"/>
        </w:rPr>
      </w:pPr>
      <w:r w:rsidRPr="002B243D">
        <w:rPr>
          <w:rStyle w:val="FootnoteReference"/>
          <w:rFonts w:ascii="Times New Roman" w:hAnsi="Times New Roman" w:cs="Times New Roman"/>
        </w:rPr>
        <w:footnoteRef/>
      </w:r>
      <w:r>
        <w:t xml:space="preserve"> </w:t>
      </w:r>
      <w:bookmarkStart w:id="435" w:name="f294"/>
      <w:bookmarkEnd w:id="435"/>
      <w:r w:rsidRPr="002B243D">
        <w:rPr>
          <w:rFonts w:ascii="Times New Roman" w:hAnsi="Times New Roman" w:cs="Times New Roman"/>
        </w:rPr>
        <w:t>Though Murray v.</w:t>
      </w:r>
      <w:r>
        <w:rPr>
          <w:rFonts w:ascii="Times New Roman" w:hAnsi="Times New Roman" w:cs="Times New Roman"/>
        </w:rPr>
        <w:t xml:space="preserve"> </w:t>
      </w:r>
      <w:r w:rsidRPr="002B243D">
        <w:rPr>
          <w:rFonts w:ascii="Times New Roman" w:hAnsi="Times New Roman" w:cs="Times New Roman"/>
        </w:rPr>
        <w:t xml:space="preserve">Workers’ Safety </w:t>
      </w:r>
      <w:r>
        <w:rPr>
          <w:rFonts w:ascii="Times New Roman" w:hAnsi="Times New Roman" w:cs="Times New Roman"/>
        </w:rPr>
        <w:t>&amp;</w:t>
      </w:r>
      <w:r w:rsidRPr="002B243D">
        <w:rPr>
          <w:rFonts w:ascii="Times New Roman" w:hAnsi="Times New Roman" w:cs="Times New Roman"/>
        </w:rPr>
        <w:t xml:space="preserve"> Compensation Div</w:t>
      </w:r>
      <w:r>
        <w:rPr>
          <w:rFonts w:ascii="Times New Roman" w:hAnsi="Times New Roman" w:cs="Times New Roman"/>
        </w:rPr>
        <w:t>.</w:t>
      </w:r>
      <w:r w:rsidRPr="002B243D">
        <w:rPr>
          <w:rFonts w:ascii="Times New Roman" w:hAnsi="Times New Roman" w:cs="Times New Roman"/>
        </w:rPr>
        <w:t xml:space="preserve">, </w:t>
      </w:r>
      <w:hyperlink r:id="rId143" w:history="1">
        <w:r w:rsidRPr="007816F6">
          <w:rPr>
            <w:rStyle w:val="Hyperlink"/>
            <w:rFonts w:ascii="Times New Roman" w:hAnsi="Times New Roman" w:cs="Times New Roman"/>
          </w:rPr>
          <w:t>993 P.2d 327</w:t>
        </w:r>
      </w:hyperlink>
      <w:r w:rsidRPr="002B243D">
        <w:rPr>
          <w:rFonts w:ascii="Times New Roman" w:hAnsi="Times New Roman" w:cs="Times New Roman"/>
        </w:rPr>
        <w:t xml:space="preserve"> (Wyo. 1999) may have foreshadowed the development. In that case the premises rule was applied to create a presumption that a skin condition had developed at work. </w:t>
      </w:r>
      <w:r w:rsidRPr="002B243D">
        <w:rPr>
          <w:rFonts w:ascii="Times New Roman" w:hAnsi="Times New Roman" w:cs="Times New Roman"/>
          <w:i/>
        </w:rPr>
        <w:t>Id</w:t>
      </w:r>
      <w:r w:rsidRPr="002B243D">
        <w:rPr>
          <w:rFonts w:ascii="Times New Roman" w:hAnsi="Times New Roman" w:cs="Times New Roman"/>
        </w:rPr>
        <w:t xml:space="preserve">. at 333 </w:t>
      </w:r>
    </w:p>
  </w:footnote>
  <w:footnote w:id="317">
    <w:p w14:paraId="14C86E57" w14:textId="41347543" w:rsidR="00336EDF" w:rsidRPr="001D72A6" w:rsidRDefault="00336EDF" w:rsidP="001D72A6">
      <w:pPr>
        <w:pStyle w:val="FootnoteText"/>
        <w:jc w:val="both"/>
        <w:rPr>
          <w:rFonts w:ascii="Times New Roman" w:hAnsi="Times New Roman" w:cs="Times New Roman"/>
        </w:rPr>
      </w:pPr>
      <w:r w:rsidRPr="007934D0">
        <w:rPr>
          <w:rStyle w:val="FootnoteReference"/>
          <w:rFonts w:ascii="Times New Roman" w:hAnsi="Times New Roman" w:cs="Times New Roman"/>
        </w:rPr>
        <w:footnoteRef/>
      </w:r>
      <w:r>
        <w:t xml:space="preserve"> </w:t>
      </w:r>
      <w:bookmarkStart w:id="436" w:name="f295"/>
      <w:bookmarkStart w:id="437" w:name="_Hlk518681155"/>
      <w:bookmarkEnd w:id="436"/>
      <w:r w:rsidRPr="001D72A6">
        <w:rPr>
          <w:rFonts w:ascii="Times New Roman" w:hAnsi="Times New Roman" w:cs="Times New Roman"/>
        </w:rPr>
        <w:t xml:space="preserve">Matter of Williams, </w:t>
      </w:r>
      <w:r w:rsidRPr="00A81CA5">
        <w:rPr>
          <w:rFonts w:ascii="Times New Roman" w:hAnsi="Times New Roman" w:cs="Times New Roman"/>
          <w:i/>
        </w:rPr>
        <w:t>supra</w:t>
      </w:r>
      <w:r w:rsidRPr="001D72A6">
        <w:rPr>
          <w:rFonts w:ascii="Times New Roman" w:hAnsi="Times New Roman" w:cs="Times New Roman"/>
        </w:rPr>
        <w:t xml:space="preserve">., </w:t>
      </w:r>
      <w:r>
        <w:rPr>
          <w:rFonts w:ascii="Times New Roman" w:hAnsi="Times New Roman" w:cs="Times New Roman"/>
        </w:rPr>
        <w:t xml:space="preserve">409 P.3d </w:t>
      </w:r>
      <w:r w:rsidRPr="001D72A6">
        <w:rPr>
          <w:rFonts w:ascii="Times New Roman" w:hAnsi="Times New Roman" w:cs="Times New Roman"/>
        </w:rPr>
        <w:t>at 1231</w:t>
      </w:r>
      <w:bookmarkEnd w:id="437"/>
      <w:r w:rsidRPr="001D72A6">
        <w:rPr>
          <w:rFonts w:ascii="Times New Roman" w:hAnsi="Times New Roman" w:cs="Times New Roman"/>
        </w:rPr>
        <w:t xml:space="preserve">: </w:t>
      </w:r>
      <w:r>
        <w:rPr>
          <w:rFonts w:ascii="Times New Roman" w:hAnsi="Times New Roman" w:cs="Times New Roman"/>
        </w:rPr>
        <w:t>“</w:t>
      </w:r>
      <w:r w:rsidRPr="001D72A6">
        <w:rPr>
          <w:rFonts w:ascii="Times New Roman" w:hAnsi="Times New Roman" w:cs="Times New Roman"/>
        </w:rPr>
        <w:t xml:space="preserve">In short, the Division's evidence rebutted Mr. Williams' claim that a fire occurred, but it did not rebut the presumption that Mr. Williams suffered a head injury that </w:t>
      </w:r>
      <w:r w:rsidRPr="00A81CA5">
        <w:rPr>
          <w:rFonts w:ascii="Times New Roman" w:hAnsi="Times New Roman" w:cs="Times New Roman"/>
          <w:b/>
        </w:rPr>
        <w:t>arose out of</w:t>
      </w:r>
      <w:r w:rsidRPr="001D72A6">
        <w:rPr>
          <w:rFonts w:ascii="Times New Roman" w:hAnsi="Times New Roman" w:cs="Times New Roman"/>
        </w:rPr>
        <w:t xml:space="preserve"> his work.</w:t>
      </w:r>
      <w:r>
        <w:rPr>
          <w:rFonts w:ascii="Times New Roman" w:hAnsi="Times New Roman" w:cs="Times New Roman"/>
        </w:rPr>
        <w:t>” (emphasis supplied)</w:t>
      </w:r>
    </w:p>
  </w:footnote>
  <w:footnote w:id="318">
    <w:p w14:paraId="289360DA" w14:textId="5F3EE390" w:rsidR="00336EDF" w:rsidRDefault="00336EDF">
      <w:pPr>
        <w:pStyle w:val="FootnoteText"/>
      </w:pPr>
      <w:r w:rsidRPr="00D95901">
        <w:rPr>
          <w:rStyle w:val="FootnoteReference"/>
          <w:rFonts w:ascii="Times New Roman" w:hAnsi="Times New Roman" w:cs="Times New Roman"/>
        </w:rPr>
        <w:footnoteRef/>
      </w:r>
      <w:r w:rsidRPr="00D95901">
        <w:rPr>
          <w:rStyle w:val="FootnoteReference"/>
          <w:rFonts w:ascii="Times New Roman" w:hAnsi="Times New Roman" w:cs="Times New Roman"/>
        </w:rPr>
        <w:t xml:space="preserve"> </w:t>
      </w:r>
      <w:bookmarkStart w:id="439" w:name="f296"/>
      <w:bookmarkStart w:id="440" w:name="_Hlk518722220"/>
      <w:bookmarkEnd w:id="439"/>
      <w:r w:rsidRPr="00D95901">
        <w:rPr>
          <w:rFonts w:ascii="Times New Roman" w:hAnsi="Times New Roman" w:cs="Times New Roman"/>
        </w:rPr>
        <w:t xml:space="preserve">1 </w:t>
      </w:r>
      <w:r w:rsidRPr="00D95901">
        <w:rPr>
          <w:rFonts w:ascii="Times New Roman" w:hAnsi="Times New Roman" w:cs="Times New Roman"/>
          <w:smallCaps/>
        </w:rPr>
        <w:t>Larson's Workers</w:t>
      </w:r>
      <w:r>
        <w:rPr>
          <w:rFonts w:ascii="Times New Roman" w:hAnsi="Times New Roman" w:cs="Times New Roman"/>
          <w:smallCaps/>
        </w:rPr>
        <w:t>’</w:t>
      </w:r>
      <w:r w:rsidRPr="00D95901">
        <w:rPr>
          <w:rFonts w:ascii="Times New Roman" w:hAnsi="Times New Roman" w:cs="Times New Roman"/>
          <w:smallCaps/>
        </w:rPr>
        <w:t xml:space="preserve"> Compensation Law</w:t>
      </w:r>
      <w:r w:rsidRPr="00D95901">
        <w:rPr>
          <w:rFonts w:ascii="Times New Roman" w:hAnsi="Times New Roman" w:cs="Times New Roman"/>
        </w:rPr>
        <w:t xml:space="preserve"> § 7.04</w:t>
      </w:r>
      <w:r>
        <w:rPr>
          <w:rFonts w:ascii="Times New Roman" w:hAnsi="Times New Roman" w:cs="Times New Roman"/>
        </w:rPr>
        <w:t xml:space="preserve"> [2]</w:t>
      </w:r>
      <w:bookmarkEnd w:id="440"/>
    </w:p>
  </w:footnote>
  <w:footnote w:id="319">
    <w:p w14:paraId="51D1AAF3" w14:textId="4904612D" w:rsidR="00336EDF" w:rsidRDefault="00336EDF">
      <w:pPr>
        <w:pStyle w:val="FootnoteText"/>
      </w:pPr>
      <w:r w:rsidRPr="00803C57">
        <w:rPr>
          <w:rStyle w:val="FootnoteReference"/>
          <w:rFonts w:ascii="Times New Roman" w:hAnsi="Times New Roman" w:cs="Times New Roman"/>
        </w:rPr>
        <w:footnoteRef/>
      </w:r>
      <w:bookmarkStart w:id="441" w:name="f297"/>
      <w:bookmarkEnd w:id="441"/>
      <w:r w:rsidRPr="00803C57">
        <w:rPr>
          <w:rStyle w:val="FootnoteReference"/>
          <w:rFonts w:ascii="Times New Roman" w:hAnsi="Times New Roman" w:cs="Times New Roman"/>
        </w:rPr>
        <w:t xml:space="preserve"> </w:t>
      </w:r>
      <w:r w:rsidRPr="00803C57">
        <w:rPr>
          <w:rFonts w:ascii="Times New Roman" w:hAnsi="Times New Roman" w:cs="Times New Roman"/>
        </w:rPr>
        <w:t>Richard v.</w:t>
      </w:r>
      <w:r>
        <w:rPr>
          <w:rFonts w:ascii="Times New Roman" w:hAnsi="Times New Roman" w:cs="Times New Roman"/>
        </w:rPr>
        <w:t xml:space="preserve"> </w:t>
      </w:r>
      <w:r w:rsidRPr="00803C57">
        <w:rPr>
          <w:rFonts w:ascii="Times New Roman" w:hAnsi="Times New Roman" w:cs="Times New Roman"/>
        </w:rPr>
        <w:t>Workers</w:t>
      </w:r>
      <w:r>
        <w:rPr>
          <w:rFonts w:ascii="Times New Roman" w:hAnsi="Times New Roman" w:cs="Times New Roman"/>
        </w:rPr>
        <w:t>’</w:t>
      </w:r>
      <w:r w:rsidRPr="00803C57">
        <w:rPr>
          <w:rFonts w:ascii="Times New Roman" w:hAnsi="Times New Roman" w:cs="Times New Roman"/>
        </w:rPr>
        <w:t xml:space="preserve"> Compensation Div.</w:t>
      </w:r>
      <w:r>
        <w:rPr>
          <w:rFonts w:ascii="Times New Roman" w:hAnsi="Times New Roman" w:cs="Times New Roman"/>
        </w:rPr>
        <w:t xml:space="preserve">, </w:t>
      </w:r>
      <w:hyperlink r:id="rId144" w:history="1">
        <w:r w:rsidRPr="007816F6">
          <w:rPr>
            <w:rStyle w:val="Hyperlink"/>
            <w:rFonts w:ascii="Times New Roman" w:hAnsi="Times New Roman" w:cs="Times New Roman"/>
          </w:rPr>
          <w:t>831 P.2d 244</w:t>
        </w:r>
      </w:hyperlink>
      <w:r>
        <w:rPr>
          <w:rFonts w:ascii="Times New Roman" w:hAnsi="Times New Roman" w:cs="Times New Roman"/>
        </w:rPr>
        <w:t>, 246-247 (Wyo. 1992)</w:t>
      </w:r>
    </w:p>
  </w:footnote>
  <w:footnote w:id="320">
    <w:p w14:paraId="07BA774F" w14:textId="29910588" w:rsidR="00336EDF" w:rsidRDefault="00336EDF">
      <w:pPr>
        <w:pStyle w:val="FootnoteText"/>
      </w:pPr>
      <w:r w:rsidRPr="00803C57">
        <w:rPr>
          <w:rStyle w:val="FootnoteReference"/>
          <w:rFonts w:ascii="Times New Roman" w:hAnsi="Times New Roman" w:cs="Times New Roman"/>
        </w:rPr>
        <w:footnoteRef/>
      </w:r>
      <w:r>
        <w:t xml:space="preserve"> </w:t>
      </w:r>
      <w:bookmarkStart w:id="442" w:name="f298"/>
      <w:bookmarkEnd w:id="442"/>
      <w:r w:rsidRPr="00803C57">
        <w:rPr>
          <w:rFonts w:ascii="Times New Roman" w:hAnsi="Times New Roman" w:cs="Times New Roman"/>
          <w:i/>
        </w:rPr>
        <w:t>Id</w:t>
      </w:r>
      <w:r w:rsidRPr="00803C57">
        <w:rPr>
          <w:rFonts w:ascii="Times New Roman" w:hAnsi="Times New Roman" w:cs="Times New Roman"/>
        </w:rPr>
        <w:t>. at 247</w:t>
      </w:r>
    </w:p>
  </w:footnote>
  <w:footnote w:id="321">
    <w:p w14:paraId="6858CEED" w14:textId="27E9C847" w:rsidR="00336EDF" w:rsidRDefault="00336EDF">
      <w:pPr>
        <w:pStyle w:val="FootnoteText"/>
      </w:pPr>
      <w:r w:rsidRPr="00FD55F8">
        <w:rPr>
          <w:rStyle w:val="FootnoteReference"/>
          <w:rFonts w:ascii="Times New Roman" w:hAnsi="Times New Roman" w:cs="Times New Roman"/>
        </w:rPr>
        <w:footnoteRef/>
      </w:r>
      <w:r>
        <w:t xml:space="preserve"> </w:t>
      </w:r>
      <w:bookmarkStart w:id="443" w:name="f299"/>
      <w:bookmarkStart w:id="444" w:name="_Hlk518818639"/>
      <w:bookmarkEnd w:id="443"/>
      <w:r w:rsidRPr="00D95901">
        <w:rPr>
          <w:rFonts w:ascii="Times New Roman" w:hAnsi="Times New Roman" w:cs="Times New Roman"/>
        </w:rPr>
        <w:t xml:space="preserve">1 </w:t>
      </w:r>
      <w:r w:rsidRPr="00D95901">
        <w:rPr>
          <w:rFonts w:ascii="Times New Roman" w:hAnsi="Times New Roman" w:cs="Times New Roman"/>
          <w:smallCaps/>
        </w:rPr>
        <w:t>Larson's Workers</w:t>
      </w:r>
      <w:r>
        <w:rPr>
          <w:rFonts w:ascii="Times New Roman" w:hAnsi="Times New Roman" w:cs="Times New Roman"/>
          <w:smallCaps/>
        </w:rPr>
        <w:t>’</w:t>
      </w:r>
      <w:r w:rsidRPr="00D95901">
        <w:rPr>
          <w:rFonts w:ascii="Times New Roman" w:hAnsi="Times New Roman" w:cs="Times New Roman"/>
          <w:smallCaps/>
        </w:rPr>
        <w:t xml:space="preserve"> Compensation Law</w:t>
      </w:r>
      <w:r w:rsidRPr="00D95901">
        <w:rPr>
          <w:rFonts w:ascii="Times New Roman" w:hAnsi="Times New Roman" w:cs="Times New Roman"/>
        </w:rPr>
        <w:t xml:space="preserve"> § 7.04</w:t>
      </w:r>
      <w:r>
        <w:rPr>
          <w:rFonts w:ascii="Times New Roman" w:hAnsi="Times New Roman" w:cs="Times New Roman"/>
        </w:rPr>
        <w:t xml:space="preserve"> [2]</w:t>
      </w:r>
      <w:bookmarkEnd w:id="444"/>
    </w:p>
  </w:footnote>
  <w:footnote w:id="322">
    <w:p w14:paraId="4F31A795" w14:textId="23E8CB29" w:rsidR="00336EDF" w:rsidRDefault="00336EDF">
      <w:pPr>
        <w:pStyle w:val="FootnoteText"/>
      </w:pPr>
      <w:r w:rsidRPr="003F1FA0">
        <w:rPr>
          <w:rStyle w:val="FootnoteReference"/>
          <w:rFonts w:ascii="Times New Roman" w:hAnsi="Times New Roman" w:cs="Times New Roman"/>
        </w:rPr>
        <w:footnoteRef/>
      </w:r>
      <w:r w:rsidRPr="003F1FA0">
        <w:rPr>
          <w:rStyle w:val="FootnoteReference"/>
          <w:rFonts w:ascii="Times New Roman" w:hAnsi="Times New Roman" w:cs="Times New Roman"/>
        </w:rPr>
        <w:t xml:space="preserve"> </w:t>
      </w:r>
      <w:bookmarkStart w:id="445" w:name="f300"/>
      <w:bookmarkEnd w:id="445"/>
      <w:r>
        <w:rPr>
          <w:rFonts w:ascii="Times New Roman" w:hAnsi="Times New Roman" w:cs="Times New Roman"/>
        </w:rPr>
        <w:t>3</w:t>
      </w:r>
      <w:r w:rsidRPr="00D95901">
        <w:rPr>
          <w:rFonts w:ascii="Times New Roman" w:hAnsi="Times New Roman" w:cs="Times New Roman"/>
        </w:rPr>
        <w:t xml:space="preserve"> </w:t>
      </w:r>
      <w:r w:rsidRPr="00D95901">
        <w:rPr>
          <w:rFonts w:ascii="Times New Roman" w:hAnsi="Times New Roman" w:cs="Times New Roman"/>
          <w:smallCaps/>
        </w:rPr>
        <w:t>Larson's Workers</w:t>
      </w:r>
      <w:r>
        <w:rPr>
          <w:rFonts w:ascii="Times New Roman" w:hAnsi="Times New Roman" w:cs="Times New Roman"/>
          <w:smallCaps/>
        </w:rPr>
        <w:t>’</w:t>
      </w:r>
      <w:r w:rsidRPr="00D95901">
        <w:rPr>
          <w:rFonts w:ascii="Times New Roman" w:hAnsi="Times New Roman" w:cs="Times New Roman"/>
          <w:smallCaps/>
        </w:rPr>
        <w:t xml:space="preserve"> Compensation Law</w:t>
      </w:r>
      <w:r w:rsidRPr="00D95901">
        <w:rPr>
          <w:rFonts w:ascii="Times New Roman" w:hAnsi="Times New Roman" w:cs="Times New Roman"/>
        </w:rPr>
        <w:t xml:space="preserve"> § </w:t>
      </w:r>
      <w:r>
        <w:rPr>
          <w:rFonts w:ascii="Times New Roman" w:hAnsi="Times New Roman" w:cs="Times New Roman"/>
        </w:rPr>
        <w:t>29.01. (emphasis supplied)</w:t>
      </w:r>
    </w:p>
  </w:footnote>
  <w:footnote w:id="323">
    <w:p w14:paraId="2EDE304C" w14:textId="57EEE445" w:rsidR="00336EDF" w:rsidRDefault="00336EDF">
      <w:pPr>
        <w:pStyle w:val="FootnoteText"/>
      </w:pPr>
      <w:r w:rsidRPr="007934D0">
        <w:rPr>
          <w:rStyle w:val="FootnoteReference"/>
          <w:rFonts w:ascii="Times New Roman" w:hAnsi="Times New Roman" w:cs="Times New Roman"/>
        </w:rPr>
        <w:footnoteRef/>
      </w:r>
      <w:r w:rsidRPr="007934D0">
        <w:rPr>
          <w:rStyle w:val="FootnoteReference"/>
          <w:rFonts w:ascii="Times New Roman" w:hAnsi="Times New Roman" w:cs="Times New Roman"/>
        </w:rPr>
        <w:t xml:space="preserve"> </w:t>
      </w:r>
      <w:bookmarkStart w:id="446" w:name="f301"/>
      <w:bookmarkEnd w:id="446"/>
      <w:r>
        <w:fldChar w:fldCharType="begin"/>
      </w:r>
      <w:r>
        <w:instrText xml:space="preserve"> HYPERLINK "https://www.leagle.com/decision/inwyco20160520f70" </w:instrText>
      </w:r>
      <w:r>
        <w:fldChar w:fldCharType="separate"/>
      </w:r>
      <w:r w:rsidRPr="007816F6">
        <w:rPr>
          <w:rStyle w:val="Hyperlink"/>
          <w:rFonts w:ascii="Times New Roman" w:hAnsi="Times New Roman" w:cs="Times New Roman"/>
        </w:rPr>
        <w:t>373 P.3d 420</w:t>
      </w:r>
      <w:r>
        <w:rPr>
          <w:rStyle w:val="Hyperlink"/>
          <w:rFonts w:ascii="Times New Roman" w:hAnsi="Times New Roman" w:cs="Times New Roman"/>
        </w:rPr>
        <w:fldChar w:fldCharType="end"/>
      </w:r>
      <w:r w:rsidRPr="007934D0">
        <w:rPr>
          <w:rFonts w:ascii="Times New Roman" w:hAnsi="Times New Roman" w:cs="Times New Roman"/>
        </w:rPr>
        <w:t xml:space="preserve"> (Wyo. 2016)</w:t>
      </w:r>
    </w:p>
  </w:footnote>
  <w:footnote w:id="324">
    <w:p w14:paraId="4F70F629" w14:textId="3E0C197B" w:rsidR="00336EDF" w:rsidRDefault="00336EDF">
      <w:pPr>
        <w:pStyle w:val="FootnoteText"/>
      </w:pPr>
      <w:r w:rsidRPr="007934D0">
        <w:rPr>
          <w:rStyle w:val="FootnoteReference"/>
          <w:rFonts w:ascii="Times New Roman" w:hAnsi="Times New Roman" w:cs="Times New Roman"/>
        </w:rPr>
        <w:footnoteRef/>
      </w:r>
      <w:r w:rsidRPr="007934D0">
        <w:rPr>
          <w:rStyle w:val="FootnoteReference"/>
          <w:rFonts w:ascii="Times New Roman" w:hAnsi="Times New Roman" w:cs="Times New Roman"/>
        </w:rPr>
        <w:t xml:space="preserve"> </w:t>
      </w:r>
      <w:bookmarkStart w:id="447" w:name="f302"/>
      <w:bookmarkEnd w:id="447"/>
      <w:r w:rsidRPr="007934D0">
        <w:rPr>
          <w:rFonts w:ascii="Times New Roman" w:hAnsi="Times New Roman" w:cs="Times New Roman"/>
          <w:i/>
        </w:rPr>
        <w:t>Id</w:t>
      </w:r>
      <w:r w:rsidRPr="007934D0">
        <w:rPr>
          <w:rFonts w:ascii="Times New Roman" w:hAnsi="Times New Roman" w:cs="Times New Roman"/>
        </w:rPr>
        <w:t>. at 425</w:t>
      </w:r>
    </w:p>
  </w:footnote>
  <w:footnote w:id="325">
    <w:p w14:paraId="39B13E05" w14:textId="5BDA1AD2" w:rsidR="00336EDF" w:rsidRDefault="00336EDF">
      <w:pPr>
        <w:pStyle w:val="FootnoteText"/>
      </w:pPr>
      <w:r w:rsidRPr="007934D0">
        <w:rPr>
          <w:rStyle w:val="FootnoteReference"/>
          <w:rFonts w:ascii="Times New Roman" w:hAnsi="Times New Roman" w:cs="Times New Roman"/>
        </w:rPr>
        <w:footnoteRef/>
      </w:r>
      <w:r>
        <w:t xml:space="preserve"> </w:t>
      </w:r>
      <w:bookmarkStart w:id="448" w:name="f303"/>
      <w:bookmarkEnd w:id="448"/>
      <w:r w:rsidRPr="007934D0">
        <w:rPr>
          <w:rFonts w:ascii="Times New Roman" w:hAnsi="Times New Roman" w:cs="Times New Roman"/>
          <w:i/>
        </w:rPr>
        <w:t>Id</w:t>
      </w:r>
      <w:r w:rsidRPr="007934D0">
        <w:rPr>
          <w:rFonts w:ascii="Times New Roman" w:hAnsi="Times New Roman" w:cs="Times New Roman"/>
        </w:rPr>
        <w:t>. at 427</w:t>
      </w:r>
    </w:p>
  </w:footnote>
  <w:footnote w:id="326">
    <w:p w14:paraId="525775F3" w14:textId="331D1284" w:rsidR="00336EDF" w:rsidRDefault="00336EDF">
      <w:pPr>
        <w:pStyle w:val="FootnoteText"/>
      </w:pPr>
      <w:r w:rsidRPr="00792E39">
        <w:rPr>
          <w:rStyle w:val="FootnoteReference"/>
          <w:rFonts w:ascii="Times New Roman" w:hAnsi="Times New Roman" w:cs="Times New Roman"/>
        </w:rPr>
        <w:footnoteRef/>
      </w:r>
      <w:r w:rsidRPr="00792E39">
        <w:rPr>
          <w:rStyle w:val="FootnoteReference"/>
          <w:rFonts w:ascii="Times New Roman" w:hAnsi="Times New Roman" w:cs="Times New Roman"/>
        </w:rPr>
        <w:t xml:space="preserve"> </w:t>
      </w:r>
      <w:bookmarkStart w:id="451" w:name="f304"/>
      <w:bookmarkStart w:id="452" w:name="_Hlk517360257"/>
      <w:bookmarkEnd w:id="451"/>
      <w:r>
        <w:rPr>
          <w:rFonts w:ascii="Times New Roman" w:hAnsi="Times New Roman" w:cs="Times New Roman"/>
        </w:rPr>
        <w:t xml:space="preserve">2 </w:t>
      </w:r>
      <w:r w:rsidRPr="00B93977">
        <w:rPr>
          <w:rFonts w:ascii="Times New Roman" w:hAnsi="Times New Roman" w:cs="Times New Roman"/>
        </w:rPr>
        <w:t>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B93977">
        <w:rPr>
          <w:rFonts w:ascii="Times New Roman" w:hAnsi="Times New Roman" w:cs="Times New Roman"/>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B93977">
        <w:rPr>
          <w:rFonts w:ascii="Times New Roman" w:hAnsi="Times New Roman" w:cs="Times New Roman"/>
        </w:rPr>
        <w:t>C</w:t>
      </w:r>
      <w:r w:rsidRPr="00B93977">
        <w:rPr>
          <w:rFonts w:ascii="Times New Roman" w:hAnsi="Times New Roman" w:cs="Times New Roman"/>
          <w:smallCaps/>
        </w:rPr>
        <w:t>ompensation</w:t>
      </w:r>
      <w:r w:rsidRPr="00B93977">
        <w:rPr>
          <w:rFonts w:ascii="Times New Roman" w:hAnsi="Times New Roman" w:cs="Times New Roman"/>
        </w:rPr>
        <w:t xml:space="preserve"> L</w:t>
      </w:r>
      <w:r w:rsidRPr="00B93977">
        <w:rPr>
          <w:rFonts w:ascii="Times New Roman" w:hAnsi="Times New Roman" w:cs="Times New Roman"/>
          <w:smallCaps/>
        </w:rPr>
        <w:t>aw</w:t>
      </w:r>
      <w:r w:rsidRPr="00B93977">
        <w:rPr>
          <w:rFonts w:ascii="Times New Roman" w:hAnsi="Times New Roman" w:cs="Times New Roman"/>
        </w:rPr>
        <w:t xml:space="preserve"> § </w:t>
      </w:r>
      <w:r>
        <w:rPr>
          <w:rFonts w:ascii="Times New Roman" w:hAnsi="Times New Roman" w:cs="Times New Roman"/>
        </w:rPr>
        <w:t>12</w:t>
      </w:r>
      <w:r w:rsidRPr="00B93977">
        <w:rPr>
          <w:rFonts w:ascii="Times New Roman" w:hAnsi="Times New Roman" w:cs="Times New Roman"/>
        </w:rPr>
        <w:t>.01</w:t>
      </w:r>
      <w:bookmarkEnd w:id="452"/>
    </w:p>
  </w:footnote>
  <w:footnote w:id="327">
    <w:p w14:paraId="169A9519" w14:textId="31764E2C" w:rsidR="00336EDF" w:rsidRDefault="00336EDF">
      <w:pPr>
        <w:pStyle w:val="FootnoteText"/>
      </w:pPr>
      <w:r w:rsidRPr="00072428">
        <w:rPr>
          <w:rStyle w:val="FootnoteReference"/>
          <w:rFonts w:ascii="Times New Roman" w:hAnsi="Times New Roman" w:cs="Times New Roman"/>
        </w:rPr>
        <w:footnoteRef/>
      </w:r>
      <w:r w:rsidRPr="00072428">
        <w:rPr>
          <w:rStyle w:val="FootnoteReference"/>
          <w:rFonts w:ascii="Times New Roman" w:hAnsi="Times New Roman" w:cs="Times New Roman"/>
        </w:rPr>
        <w:t xml:space="preserve"> </w:t>
      </w:r>
      <w:bookmarkStart w:id="453" w:name="f305"/>
      <w:bookmarkEnd w:id="453"/>
      <w:r w:rsidRPr="009A586D">
        <w:rPr>
          <w:rFonts w:ascii="Times New Roman" w:hAnsi="Times New Roman" w:cs="Times New Roman"/>
          <w:i/>
        </w:rPr>
        <w:t>Id</w:t>
      </w:r>
      <w:r>
        <w:rPr>
          <w:rFonts w:ascii="Times New Roman" w:hAnsi="Times New Roman" w:cs="Times New Roman"/>
        </w:rPr>
        <w:t>.</w:t>
      </w:r>
    </w:p>
  </w:footnote>
  <w:footnote w:id="328">
    <w:p w14:paraId="09D00EDE" w14:textId="032C887E" w:rsidR="00336EDF" w:rsidRDefault="00336EDF">
      <w:pPr>
        <w:pStyle w:val="FootnoteText"/>
      </w:pPr>
      <w:r w:rsidRPr="00BF53A3">
        <w:rPr>
          <w:rStyle w:val="FootnoteReference"/>
          <w:rFonts w:ascii="Times New Roman" w:hAnsi="Times New Roman" w:cs="Times New Roman"/>
        </w:rPr>
        <w:footnoteRef/>
      </w:r>
      <w:r>
        <w:t xml:space="preserve"> </w:t>
      </w:r>
      <w:bookmarkStart w:id="454" w:name="f306"/>
      <w:bookmarkStart w:id="455" w:name="_Hlk518457453"/>
      <w:bookmarkEnd w:id="454"/>
      <w:r w:rsidRPr="009A586D">
        <w:t xml:space="preserve">2 </w:t>
      </w:r>
      <w:r w:rsidRPr="009A586D">
        <w:rPr>
          <w:rFonts w:ascii="Times New Roman" w:hAnsi="Times New Roman" w:cs="Times New Roman"/>
        </w:rPr>
        <w:t>L</w:t>
      </w:r>
      <w:r w:rsidRPr="009A586D">
        <w:rPr>
          <w:rFonts w:ascii="Times New Roman" w:hAnsi="Times New Roman" w:cs="Times New Roman"/>
          <w:smallCaps/>
        </w:rPr>
        <w:t xml:space="preserve">arson’s </w:t>
      </w:r>
      <w:r w:rsidRPr="009A586D">
        <w:rPr>
          <w:rFonts w:ascii="Times New Roman" w:hAnsi="Times New Roman" w:cs="Times New Roman"/>
        </w:rPr>
        <w:t>W</w:t>
      </w:r>
      <w:r w:rsidRPr="009A586D">
        <w:rPr>
          <w:rFonts w:ascii="Times New Roman" w:hAnsi="Times New Roman" w:cs="Times New Roman"/>
          <w:smallCaps/>
        </w:rPr>
        <w:t>orkers’</w:t>
      </w:r>
      <w:r w:rsidRPr="009A586D">
        <w:rPr>
          <w:rFonts w:ascii="Times New Roman" w:hAnsi="Times New Roman" w:cs="Times New Roman"/>
        </w:rPr>
        <w:t xml:space="preserve"> C</w:t>
      </w:r>
      <w:r w:rsidRPr="009A586D">
        <w:rPr>
          <w:rFonts w:ascii="Times New Roman" w:hAnsi="Times New Roman" w:cs="Times New Roman"/>
          <w:smallCaps/>
        </w:rPr>
        <w:t>ompensation</w:t>
      </w:r>
      <w:r w:rsidRPr="009A586D">
        <w:rPr>
          <w:rFonts w:ascii="Times New Roman" w:hAnsi="Times New Roman" w:cs="Times New Roman"/>
        </w:rPr>
        <w:t xml:space="preserve"> L</w:t>
      </w:r>
      <w:r w:rsidRPr="009A586D">
        <w:rPr>
          <w:rFonts w:ascii="Times New Roman" w:hAnsi="Times New Roman" w:cs="Times New Roman"/>
          <w:smallCaps/>
        </w:rPr>
        <w:t>aw</w:t>
      </w:r>
      <w:r w:rsidRPr="009A586D">
        <w:rPr>
          <w:smallCaps/>
        </w:rPr>
        <w:t xml:space="preserve"> </w:t>
      </w:r>
      <w:r w:rsidRPr="009A586D">
        <w:rPr>
          <w:rFonts w:ascii="Times New Roman" w:hAnsi="Times New Roman" w:cs="Times New Roman"/>
        </w:rPr>
        <w:t>§ 12.01</w:t>
      </w:r>
      <w:bookmarkEnd w:id="455"/>
    </w:p>
  </w:footnote>
  <w:footnote w:id="329">
    <w:p w14:paraId="43140A41" w14:textId="1354675E" w:rsidR="00336EDF" w:rsidRDefault="00336EDF">
      <w:pPr>
        <w:pStyle w:val="FootnoteText"/>
      </w:pPr>
      <w:r w:rsidRPr="00BF53A3">
        <w:rPr>
          <w:rStyle w:val="FootnoteReference"/>
          <w:rFonts w:ascii="Times New Roman" w:hAnsi="Times New Roman" w:cs="Times New Roman"/>
        </w:rPr>
        <w:footnoteRef/>
      </w:r>
      <w:r>
        <w:t xml:space="preserve"> </w:t>
      </w:r>
      <w:bookmarkStart w:id="456" w:name="f307"/>
      <w:bookmarkEnd w:id="456"/>
      <w:r w:rsidRPr="009A586D">
        <w:t xml:space="preserve">2 </w:t>
      </w:r>
      <w:r w:rsidRPr="009A586D">
        <w:rPr>
          <w:rFonts w:ascii="Times New Roman" w:hAnsi="Times New Roman" w:cs="Times New Roman"/>
        </w:rPr>
        <w:t>L</w:t>
      </w:r>
      <w:r w:rsidRPr="009A586D">
        <w:rPr>
          <w:rFonts w:ascii="Times New Roman" w:hAnsi="Times New Roman" w:cs="Times New Roman"/>
          <w:smallCaps/>
        </w:rPr>
        <w:t xml:space="preserve">arson’s </w:t>
      </w:r>
      <w:r w:rsidRPr="009A586D">
        <w:rPr>
          <w:rFonts w:ascii="Times New Roman" w:hAnsi="Times New Roman" w:cs="Times New Roman"/>
        </w:rPr>
        <w:t>W</w:t>
      </w:r>
      <w:r w:rsidRPr="009A586D">
        <w:rPr>
          <w:rFonts w:ascii="Times New Roman" w:hAnsi="Times New Roman" w:cs="Times New Roman"/>
          <w:smallCaps/>
        </w:rPr>
        <w:t>orkers’</w:t>
      </w:r>
      <w:r w:rsidRPr="009A586D">
        <w:rPr>
          <w:rFonts w:ascii="Times New Roman" w:hAnsi="Times New Roman" w:cs="Times New Roman"/>
        </w:rPr>
        <w:t xml:space="preserve"> C</w:t>
      </w:r>
      <w:r w:rsidRPr="009A586D">
        <w:rPr>
          <w:rFonts w:ascii="Times New Roman" w:hAnsi="Times New Roman" w:cs="Times New Roman"/>
          <w:smallCaps/>
        </w:rPr>
        <w:t>ompensation</w:t>
      </w:r>
      <w:r w:rsidRPr="009A586D">
        <w:rPr>
          <w:rFonts w:ascii="Times New Roman" w:hAnsi="Times New Roman" w:cs="Times New Roman"/>
        </w:rPr>
        <w:t xml:space="preserve"> L</w:t>
      </w:r>
      <w:r w:rsidRPr="009A586D">
        <w:rPr>
          <w:rFonts w:ascii="Times New Roman" w:hAnsi="Times New Roman" w:cs="Times New Roman"/>
          <w:smallCaps/>
        </w:rPr>
        <w:t>aw</w:t>
      </w:r>
      <w:r w:rsidRPr="009A586D">
        <w:rPr>
          <w:smallCaps/>
        </w:rPr>
        <w:t xml:space="preserve"> </w:t>
      </w:r>
      <w:r w:rsidRPr="009A586D">
        <w:rPr>
          <w:rFonts w:ascii="Times New Roman" w:hAnsi="Times New Roman" w:cs="Times New Roman"/>
        </w:rPr>
        <w:t xml:space="preserve">§ </w:t>
      </w:r>
      <w:r>
        <w:rPr>
          <w:rFonts w:ascii="Times New Roman" w:hAnsi="Times New Roman" w:cs="Times New Roman"/>
        </w:rPr>
        <w:t>20</w:t>
      </w:r>
      <w:r w:rsidRPr="009A586D">
        <w:rPr>
          <w:rFonts w:ascii="Times New Roman" w:hAnsi="Times New Roman" w:cs="Times New Roman"/>
        </w:rPr>
        <w:t>.01</w:t>
      </w:r>
      <w:r>
        <w:rPr>
          <w:rFonts w:ascii="Times New Roman" w:hAnsi="Times New Roman" w:cs="Times New Roman"/>
        </w:rPr>
        <w:t xml:space="preserve"> et seq.; </w:t>
      </w:r>
      <w:r w:rsidRPr="00BF53A3">
        <w:rPr>
          <w:rFonts w:ascii="Times New Roman" w:hAnsi="Times New Roman" w:cs="Times New Roman"/>
          <w:i/>
        </w:rPr>
        <w:t>see also</w:t>
      </w:r>
      <w:r>
        <w:rPr>
          <w:rFonts w:ascii="Times New Roman" w:hAnsi="Times New Roman" w:cs="Times New Roman"/>
        </w:rPr>
        <w:t xml:space="preserve"> D</w:t>
      </w:r>
      <w:r w:rsidRPr="00BF53A3">
        <w:rPr>
          <w:rFonts w:ascii="Times New Roman" w:hAnsi="Times New Roman" w:cs="Times New Roman"/>
          <w:smallCaps/>
        </w:rPr>
        <w:t>uff</w:t>
      </w:r>
      <w:r>
        <w:rPr>
          <w:rFonts w:ascii="Times New Roman" w:hAnsi="Times New Roman" w:cs="Times New Roman"/>
        </w:rPr>
        <w:t>, W</w:t>
      </w:r>
      <w:r w:rsidRPr="00BF53A3">
        <w:rPr>
          <w:rFonts w:ascii="Times New Roman" w:hAnsi="Times New Roman" w:cs="Times New Roman"/>
          <w:smallCaps/>
        </w:rPr>
        <w:t>orkers</w:t>
      </w:r>
      <w:r>
        <w:rPr>
          <w:rFonts w:ascii="Times New Roman" w:hAnsi="Times New Roman" w:cs="Times New Roman"/>
        </w:rPr>
        <w:t>’ C</w:t>
      </w:r>
      <w:r w:rsidRPr="00BF53A3">
        <w:rPr>
          <w:rFonts w:ascii="Times New Roman" w:hAnsi="Times New Roman" w:cs="Times New Roman"/>
          <w:smallCaps/>
        </w:rPr>
        <w:t>ompensation</w:t>
      </w:r>
      <w:r>
        <w:rPr>
          <w:rFonts w:ascii="Times New Roman" w:hAnsi="Times New Roman" w:cs="Times New Roman"/>
        </w:rPr>
        <w:t xml:space="preserve"> L</w:t>
      </w:r>
      <w:r w:rsidRPr="00BF53A3">
        <w:rPr>
          <w:rFonts w:ascii="Times New Roman" w:hAnsi="Times New Roman" w:cs="Times New Roman"/>
          <w:smallCaps/>
        </w:rPr>
        <w:t>aw</w:t>
      </w:r>
      <w:r>
        <w:rPr>
          <w:rFonts w:ascii="Times New Roman" w:hAnsi="Times New Roman" w:cs="Times New Roman"/>
        </w:rPr>
        <w:t xml:space="preserve"> at 91-92</w:t>
      </w:r>
    </w:p>
  </w:footnote>
  <w:footnote w:id="330">
    <w:p w14:paraId="5B1915E4" w14:textId="334B00D6" w:rsidR="00336EDF" w:rsidRDefault="00336EDF">
      <w:pPr>
        <w:pStyle w:val="FootnoteText"/>
      </w:pPr>
      <w:r w:rsidRPr="00BF53A3">
        <w:rPr>
          <w:rStyle w:val="FootnoteReference"/>
          <w:rFonts w:ascii="Times New Roman" w:hAnsi="Times New Roman" w:cs="Times New Roman"/>
        </w:rPr>
        <w:footnoteRef/>
      </w:r>
      <w:r>
        <w:t xml:space="preserve"> </w:t>
      </w:r>
      <w:bookmarkStart w:id="457" w:name="f308"/>
      <w:bookmarkEnd w:id="457"/>
      <w:r w:rsidRPr="00BF53A3">
        <w:rPr>
          <w:rFonts w:ascii="Times New Roman" w:hAnsi="Times New Roman" w:cs="Times New Roman"/>
        </w:rPr>
        <w:t>99 C.J.S. W</w:t>
      </w:r>
      <w:r w:rsidRPr="00BF53A3">
        <w:rPr>
          <w:rFonts w:ascii="Times New Roman" w:hAnsi="Times New Roman" w:cs="Times New Roman"/>
          <w:smallCaps/>
        </w:rPr>
        <w:t>orkers</w:t>
      </w:r>
      <w:r>
        <w:rPr>
          <w:rFonts w:ascii="Times New Roman" w:hAnsi="Times New Roman" w:cs="Times New Roman"/>
        </w:rPr>
        <w:t>’</w:t>
      </w:r>
      <w:r w:rsidRPr="00BF53A3">
        <w:rPr>
          <w:rFonts w:ascii="Times New Roman" w:hAnsi="Times New Roman" w:cs="Times New Roman"/>
        </w:rPr>
        <w:t xml:space="preserve"> C</w:t>
      </w:r>
      <w:r w:rsidRPr="00BF53A3">
        <w:rPr>
          <w:rFonts w:ascii="Times New Roman" w:hAnsi="Times New Roman" w:cs="Times New Roman"/>
          <w:smallCaps/>
        </w:rPr>
        <w:t>ompensation</w:t>
      </w:r>
      <w:r w:rsidRPr="00BF53A3">
        <w:rPr>
          <w:rFonts w:ascii="Times New Roman" w:hAnsi="Times New Roman" w:cs="Times New Roman"/>
        </w:rPr>
        <w:t xml:space="preserve"> § 423</w:t>
      </w:r>
    </w:p>
  </w:footnote>
  <w:footnote w:id="331">
    <w:p w14:paraId="398A2A1C" w14:textId="3F2E23B0" w:rsidR="00336EDF" w:rsidRDefault="00336EDF">
      <w:pPr>
        <w:pStyle w:val="FootnoteText"/>
      </w:pPr>
      <w:r w:rsidRPr="0034757C">
        <w:rPr>
          <w:rStyle w:val="FootnoteReference"/>
          <w:rFonts w:ascii="Times New Roman" w:hAnsi="Times New Roman" w:cs="Times New Roman"/>
        </w:rPr>
        <w:footnoteRef/>
      </w:r>
      <w:r>
        <w:t xml:space="preserve"> </w:t>
      </w:r>
      <w:bookmarkStart w:id="458" w:name="f309"/>
      <w:bookmarkEnd w:id="458"/>
      <w:r w:rsidRPr="00915C4E">
        <w:rPr>
          <w:rFonts w:ascii="Times New Roman" w:hAnsi="Times New Roman" w:cs="Times New Roman"/>
          <w:smallCaps/>
        </w:rPr>
        <w:t>2 L</w:t>
      </w:r>
      <w:r w:rsidRPr="00B93977">
        <w:rPr>
          <w:rFonts w:ascii="Times New Roman" w:hAnsi="Times New Roman" w:cs="Times New Roman"/>
          <w:smallCaps/>
        </w:rPr>
        <w:t>arson</w:t>
      </w:r>
      <w:r>
        <w:rPr>
          <w:rFonts w:ascii="Times New Roman" w:hAnsi="Times New Roman" w:cs="Times New Roman"/>
          <w:smallCaps/>
        </w:rPr>
        <w:t>’</w:t>
      </w:r>
      <w:r w:rsidRPr="00B93977">
        <w:rPr>
          <w:rFonts w:ascii="Times New Roman" w:hAnsi="Times New Roman" w:cs="Times New Roman"/>
          <w:smallCaps/>
        </w:rPr>
        <w:t xml:space="preserve">s </w:t>
      </w:r>
      <w:r w:rsidRPr="00915C4E">
        <w:rPr>
          <w:rFonts w:ascii="Times New Roman" w:hAnsi="Times New Roman" w:cs="Times New Roman"/>
          <w:smallCaps/>
        </w:rPr>
        <w:t>W</w:t>
      </w:r>
      <w:r w:rsidRPr="00B93977">
        <w:rPr>
          <w:rFonts w:ascii="Times New Roman" w:hAnsi="Times New Roman" w:cs="Times New Roman"/>
          <w:smallCaps/>
        </w:rPr>
        <w:t>orkers</w:t>
      </w:r>
      <w:r>
        <w:rPr>
          <w:rFonts w:ascii="Times New Roman" w:hAnsi="Times New Roman" w:cs="Times New Roman"/>
          <w:smallCaps/>
        </w:rPr>
        <w:t>’</w:t>
      </w:r>
      <w:r w:rsidRPr="00B93977">
        <w:rPr>
          <w:rFonts w:ascii="Times New Roman" w:hAnsi="Times New Roman" w:cs="Times New Roman"/>
          <w:smallCaps/>
        </w:rPr>
        <w:t xml:space="preserve"> </w:t>
      </w:r>
      <w:r w:rsidRPr="00915C4E">
        <w:rPr>
          <w:rFonts w:ascii="Times New Roman" w:hAnsi="Times New Roman" w:cs="Times New Roman"/>
          <w:smallCaps/>
        </w:rPr>
        <w:t>C</w:t>
      </w:r>
      <w:r w:rsidRPr="00B93977">
        <w:rPr>
          <w:rFonts w:ascii="Times New Roman" w:hAnsi="Times New Roman" w:cs="Times New Roman"/>
          <w:smallCaps/>
        </w:rPr>
        <w:t>ompensation</w:t>
      </w:r>
      <w:r w:rsidRPr="00915C4E">
        <w:rPr>
          <w:rFonts w:ascii="Times New Roman" w:hAnsi="Times New Roman" w:cs="Times New Roman"/>
          <w:smallCaps/>
        </w:rPr>
        <w:t xml:space="preserve"> L</w:t>
      </w:r>
      <w:r w:rsidRPr="00B93977">
        <w:rPr>
          <w:rFonts w:ascii="Times New Roman" w:hAnsi="Times New Roman" w:cs="Times New Roman"/>
          <w:smallCaps/>
        </w:rPr>
        <w:t>aw</w:t>
      </w:r>
      <w:r w:rsidRPr="00915C4E">
        <w:rPr>
          <w:rFonts w:ascii="Times New Roman" w:hAnsi="Times New Roman" w:cs="Times New Roman"/>
          <w:smallCaps/>
        </w:rPr>
        <w:t xml:space="preserve"> § 13.04</w:t>
      </w:r>
    </w:p>
  </w:footnote>
  <w:footnote w:id="332">
    <w:p w14:paraId="7AC7660D" w14:textId="765AEBC8" w:rsidR="00336EDF" w:rsidRDefault="00336EDF">
      <w:pPr>
        <w:pStyle w:val="FootnoteText"/>
      </w:pPr>
      <w:r w:rsidRPr="0034757C">
        <w:rPr>
          <w:rStyle w:val="FootnoteReference"/>
          <w:rFonts w:ascii="Times New Roman" w:hAnsi="Times New Roman" w:cs="Times New Roman"/>
        </w:rPr>
        <w:footnoteRef/>
      </w:r>
      <w:r w:rsidRPr="0034757C">
        <w:rPr>
          <w:rStyle w:val="FootnoteReference"/>
          <w:rFonts w:ascii="Times New Roman" w:hAnsi="Times New Roman" w:cs="Times New Roman"/>
        </w:rPr>
        <w:t xml:space="preserve"> </w:t>
      </w:r>
      <w:bookmarkStart w:id="459" w:name="f310"/>
      <w:bookmarkStart w:id="460" w:name="_Hlk518575480"/>
      <w:bookmarkEnd w:id="459"/>
      <w:r w:rsidRPr="0034757C">
        <w:rPr>
          <w:rFonts w:ascii="Times New Roman" w:hAnsi="Times New Roman" w:cs="Times New Roman"/>
          <w:smallCaps/>
        </w:rPr>
        <w:t>2 Larson's Workers</w:t>
      </w:r>
      <w:r>
        <w:rPr>
          <w:rFonts w:ascii="Times New Roman" w:hAnsi="Times New Roman" w:cs="Times New Roman"/>
          <w:smallCaps/>
        </w:rPr>
        <w:t>’</w:t>
      </w:r>
      <w:r w:rsidRPr="0034757C">
        <w:rPr>
          <w:rFonts w:ascii="Times New Roman" w:hAnsi="Times New Roman" w:cs="Times New Roman"/>
          <w:smallCaps/>
        </w:rPr>
        <w:t xml:space="preserve"> Compensation Law § 13.01</w:t>
      </w:r>
      <w:r>
        <w:rPr>
          <w:rFonts w:ascii="Times New Roman" w:hAnsi="Times New Roman" w:cs="Times New Roman"/>
          <w:smallCaps/>
        </w:rPr>
        <w:t xml:space="preserve"> [1]</w:t>
      </w:r>
      <w:bookmarkEnd w:id="460"/>
    </w:p>
  </w:footnote>
  <w:footnote w:id="333">
    <w:p w14:paraId="7A01E7FA" w14:textId="0DC19A89" w:rsidR="00336EDF" w:rsidRDefault="00336EDF">
      <w:pPr>
        <w:pStyle w:val="FootnoteText"/>
      </w:pPr>
      <w:r w:rsidRPr="00A540A6">
        <w:rPr>
          <w:rStyle w:val="FootnoteReference"/>
          <w:rFonts w:ascii="Times New Roman" w:hAnsi="Times New Roman" w:cs="Times New Roman"/>
        </w:rPr>
        <w:footnoteRef/>
      </w:r>
      <w:r>
        <w:t xml:space="preserve"> </w:t>
      </w:r>
      <w:bookmarkStart w:id="461" w:name="f311"/>
      <w:bookmarkEnd w:id="461"/>
      <w:r w:rsidRPr="0034757C">
        <w:rPr>
          <w:rFonts w:ascii="Times New Roman" w:hAnsi="Times New Roman" w:cs="Times New Roman"/>
          <w:smallCaps/>
        </w:rPr>
        <w:t>2 Larson's Workers</w:t>
      </w:r>
      <w:r>
        <w:rPr>
          <w:rFonts w:ascii="Times New Roman" w:hAnsi="Times New Roman" w:cs="Times New Roman"/>
          <w:smallCaps/>
        </w:rPr>
        <w:t>’</w:t>
      </w:r>
      <w:r w:rsidRPr="0034757C">
        <w:rPr>
          <w:rFonts w:ascii="Times New Roman" w:hAnsi="Times New Roman" w:cs="Times New Roman"/>
          <w:smallCaps/>
        </w:rPr>
        <w:t xml:space="preserve"> Compensation Law § 13.01</w:t>
      </w:r>
      <w:r>
        <w:rPr>
          <w:rFonts w:ascii="Times New Roman" w:hAnsi="Times New Roman" w:cs="Times New Roman"/>
          <w:smallCaps/>
        </w:rPr>
        <w:t xml:space="preserve"> [1]</w:t>
      </w:r>
    </w:p>
  </w:footnote>
  <w:footnote w:id="334">
    <w:p w14:paraId="703F1F8B" w14:textId="620B9C4D" w:rsidR="00336EDF" w:rsidRDefault="00336EDF">
      <w:pPr>
        <w:pStyle w:val="FootnoteText"/>
      </w:pPr>
      <w:r w:rsidRPr="0034757C">
        <w:rPr>
          <w:rStyle w:val="FootnoteReference"/>
          <w:rFonts w:ascii="Times New Roman" w:hAnsi="Times New Roman" w:cs="Times New Roman"/>
        </w:rPr>
        <w:footnoteRef/>
      </w:r>
      <w:r>
        <w:t xml:space="preserve"> </w:t>
      </w:r>
      <w:bookmarkStart w:id="462" w:name="f312"/>
      <w:bookmarkStart w:id="463" w:name="_Hlk518575005"/>
      <w:bookmarkStart w:id="464" w:name="_Hlk518576728"/>
      <w:bookmarkEnd w:id="462"/>
      <w:r w:rsidRPr="0034757C">
        <w:rPr>
          <w:rFonts w:ascii="Times New Roman" w:hAnsi="Times New Roman" w:cs="Times New Roman"/>
          <w:smallCaps/>
        </w:rPr>
        <w:t>2 Larson's Workers</w:t>
      </w:r>
      <w:r>
        <w:rPr>
          <w:rFonts w:ascii="Times New Roman" w:hAnsi="Times New Roman" w:cs="Times New Roman"/>
          <w:smallCaps/>
        </w:rPr>
        <w:t>’</w:t>
      </w:r>
      <w:r w:rsidRPr="0034757C">
        <w:rPr>
          <w:rFonts w:ascii="Times New Roman" w:hAnsi="Times New Roman" w:cs="Times New Roman"/>
          <w:smallCaps/>
        </w:rPr>
        <w:t xml:space="preserve"> Compensation Law § 13.01</w:t>
      </w:r>
      <w:bookmarkEnd w:id="463"/>
      <w:r>
        <w:rPr>
          <w:rFonts w:ascii="Times New Roman" w:hAnsi="Times New Roman" w:cs="Times New Roman"/>
          <w:smallCaps/>
        </w:rPr>
        <w:t xml:space="preserve"> [2]</w:t>
      </w:r>
    </w:p>
    <w:bookmarkEnd w:id="464"/>
  </w:footnote>
  <w:footnote w:id="335">
    <w:p w14:paraId="06078949" w14:textId="4E46750F" w:rsidR="00336EDF" w:rsidRDefault="00336EDF">
      <w:pPr>
        <w:pStyle w:val="FootnoteText"/>
      </w:pPr>
      <w:r w:rsidRPr="00170C61">
        <w:rPr>
          <w:rStyle w:val="FootnoteReference"/>
          <w:rFonts w:ascii="Times New Roman" w:hAnsi="Times New Roman" w:cs="Times New Roman"/>
        </w:rPr>
        <w:footnoteRef/>
      </w:r>
      <w:r>
        <w:t xml:space="preserve"> </w:t>
      </w:r>
      <w:bookmarkStart w:id="465" w:name="f313"/>
      <w:bookmarkEnd w:id="465"/>
      <w:r w:rsidRPr="0034757C">
        <w:rPr>
          <w:rFonts w:ascii="Times New Roman" w:hAnsi="Times New Roman" w:cs="Times New Roman"/>
          <w:smallCaps/>
        </w:rPr>
        <w:t>2 Larson's Workers</w:t>
      </w:r>
      <w:r>
        <w:rPr>
          <w:rFonts w:ascii="Times New Roman" w:hAnsi="Times New Roman" w:cs="Times New Roman"/>
          <w:smallCaps/>
        </w:rPr>
        <w:t>’</w:t>
      </w:r>
      <w:r w:rsidRPr="0034757C">
        <w:rPr>
          <w:rFonts w:ascii="Times New Roman" w:hAnsi="Times New Roman" w:cs="Times New Roman"/>
          <w:smallCaps/>
        </w:rPr>
        <w:t xml:space="preserve"> Compensation Law § 13.01</w:t>
      </w:r>
      <w:r>
        <w:rPr>
          <w:rFonts w:ascii="Times New Roman" w:hAnsi="Times New Roman" w:cs="Times New Roman"/>
          <w:smallCaps/>
        </w:rPr>
        <w:t xml:space="preserve"> [3]</w:t>
      </w:r>
    </w:p>
  </w:footnote>
  <w:footnote w:id="336">
    <w:p w14:paraId="67C4A4A6" w14:textId="2FD6CF09" w:rsidR="00336EDF" w:rsidRDefault="00336EDF">
      <w:pPr>
        <w:pStyle w:val="FootnoteText"/>
      </w:pPr>
      <w:r w:rsidRPr="00170C61">
        <w:rPr>
          <w:rStyle w:val="FootnoteReference"/>
          <w:rFonts w:ascii="Times New Roman" w:hAnsi="Times New Roman" w:cs="Times New Roman"/>
        </w:rPr>
        <w:footnoteRef/>
      </w:r>
      <w:r w:rsidRPr="00170C61">
        <w:rPr>
          <w:rFonts w:ascii="Times New Roman" w:hAnsi="Times New Roman" w:cs="Times New Roman"/>
        </w:rPr>
        <w:t xml:space="preserve"> </w:t>
      </w:r>
      <w:bookmarkStart w:id="466" w:name="f314"/>
      <w:bookmarkEnd w:id="466"/>
      <w:r w:rsidRPr="0034757C">
        <w:rPr>
          <w:rFonts w:ascii="Times New Roman" w:hAnsi="Times New Roman" w:cs="Times New Roman"/>
          <w:smallCaps/>
        </w:rPr>
        <w:t>2 Larson's Workers' Compensation Law § 1</w:t>
      </w:r>
      <w:r>
        <w:rPr>
          <w:rFonts w:ascii="Times New Roman" w:hAnsi="Times New Roman" w:cs="Times New Roman"/>
          <w:smallCaps/>
        </w:rPr>
        <w:t>4</w:t>
      </w:r>
      <w:r w:rsidRPr="0034757C">
        <w:rPr>
          <w:rFonts w:ascii="Times New Roman" w:hAnsi="Times New Roman" w:cs="Times New Roman"/>
          <w:smallCaps/>
        </w:rPr>
        <w:t>.0</w:t>
      </w:r>
      <w:r>
        <w:rPr>
          <w:rFonts w:ascii="Times New Roman" w:hAnsi="Times New Roman" w:cs="Times New Roman"/>
          <w:smallCaps/>
        </w:rPr>
        <w:t xml:space="preserve">5 </w:t>
      </w:r>
    </w:p>
  </w:footnote>
  <w:footnote w:id="337">
    <w:p w14:paraId="285821BF" w14:textId="74CE77CC" w:rsidR="00336EDF" w:rsidRDefault="00336EDF">
      <w:pPr>
        <w:pStyle w:val="FootnoteText"/>
      </w:pPr>
      <w:r w:rsidRPr="00915C4E">
        <w:rPr>
          <w:rStyle w:val="FootnoteReference"/>
          <w:rFonts w:ascii="Times New Roman" w:hAnsi="Times New Roman" w:cs="Times New Roman"/>
        </w:rPr>
        <w:footnoteRef/>
      </w:r>
      <w:r w:rsidRPr="00915C4E">
        <w:rPr>
          <w:rFonts w:ascii="Times New Roman" w:hAnsi="Times New Roman" w:cs="Times New Roman"/>
        </w:rPr>
        <w:t xml:space="preserve"> </w:t>
      </w:r>
      <w:bookmarkStart w:id="468" w:name="f315"/>
      <w:bookmarkEnd w:id="468"/>
      <w:r w:rsidRPr="00170C61">
        <w:rPr>
          <w:rFonts w:ascii="Times New Roman" w:hAnsi="Times New Roman" w:cs="Times New Roman"/>
          <w:smallCaps/>
        </w:rPr>
        <w:t>2 Larson's Workers' Compensation Law</w:t>
      </w:r>
      <w:r>
        <w:rPr>
          <w:rFonts w:ascii="Times New Roman" w:hAnsi="Times New Roman" w:cs="Times New Roman"/>
          <w:smallCaps/>
        </w:rPr>
        <w:t>,</w:t>
      </w:r>
      <w:r w:rsidRPr="00170C61">
        <w:rPr>
          <w:rFonts w:ascii="Times New Roman" w:hAnsi="Times New Roman" w:cs="Times New Roman"/>
          <w:smallCaps/>
        </w:rPr>
        <w:t xml:space="preserve"> C</w:t>
      </w:r>
      <w:r>
        <w:rPr>
          <w:rFonts w:ascii="Times New Roman" w:hAnsi="Times New Roman" w:cs="Times New Roman"/>
          <w:smallCaps/>
        </w:rPr>
        <w:t>hapter</w:t>
      </w:r>
      <w:r w:rsidRPr="00170C61">
        <w:rPr>
          <w:rFonts w:ascii="Times New Roman" w:hAnsi="Times New Roman" w:cs="Times New Roman"/>
          <w:smallCaps/>
        </w:rPr>
        <w:t xml:space="preserve"> 21.syn</w:t>
      </w:r>
    </w:p>
  </w:footnote>
  <w:footnote w:id="338">
    <w:p w14:paraId="007CE262" w14:textId="2B08E6C9" w:rsidR="00336EDF" w:rsidRDefault="00336EDF" w:rsidP="00B04EA3">
      <w:pPr>
        <w:pStyle w:val="FootnoteText"/>
        <w:jc w:val="both"/>
      </w:pPr>
      <w:r w:rsidRPr="003C3AC2">
        <w:rPr>
          <w:rStyle w:val="FootnoteReference"/>
          <w:rFonts w:ascii="Times New Roman" w:hAnsi="Times New Roman" w:cs="Times New Roman"/>
        </w:rPr>
        <w:footnoteRef/>
      </w:r>
      <w:r>
        <w:t xml:space="preserve"> </w:t>
      </w:r>
      <w:bookmarkStart w:id="471" w:name="f316"/>
      <w:bookmarkEnd w:id="471"/>
      <w:r w:rsidRPr="00B04EA3">
        <w:rPr>
          <w:rFonts w:ascii="Times New Roman" w:hAnsi="Times New Roman" w:cs="Times New Roman"/>
        </w:rPr>
        <w:t xml:space="preserve">In re Jensen, </w:t>
      </w:r>
      <w:hyperlink r:id="rId145" w:history="1">
        <w:r w:rsidRPr="00915C4E">
          <w:rPr>
            <w:rStyle w:val="Hyperlink"/>
            <w:rFonts w:ascii="Times New Roman" w:hAnsi="Times New Roman" w:cs="Times New Roman"/>
          </w:rPr>
          <w:t>178 P.2d 897</w:t>
        </w:r>
      </w:hyperlink>
      <w:r>
        <w:rPr>
          <w:rFonts w:ascii="Times New Roman" w:hAnsi="Times New Roman" w:cs="Times New Roman"/>
        </w:rPr>
        <w:t>, 900</w:t>
      </w:r>
      <w:r w:rsidRPr="00B04EA3">
        <w:rPr>
          <w:rFonts w:ascii="Times New Roman" w:hAnsi="Times New Roman" w:cs="Times New Roman"/>
        </w:rPr>
        <w:t xml:space="preserve"> (Wyo. 1947);</w:t>
      </w:r>
      <w:r>
        <w:t xml:space="preserve"> </w:t>
      </w:r>
      <w:r w:rsidRPr="003C3AC2">
        <w:rPr>
          <w:rFonts w:ascii="Times New Roman" w:hAnsi="Times New Roman" w:cs="Times New Roman"/>
        </w:rPr>
        <w:t>Workmen</w:t>
      </w:r>
      <w:r>
        <w:rPr>
          <w:rFonts w:ascii="Times New Roman" w:hAnsi="Times New Roman" w:cs="Times New Roman"/>
        </w:rPr>
        <w:t>’</w:t>
      </w:r>
      <w:r w:rsidRPr="003C3AC2">
        <w:rPr>
          <w:rFonts w:ascii="Times New Roman" w:hAnsi="Times New Roman" w:cs="Times New Roman"/>
        </w:rPr>
        <w:t xml:space="preserve">s Compensation Dept. v. Boston, </w:t>
      </w:r>
      <w:hyperlink r:id="rId146" w:history="1">
        <w:r w:rsidRPr="00915C4E">
          <w:rPr>
            <w:rStyle w:val="Hyperlink"/>
            <w:rFonts w:ascii="Times New Roman" w:hAnsi="Times New Roman" w:cs="Times New Roman"/>
          </w:rPr>
          <w:t>445 P.2d 548</w:t>
        </w:r>
      </w:hyperlink>
      <w:r w:rsidRPr="003C3AC2">
        <w:rPr>
          <w:rFonts w:ascii="Times New Roman" w:hAnsi="Times New Roman" w:cs="Times New Roman"/>
        </w:rPr>
        <w:t>, 549 (Wyo. 1968);</w:t>
      </w:r>
      <w:r>
        <w:t xml:space="preserve"> </w:t>
      </w:r>
      <w:r w:rsidRPr="003C3AC2">
        <w:rPr>
          <w:rFonts w:ascii="Times New Roman" w:hAnsi="Times New Roman" w:cs="Times New Roman"/>
        </w:rPr>
        <w:t xml:space="preserve">Matter of Willey, </w:t>
      </w:r>
      <w:hyperlink r:id="rId147" w:history="1">
        <w:r w:rsidRPr="00915C4E">
          <w:rPr>
            <w:rStyle w:val="Hyperlink"/>
            <w:rFonts w:ascii="Times New Roman" w:hAnsi="Times New Roman" w:cs="Times New Roman"/>
          </w:rPr>
          <w:t>571 P.2d 248</w:t>
        </w:r>
      </w:hyperlink>
      <w:r w:rsidRPr="003C3AC2">
        <w:rPr>
          <w:rFonts w:ascii="Times New Roman" w:hAnsi="Times New Roman" w:cs="Times New Roman"/>
        </w:rPr>
        <w:t xml:space="preserve">, 250 (Wyo. 1977); Matter of Van Matre, </w:t>
      </w:r>
      <w:hyperlink r:id="rId148" w:history="1">
        <w:r w:rsidRPr="00915C4E">
          <w:rPr>
            <w:rStyle w:val="Hyperlink"/>
            <w:rFonts w:ascii="Times New Roman" w:hAnsi="Times New Roman" w:cs="Times New Roman"/>
          </w:rPr>
          <w:t>657 P.2d 815</w:t>
        </w:r>
      </w:hyperlink>
      <w:r w:rsidRPr="003C3AC2">
        <w:rPr>
          <w:rFonts w:ascii="Times New Roman" w:hAnsi="Times New Roman" w:cs="Times New Roman"/>
        </w:rPr>
        <w:t>, 816 (Wyo. 1983)</w:t>
      </w:r>
      <w:r>
        <w:rPr>
          <w:rFonts w:ascii="Times New Roman" w:hAnsi="Times New Roman" w:cs="Times New Roman"/>
        </w:rPr>
        <w:t xml:space="preserve">; </w:t>
      </w:r>
      <w:r w:rsidRPr="003C3AC2">
        <w:rPr>
          <w:rFonts w:ascii="Times New Roman" w:hAnsi="Times New Roman" w:cs="Times New Roman"/>
        </w:rPr>
        <w:t>Claims of Naylor</w:t>
      </w:r>
      <w:r>
        <w:rPr>
          <w:rFonts w:ascii="Times New Roman" w:hAnsi="Times New Roman" w:cs="Times New Roman"/>
        </w:rPr>
        <w:t xml:space="preserve">, </w:t>
      </w:r>
      <w:hyperlink r:id="rId149" w:history="1">
        <w:r w:rsidRPr="00915C4E">
          <w:rPr>
            <w:rStyle w:val="Hyperlink"/>
            <w:rFonts w:ascii="Times New Roman" w:hAnsi="Times New Roman" w:cs="Times New Roman"/>
          </w:rPr>
          <w:t>723 P.2d 1237</w:t>
        </w:r>
      </w:hyperlink>
      <w:r>
        <w:rPr>
          <w:rFonts w:ascii="Times New Roman" w:hAnsi="Times New Roman" w:cs="Times New Roman"/>
        </w:rPr>
        <w:t xml:space="preserve">, 1241 (Wyo. 1986); </w:t>
      </w:r>
      <w:r w:rsidRPr="003C3AC2">
        <w:rPr>
          <w:rFonts w:ascii="Times New Roman" w:hAnsi="Times New Roman" w:cs="Times New Roman"/>
        </w:rPr>
        <w:t>Matter of Injury to Corean</w:t>
      </w:r>
      <w:r>
        <w:rPr>
          <w:rFonts w:ascii="Times New Roman" w:hAnsi="Times New Roman" w:cs="Times New Roman"/>
        </w:rPr>
        <w:t xml:space="preserve">, </w:t>
      </w:r>
      <w:r w:rsidRPr="00BD429B">
        <w:rPr>
          <w:rFonts w:ascii="Times New Roman" w:hAnsi="Times New Roman" w:cs="Times New Roman"/>
          <w:i/>
        </w:rPr>
        <w:t>supra</w:t>
      </w:r>
      <w:r>
        <w:rPr>
          <w:rFonts w:ascii="Times New Roman" w:hAnsi="Times New Roman" w:cs="Times New Roman"/>
        </w:rPr>
        <w:t>.,</w:t>
      </w:r>
      <w:r w:rsidRPr="00BD429B">
        <w:t xml:space="preserve"> </w:t>
      </w:r>
      <w:r w:rsidRPr="00BD429B">
        <w:rPr>
          <w:rFonts w:ascii="Times New Roman" w:hAnsi="Times New Roman" w:cs="Times New Roman"/>
        </w:rPr>
        <w:t xml:space="preserve">723 P.2d </w:t>
      </w:r>
      <w:r>
        <w:rPr>
          <w:rFonts w:ascii="Times New Roman" w:hAnsi="Times New Roman" w:cs="Times New Roman"/>
        </w:rPr>
        <w:t xml:space="preserve">at 61; </w:t>
      </w:r>
      <w:r w:rsidRPr="00BD429B">
        <w:rPr>
          <w:rFonts w:ascii="Times New Roman" w:hAnsi="Times New Roman" w:cs="Times New Roman"/>
        </w:rPr>
        <w:t>Archuleta v. Carbon County School Dist. No. 1,</w:t>
      </w:r>
      <w:r>
        <w:rPr>
          <w:rFonts w:ascii="Times New Roman" w:hAnsi="Times New Roman" w:cs="Times New Roman"/>
        </w:rPr>
        <w:t xml:space="preserve"> </w:t>
      </w:r>
      <w:r w:rsidRPr="00BD429B">
        <w:rPr>
          <w:rFonts w:ascii="Times New Roman" w:hAnsi="Times New Roman" w:cs="Times New Roman"/>
          <w:i/>
        </w:rPr>
        <w:t>supra</w:t>
      </w:r>
      <w:r>
        <w:rPr>
          <w:rFonts w:ascii="Times New Roman" w:hAnsi="Times New Roman" w:cs="Times New Roman"/>
        </w:rPr>
        <w:t>.,</w:t>
      </w:r>
      <w:r w:rsidRPr="00BD429B">
        <w:rPr>
          <w:rFonts w:ascii="Times New Roman" w:hAnsi="Times New Roman" w:cs="Times New Roman"/>
        </w:rPr>
        <w:t xml:space="preserve"> 787 P.2d </w:t>
      </w:r>
      <w:r>
        <w:rPr>
          <w:rFonts w:ascii="Times New Roman" w:hAnsi="Times New Roman" w:cs="Times New Roman"/>
        </w:rPr>
        <w:t xml:space="preserve">at </w:t>
      </w:r>
      <w:r w:rsidRPr="00BD429B">
        <w:rPr>
          <w:rFonts w:ascii="Times New Roman" w:hAnsi="Times New Roman" w:cs="Times New Roman"/>
        </w:rPr>
        <w:t>92</w:t>
      </w:r>
      <w:r>
        <w:rPr>
          <w:rFonts w:ascii="Times New Roman" w:hAnsi="Times New Roman" w:cs="Times New Roman"/>
        </w:rPr>
        <w:t xml:space="preserve">; Chapman v. Meyers, </w:t>
      </w:r>
      <w:hyperlink r:id="rId150" w:history="1">
        <w:r w:rsidRPr="00915C4E">
          <w:rPr>
            <w:rStyle w:val="Hyperlink"/>
            <w:rFonts w:ascii="Times New Roman" w:hAnsi="Times New Roman" w:cs="Times New Roman"/>
          </w:rPr>
          <w:t>899 P.2d 48</w:t>
        </w:r>
      </w:hyperlink>
      <w:r>
        <w:rPr>
          <w:rFonts w:ascii="Times New Roman" w:hAnsi="Times New Roman" w:cs="Times New Roman"/>
        </w:rPr>
        <w:t>, 50 (Wyo. 1995)</w:t>
      </w:r>
    </w:p>
  </w:footnote>
  <w:footnote w:id="339">
    <w:p w14:paraId="4677AF28" w14:textId="3928DD07" w:rsidR="00336EDF" w:rsidRPr="00B04EA3" w:rsidRDefault="00336EDF" w:rsidP="00B04EA3">
      <w:pPr>
        <w:pStyle w:val="FootnoteText"/>
        <w:jc w:val="both"/>
        <w:rPr>
          <w:rFonts w:ascii="Times New Roman" w:hAnsi="Times New Roman" w:cs="Times New Roman"/>
        </w:rPr>
      </w:pPr>
      <w:r w:rsidRPr="00B04EA3">
        <w:rPr>
          <w:rStyle w:val="FootnoteReference"/>
          <w:rFonts w:ascii="Times New Roman" w:hAnsi="Times New Roman" w:cs="Times New Roman"/>
        </w:rPr>
        <w:footnoteRef/>
      </w:r>
      <w:r>
        <w:t xml:space="preserve"> </w:t>
      </w:r>
      <w:bookmarkStart w:id="472" w:name="f317"/>
      <w:bookmarkEnd w:id="472"/>
      <w:r w:rsidRPr="00B04EA3">
        <w:rPr>
          <w:rFonts w:ascii="Times New Roman" w:hAnsi="Times New Roman" w:cs="Times New Roman"/>
        </w:rPr>
        <w:t xml:space="preserve">The principle was contained in much earlier versions of the </w:t>
      </w:r>
      <w:r>
        <w:rPr>
          <w:rFonts w:ascii="Times New Roman" w:hAnsi="Times New Roman" w:cs="Times New Roman"/>
        </w:rPr>
        <w:t xml:space="preserve">Wyoming </w:t>
      </w:r>
      <w:r w:rsidRPr="00B04EA3">
        <w:rPr>
          <w:rFonts w:ascii="Times New Roman" w:hAnsi="Times New Roman" w:cs="Times New Roman"/>
        </w:rPr>
        <w:t xml:space="preserve">statute. </w:t>
      </w:r>
      <w:r w:rsidRPr="00B04EA3">
        <w:rPr>
          <w:rFonts w:ascii="Times New Roman" w:hAnsi="Times New Roman" w:cs="Times New Roman"/>
          <w:i/>
        </w:rPr>
        <w:t>See</w:t>
      </w:r>
      <w:r w:rsidRPr="00B04EA3">
        <w:rPr>
          <w:rFonts w:ascii="Times New Roman" w:hAnsi="Times New Roman" w:cs="Times New Roman"/>
        </w:rPr>
        <w:t xml:space="preserve"> In re Jensen, </w:t>
      </w:r>
      <w:r w:rsidRPr="00B04EA3">
        <w:rPr>
          <w:rFonts w:ascii="Times New Roman" w:hAnsi="Times New Roman" w:cs="Times New Roman"/>
          <w:i/>
        </w:rPr>
        <w:t>supra</w:t>
      </w:r>
      <w:r w:rsidRPr="00B04EA3">
        <w:rPr>
          <w:rFonts w:ascii="Times New Roman" w:hAnsi="Times New Roman" w:cs="Times New Roman"/>
        </w:rPr>
        <w:t xml:space="preserve">., 178 P.2d at 899-900 </w:t>
      </w:r>
      <w:r w:rsidRPr="00B04EA3">
        <w:rPr>
          <w:rFonts w:ascii="Times New Roman" w:hAnsi="Times New Roman" w:cs="Times New Roman"/>
          <w:i/>
        </w:rPr>
        <w:t>citing</w:t>
      </w:r>
      <w:r w:rsidRPr="00B04EA3">
        <w:rPr>
          <w:rFonts w:ascii="Times New Roman" w:hAnsi="Times New Roman" w:cs="Times New Roman"/>
        </w:rPr>
        <w:t xml:space="preserve"> Section 124–106–7, W.R.S.1931 as finally reenacted in Section 2 of Chapter 128, Laws of Wyoming 1937</w:t>
      </w:r>
    </w:p>
  </w:footnote>
  <w:footnote w:id="340">
    <w:p w14:paraId="4D518873" w14:textId="4B5C5B41" w:rsidR="00336EDF" w:rsidRDefault="00336EDF" w:rsidP="007F7011">
      <w:pPr>
        <w:pStyle w:val="FootnoteText"/>
        <w:jc w:val="both"/>
      </w:pPr>
      <w:r w:rsidRPr="00B04EA3">
        <w:rPr>
          <w:rStyle w:val="FootnoteReference"/>
          <w:rFonts w:ascii="Times New Roman" w:hAnsi="Times New Roman" w:cs="Times New Roman"/>
        </w:rPr>
        <w:footnoteRef/>
      </w:r>
      <w:r w:rsidRPr="00695715">
        <w:rPr>
          <w:rStyle w:val="FootnoteReference"/>
          <w:rFonts w:ascii="Times New Roman" w:hAnsi="Times New Roman" w:cs="Times New Roman"/>
        </w:rPr>
        <w:t xml:space="preserve"> </w:t>
      </w:r>
      <w:bookmarkStart w:id="474" w:name="f318"/>
      <w:bookmarkEnd w:id="474"/>
      <w:r w:rsidRPr="00695715">
        <w:rPr>
          <w:rFonts w:ascii="Times New Roman" w:hAnsi="Times New Roman" w:cs="Times New Roman"/>
        </w:rPr>
        <w:t xml:space="preserve">In re Jensen, </w:t>
      </w:r>
      <w:r w:rsidRPr="00695715">
        <w:rPr>
          <w:rFonts w:ascii="Times New Roman" w:hAnsi="Times New Roman" w:cs="Times New Roman"/>
          <w:i/>
        </w:rPr>
        <w:t>supra</w:t>
      </w:r>
      <w:r w:rsidRPr="00695715">
        <w:rPr>
          <w:rFonts w:ascii="Times New Roman" w:hAnsi="Times New Roman" w:cs="Times New Roman"/>
        </w:rPr>
        <w:t>., 178 P.2d at 900</w:t>
      </w:r>
      <w:r>
        <w:rPr>
          <w:rFonts w:ascii="Times New Roman" w:hAnsi="Times New Roman" w:cs="Times New Roman"/>
        </w:rPr>
        <w:t xml:space="preserve">; Workers’ Compensation Dept. v. Boston, 445 P.2d at 549-550; Matter of Willey, </w:t>
      </w:r>
      <w:r w:rsidRPr="00695715">
        <w:rPr>
          <w:rFonts w:ascii="Times New Roman" w:hAnsi="Times New Roman" w:cs="Times New Roman"/>
          <w:i/>
        </w:rPr>
        <w:t>supra</w:t>
      </w:r>
      <w:r>
        <w:rPr>
          <w:rFonts w:ascii="Times New Roman" w:hAnsi="Times New Roman" w:cs="Times New Roman"/>
        </w:rPr>
        <w:t>., 571 P.2d at 250-251</w:t>
      </w:r>
    </w:p>
  </w:footnote>
  <w:footnote w:id="341">
    <w:p w14:paraId="0058AD02" w14:textId="490B67E9" w:rsidR="00336EDF" w:rsidRPr="00D41C46" w:rsidRDefault="00336EDF" w:rsidP="007F7011">
      <w:pPr>
        <w:pStyle w:val="FootnoteText"/>
        <w:jc w:val="both"/>
        <w:rPr>
          <w:rFonts w:ascii="Times New Roman" w:hAnsi="Times New Roman" w:cs="Times New Roman"/>
        </w:rPr>
      </w:pPr>
      <w:r w:rsidRPr="0002254F">
        <w:rPr>
          <w:rStyle w:val="FootnoteReference"/>
          <w:rFonts w:ascii="Times New Roman" w:hAnsi="Times New Roman" w:cs="Times New Roman"/>
        </w:rPr>
        <w:footnoteRef/>
      </w:r>
      <w:r>
        <w:t xml:space="preserve"> </w:t>
      </w:r>
      <w:bookmarkStart w:id="476" w:name="f319"/>
      <w:bookmarkEnd w:id="476"/>
      <w:r w:rsidRPr="00D41C46">
        <w:rPr>
          <w:rFonts w:ascii="Times New Roman" w:hAnsi="Times New Roman" w:cs="Times New Roman"/>
        </w:rPr>
        <w:t>The “arising out of” aspect of the case was discussed above in Section 3.12 of the treatise.</w:t>
      </w:r>
    </w:p>
  </w:footnote>
  <w:footnote w:id="342">
    <w:p w14:paraId="02247E41" w14:textId="73C88B2C" w:rsidR="00336EDF" w:rsidRDefault="00336EDF" w:rsidP="007F7011">
      <w:pPr>
        <w:pStyle w:val="FootnoteText"/>
        <w:jc w:val="both"/>
      </w:pPr>
      <w:r w:rsidRPr="00570B2A">
        <w:rPr>
          <w:rStyle w:val="FootnoteReference"/>
          <w:rFonts w:ascii="Times New Roman" w:hAnsi="Times New Roman" w:cs="Times New Roman"/>
        </w:rPr>
        <w:footnoteRef/>
      </w:r>
      <w:r w:rsidRPr="00570B2A">
        <w:rPr>
          <w:rStyle w:val="FootnoteReference"/>
          <w:rFonts w:ascii="Times New Roman" w:hAnsi="Times New Roman" w:cs="Times New Roman"/>
        </w:rPr>
        <w:t xml:space="preserve"> </w:t>
      </w:r>
      <w:bookmarkStart w:id="477" w:name="f320"/>
      <w:bookmarkStart w:id="478" w:name="_Hlk518752229"/>
      <w:bookmarkEnd w:id="477"/>
      <w:r w:rsidRPr="00570B2A">
        <w:rPr>
          <w:rFonts w:ascii="Times New Roman" w:hAnsi="Times New Roman" w:cs="Times New Roman"/>
        </w:rPr>
        <w:t>Archuleta v. Carbon County School Dist. No. 1</w:t>
      </w:r>
      <w:bookmarkEnd w:id="478"/>
      <w:r>
        <w:rPr>
          <w:rFonts w:ascii="Times New Roman" w:hAnsi="Times New Roman" w:cs="Times New Roman"/>
        </w:rPr>
        <w:t xml:space="preserve">, </w:t>
      </w:r>
      <w:r w:rsidRPr="00570B2A">
        <w:rPr>
          <w:rFonts w:ascii="Times New Roman" w:hAnsi="Times New Roman" w:cs="Times New Roman"/>
          <w:i/>
        </w:rPr>
        <w:t>supra</w:t>
      </w:r>
      <w:r>
        <w:rPr>
          <w:rFonts w:ascii="Times New Roman" w:hAnsi="Times New Roman" w:cs="Times New Roman"/>
        </w:rPr>
        <w:t>., 787 P.2d at 91</w:t>
      </w:r>
    </w:p>
  </w:footnote>
  <w:footnote w:id="343">
    <w:p w14:paraId="5B9F7A79" w14:textId="62774125" w:rsidR="00336EDF" w:rsidRDefault="00336EDF">
      <w:pPr>
        <w:pStyle w:val="FootnoteText"/>
      </w:pPr>
      <w:r w:rsidRPr="00D41C46">
        <w:rPr>
          <w:rStyle w:val="FootnoteReference"/>
          <w:rFonts w:ascii="Times New Roman" w:hAnsi="Times New Roman" w:cs="Times New Roman"/>
        </w:rPr>
        <w:footnoteRef/>
      </w:r>
      <w:r>
        <w:t xml:space="preserve"> </w:t>
      </w:r>
      <w:bookmarkStart w:id="479" w:name="f321"/>
      <w:bookmarkEnd w:id="479"/>
      <w:r w:rsidRPr="00D41C46">
        <w:rPr>
          <w:rFonts w:ascii="Times New Roman" w:hAnsi="Times New Roman" w:cs="Times New Roman"/>
          <w:i/>
        </w:rPr>
        <w:t>Id</w:t>
      </w:r>
      <w:r w:rsidRPr="00D41C46">
        <w:rPr>
          <w:rFonts w:ascii="Times New Roman" w:hAnsi="Times New Roman" w:cs="Times New Roman"/>
        </w:rPr>
        <w:t>. at 93-94</w:t>
      </w:r>
    </w:p>
  </w:footnote>
  <w:footnote w:id="344">
    <w:p w14:paraId="07D74ED6" w14:textId="29BF28B6" w:rsidR="00336EDF" w:rsidRDefault="00336EDF">
      <w:pPr>
        <w:pStyle w:val="FootnoteText"/>
      </w:pPr>
      <w:r w:rsidRPr="00AC78F1">
        <w:rPr>
          <w:rStyle w:val="FootnoteReference"/>
          <w:rFonts w:ascii="Times New Roman" w:hAnsi="Times New Roman" w:cs="Times New Roman"/>
        </w:rPr>
        <w:footnoteRef/>
      </w:r>
      <w:r w:rsidRPr="00AC78F1">
        <w:rPr>
          <w:rStyle w:val="FootnoteReference"/>
          <w:rFonts w:ascii="Times New Roman" w:hAnsi="Times New Roman" w:cs="Times New Roman"/>
        </w:rPr>
        <w:t xml:space="preserve"> </w:t>
      </w:r>
      <w:bookmarkStart w:id="480" w:name="f322"/>
      <w:bookmarkEnd w:id="480"/>
      <w:r w:rsidRPr="00AC78F1">
        <w:rPr>
          <w:rFonts w:ascii="Times New Roman" w:hAnsi="Times New Roman" w:cs="Times New Roman"/>
          <w:i/>
        </w:rPr>
        <w:t>Id</w:t>
      </w:r>
      <w:r w:rsidRPr="00AC78F1">
        <w:rPr>
          <w:rFonts w:ascii="Times New Roman" w:hAnsi="Times New Roman" w:cs="Times New Roman"/>
        </w:rPr>
        <w:t>. at 94</w:t>
      </w:r>
    </w:p>
  </w:footnote>
  <w:footnote w:id="345">
    <w:p w14:paraId="25F2A90A" w14:textId="47D31533" w:rsidR="00336EDF" w:rsidRDefault="00336EDF">
      <w:pPr>
        <w:pStyle w:val="FootnoteText"/>
      </w:pPr>
      <w:r w:rsidRPr="00EA71D8">
        <w:rPr>
          <w:rStyle w:val="FootnoteReference"/>
          <w:rFonts w:ascii="Times New Roman" w:hAnsi="Times New Roman" w:cs="Times New Roman"/>
        </w:rPr>
        <w:footnoteRef/>
      </w:r>
      <w:r w:rsidRPr="00EA71D8">
        <w:rPr>
          <w:i/>
        </w:rPr>
        <w:t xml:space="preserve"> </w:t>
      </w:r>
      <w:bookmarkStart w:id="481" w:name="f323"/>
      <w:bookmarkEnd w:id="481"/>
      <w:r w:rsidRPr="00EA71D8">
        <w:rPr>
          <w:rFonts w:ascii="Times New Roman" w:hAnsi="Times New Roman" w:cs="Times New Roman"/>
          <w:i/>
        </w:rPr>
        <w:t>Id</w:t>
      </w:r>
      <w:r w:rsidRPr="00EA71D8">
        <w:rPr>
          <w:rFonts w:ascii="Times New Roman" w:hAnsi="Times New Roman" w:cs="Times New Roman"/>
        </w:rPr>
        <w:t>. at 93-94</w:t>
      </w:r>
      <w:r>
        <w:rPr>
          <w:rFonts w:ascii="Times New Roman" w:hAnsi="Times New Roman" w:cs="Times New Roman"/>
        </w:rPr>
        <w:t xml:space="preserve">; </w:t>
      </w:r>
      <w:r w:rsidRPr="005D6D4A">
        <w:rPr>
          <w:rFonts w:ascii="Times New Roman" w:hAnsi="Times New Roman" w:cs="Times New Roman"/>
          <w:i/>
        </w:rPr>
        <w:t>see also</w:t>
      </w:r>
      <w:r>
        <w:rPr>
          <w:rFonts w:ascii="Times New Roman" w:hAnsi="Times New Roman" w:cs="Times New Roman"/>
        </w:rPr>
        <w:t xml:space="preserve"> Workers’ Compensation Div. v. Miller, </w:t>
      </w:r>
      <w:hyperlink r:id="rId151" w:history="1">
        <w:r w:rsidRPr="00915C4E">
          <w:rPr>
            <w:rStyle w:val="Hyperlink"/>
            <w:rFonts w:ascii="Times New Roman" w:hAnsi="Times New Roman" w:cs="Times New Roman"/>
          </w:rPr>
          <w:t>787 P.2d 89</w:t>
        </w:r>
      </w:hyperlink>
      <w:r>
        <w:rPr>
          <w:rFonts w:ascii="Times New Roman" w:hAnsi="Times New Roman" w:cs="Times New Roman"/>
        </w:rPr>
        <w:t>, 90 (Wyo. 1990)</w:t>
      </w:r>
    </w:p>
  </w:footnote>
  <w:footnote w:id="346">
    <w:p w14:paraId="24C5CEBB" w14:textId="743F9012" w:rsidR="00336EDF" w:rsidRDefault="00336EDF">
      <w:pPr>
        <w:pStyle w:val="FootnoteText"/>
      </w:pPr>
      <w:r w:rsidRPr="00D24572">
        <w:rPr>
          <w:rStyle w:val="FootnoteReference"/>
          <w:rFonts w:ascii="Times New Roman" w:hAnsi="Times New Roman" w:cs="Times New Roman"/>
        </w:rPr>
        <w:footnoteRef/>
      </w:r>
      <w:r>
        <w:t xml:space="preserve"> </w:t>
      </w:r>
      <w:bookmarkStart w:id="482" w:name="f324"/>
      <w:bookmarkEnd w:id="482"/>
      <w:r w:rsidRPr="001D72A6">
        <w:rPr>
          <w:rFonts w:ascii="Times New Roman" w:hAnsi="Times New Roman" w:cs="Times New Roman"/>
        </w:rPr>
        <w:t xml:space="preserve">Matter of Williams, </w:t>
      </w:r>
      <w:r w:rsidRPr="00A81CA5">
        <w:rPr>
          <w:rFonts w:ascii="Times New Roman" w:hAnsi="Times New Roman" w:cs="Times New Roman"/>
          <w:i/>
        </w:rPr>
        <w:t>supra</w:t>
      </w:r>
      <w:r w:rsidRPr="001D72A6">
        <w:rPr>
          <w:rFonts w:ascii="Times New Roman" w:hAnsi="Times New Roman" w:cs="Times New Roman"/>
        </w:rPr>
        <w:t xml:space="preserve">., </w:t>
      </w:r>
      <w:r>
        <w:rPr>
          <w:rFonts w:ascii="Times New Roman" w:hAnsi="Times New Roman" w:cs="Times New Roman"/>
        </w:rPr>
        <w:t xml:space="preserve">409 P.3d </w:t>
      </w:r>
      <w:r w:rsidRPr="001D72A6">
        <w:rPr>
          <w:rFonts w:ascii="Times New Roman" w:hAnsi="Times New Roman" w:cs="Times New Roman"/>
        </w:rPr>
        <w:t>at 12</w:t>
      </w:r>
      <w:r>
        <w:rPr>
          <w:rFonts w:ascii="Times New Roman" w:hAnsi="Times New Roman" w:cs="Times New Roman"/>
        </w:rPr>
        <w:t>27-1228</w:t>
      </w:r>
    </w:p>
  </w:footnote>
  <w:footnote w:id="347">
    <w:p w14:paraId="7BD52412" w14:textId="37D434B0" w:rsidR="00336EDF" w:rsidRDefault="00336EDF">
      <w:pPr>
        <w:pStyle w:val="FootnoteText"/>
      </w:pPr>
      <w:r w:rsidRPr="006B2167">
        <w:rPr>
          <w:rStyle w:val="FootnoteReference"/>
          <w:rFonts w:ascii="Times New Roman" w:hAnsi="Times New Roman" w:cs="Times New Roman"/>
        </w:rPr>
        <w:footnoteRef/>
      </w:r>
      <w:bookmarkStart w:id="483" w:name="f325"/>
      <w:bookmarkEnd w:id="483"/>
      <w:r w:rsidRPr="006B2167">
        <w:rPr>
          <w:rFonts w:ascii="Times New Roman" w:hAnsi="Times New Roman" w:cs="Times New Roman"/>
        </w:rPr>
        <w:t xml:space="preserve"> </w:t>
      </w:r>
      <w:hyperlink r:id="rId152" w:history="1">
        <w:r w:rsidRPr="006B2167">
          <w:rPr>
            <w:rStyle w:val="Hyperlink"/>
            <w:rFonts w:ascii="Times New Roman" w:hAnsi="Times New Roman" w:cs="Times New Roman"/>
          </w:rPr>
          <w:t>423 P.2d 645</w:t>
        </w:r>
      </w:hyperlink>
      <w:r w:rsidRPr="006B2167">
        <w:rPr>
          <w:rFonts w:ascii="Times New Roman" w:hAnsi="Times New Roman" w:cs="Times New Roman"/>
        </w:rPr>
        <w:t>, 648 (Wyo. 1967)</w:t>
      </w:r>
    </w:p>
  </w:footnote>
  <w:footnote w:id="348">
    <w:p w14:paraId="129ED7BC" w14:textId="17296F8D" w:rsidR="00336EDF" w:rsidRDefault="00336EDF">
      <w:pPr>
        <w:pStyle w:val="FootnoteText"/>
      </w:pPr>
      <w:r w:rsidRPr="00E44156">
        <w:rPr>
          <w:rStyle w:val="FootnoteReference"/>
          <w:rFonts w:ascii="Times New Roman" w:hAnsi="Times New Roman" w:cs="Times New Roman"/>
        </w:rPr>
        <w:footnoteRef/>
      </w:r>
      <w:r>
        <w:t xml:space="preserve"> </w:t>
      </w:r>
      <w:bookmarkStart w:id="486" w:name="f326"/>
      <w:bookmarkEnd w:id="486"/>
      <w:r>
        <w:fldChar w:fldCharType="begin"/>
      </w:r>
      <w:r>
        <w:instrText xml:space="preserve"> HYPERLINK "https://casetext.com/case/jensen-v-manning-brown" </w:instrText>
      </w:r>
      <w:r>
        <w:fldChar w:fldCharType="separate"/>
      </w:r>
      <w:r w:rsidRPr="00223B11">
        <w:rPr>
          <w:rStyle w:val="Hyperlink"/>
          <w:rFonts w:ascii="Times New Roman" w:hAnsi="Times New Roman" w:cs="Times New Roman"/>
        </w:rPr>
        <w:t>178 P.2d 897</w:t>
      </w:r>
      <w:r>
        <w:rPr>
          <w:rStyle w:val="Hyperlink"/>
          <w:rFonts w:ascii="Times New Roman" w:hAnsi="Times New Roman" w:cs="Times New Roman"/>
        </w:rPr>
        <w:fldChar w:fldCharType="end"/>
      </w:r>
      <w:r w:rsidRPr="00E44156">
        <w:rPr>
          <w:rFonts w:ascii="Times New Roman" w:hAnsi="Times New Roman" w:cs="Times New Roman"/>
        </w:rPr>
        <w:t xml:space="preserve"> (Wyo. 1947)</w:t>
      </w:r>
    </w:p>
  </w:footnote>
  <w:footnote w:id="349">
    <w:p w14:paraId="5B0D5CB5" w14:textId="355DC02A" w:rsidR="00336EDF" w:rsidRDefault="00336EDF">
      <w:pPr>
        <w:pStyle w:val="FootnoteText"/>
      </w:pPr>
      <w:r w:rsidRPr="005D6D4A">
        <w:rPr>
          <w:rStyle w:val="FootnoteReference"/>
          <w:rFonts w:ascii="Times New Roman" w:hAnsi="Times New Roman" w:cs="Times New Roman"/>
        </w:rPr>
        <w:footnoteRef/>
      </w:r>
      <w:r>
        <w:t xml:space="preserve"> </w:t>
      </w:r>
      <w:bookmarkStart w:id="487" w:name="f327"/>
      <w:bookmarkEnd w:id="487"/>
      <w:r w:rsidRPr="005D6D4A">
        <w:rPr>
          <w:rFonts w:ascii="Times New Roman" w:hAnsi="Times New Roman" w:cs="Times New Roman"/>
          <w:i/>
        </w:rPr>
        <w:t>Id</w:t>
      </w:r>
      <w:r w:rsidRPr="005D6D4A">
        <w:rPr>
          <w:rFonts w:ascii="Times New Roman" w:hAnsi="Times New Roman" w:cs="Times New Roman"/>
        </w:rPr>
        <w:t>. at 899</w:t>
      </w:r>
    </w:p>
  </w:footnote>
  <w:footnote w:id="350">
    <w:p w14:paraId="585F9A7A" w14:textId="557EFF95" w:rsidR="00336EDF" w:rsidRDefault="00336EDF">
      <w:pPr>
        <w:pStyle w:val="FootnoteText"/>
      </w:pPr>
      <w:r w:rsidRPr="005D6D4A">
        <w:rPr>
          <w:rStyle w:val="FootnoteReference"/>
          <w:rFonts w:ascii="Times New Roman" w:hAnsi="Times New Roman" w:cs="Times New Roman"/>
        </w:rPr>
        <w:footnoteRef/>
      </w:r>
      <w:r>
        <w:t xml:space="preserve"> </w:t>
      </w:r>
      <w:bookmarkStart w:id="488" w:name="f328"/>
      <w:bookmarkEnd w:id="488"/>
      <w:r w:rsidRPr="005D6D4A">
        <w:rPr>
          <w:rFonts w:ascii="Times New Roman" w:hAnsi="Times New Roman" w:cs="Times New Roman"/>
          <w:i/>
        </w:rPr>
        <w:t>Id</w:t>
      </w:r>
      <w:r w:rsidRPr="005D6D4A">
        <w:rPr>
          <w:rFonts w:ascii="Times New Roman" w:hAnsi="Times New Roman" w:cs="Times New Roman"/>
        </w:rPr>
        <w:t>. at 898</w:t>
      </w:r>
    </w:p>
  </w:footnote>
  <w:footnote w:id="351">
    <w:p w14:paraId="5B1D59C8" w14:textId="5ACD956A" w:rsidR="00336EDF" w:rsidRDefault="00336EDF">
      <w:pPr>
        <w:pStyle w:val="FootnoteText"/>
      </w:pPr>
      <w:r w:rsidRPr="00DA65ED">
        <w:rPr>
          <w:rStyle w:val="FootnoteReference"/>
          <w:rFonts w:ascii="Times New Roman" w:hAnsi="Times New Roman" w:cs="Times New Roman"/>
        </w:rPr>
        <w:footnoteRef/>
      </w:r>
      <w:r w:rsidRPr="00DA65ED">
        <w:rPr>
          <w:rFonts w:ascii="Times New Roman" w:hAnsi="Times New Roman" w:cs="Times New Roman"/>
        </w:rPr>
        <w:t xml:space="preserve"> </w:t>
      </w:r>
      <w:bookmarkStart w:id="489" w:name="f329"/>
      <w:bookmarkEnd w:id="489"/>
      <w:r w:rsidRPr="00DA65ED">
        <w:rPr>
          <w:rFonts w:ascii="Times New Roman" w:hAnsi="Times New Roman" w:cs="Times New Roman"/>
          <w:i/>
        </w:rPr>
        <w:t>Id</w:t>
      </w:r>
      <w:r w:rsidRPr="00DA65ED">
        <w:rPr>
          <w:rFonts w:ascii="Times New Roman" w:hAnsi="Times New Roman" w:cs="Times New Roman"/>
        </w:rPr>
        <w:t>. at 907</w:t>
      </w:r>
    </w:p>
  </w:footnote>
  <w:footnote w:id="352">
    <w:p w14:paraId="66A6AB46" w14:textId="59233F48" w:rsidR="00336EDF" w:rsidRPr="00444E48" w:rsidRDefault="00336EDF" w:rsidP="00444E48">
      <w:pPr>
        <w:pStyle w:val="FootnoteText"/>
        <w:jc w:val="both"/>
        <w:rPr>
          <w:rFonts w:ascii="Times New Roman" w:hAnsi="Times New Roman" w:cs="Times New Roman"/>
        </w:rPr>
      </w:pPr>
      <w:r w:rsidRPr="00444E48">
        <w:rPr>
          <w:rStyle w:val="FootnoteReference"/>
          <w:rFonts w:ascii="Times New Roman" w:hAnsi="Times New Roman" w:cs="Times New Roman"/>
        </w:rPr>
        <w:footnoteRef/>
      </w:r>
      <w:r>
        <w:t xml:space="preserve"> </w:t>
      </w:r>
      <w:bookmarkStart w:id="490" w:name="f330"/>
      <w:bookmarkEnd w:id="490"/>
      <w:r w:rsidRPr="00444E48">
        <w:rPr>
          <w:rFonts w:ascii="Times New Roman" w:hAnsi="Times New Roman" w:cs="Times New Roman"/>
        </w:rPr>
        <w:t>Archuleta v. Carbon County School District No. 1, supra., 787 P.2d at 92-93; Claims of Naylor, 723 P.2d 1237, 1241 (Wyo.1986); Berg v.</w:t>
      </w:r>
      <w:r>
        <w:rPr>
          <w:rFonts w:ascii="Times New Roman" w:hAnsi="Times New Roman" w:cs="Times New Roman"/>
        </w:rPr>
        <w:t xml:space="preserve"> </w:t>
      </w:r>
      <w:r w:rsidRPr="00444E48">
        <w:rPr>
          <w:rFonts w:ascii="Times New Roman" w:hAnsi="Times New Roman" w:cs="Times New Roman"/>
        </w:rPr>
        <w:t>Workers</w:t>
      </w:r>
      <w:r>
        <w:rPr>
          <w:rFonts w:ascii="Times New Roman" w:hAnsi="Times New Roman" w:cs="Times New Roman"/>
        </w:rPr>
        <w:t>’</w:t>
      </w:r>
      <w:r w:rsidRPr="00444E48">
        <w:rPr>
          <w:rFonts w:ascii="Times New Roman" w:hAnsi="Times New Roman" w:cs="Times New Roman"/>
        </w:rPr>
        <w:t xml:space="preserve"> Safety </w:t>
      </w:r>
      <w:r>
        <w:rPr>
          <w:rFonts w:ascii="Times New Roman" w:hAnsi="Times New Roman" w:cs="Times New Roman"/>
        </w:rPr>
        <w:t xml:space="preserve">&amp; </w:t>
      </w:r>
      <w:r w:rsidRPr="00444E48">
        <w:rPr>
          <w:rFonts w:ascii="Times New Roman" w:hAnsi="Times New Roman" w:cs="Times New Roman"/>
        </w:rPr>
        <w:t xml:space="preserve">Comp. Div., </w:t>
      </w:r>
      <w:hyperlink r:id="rId153" w:history="1">
        <w:r w:rsidRPr="00223B11">
          <w:rPr>
            <w:rStyle w:val="Hyperlink"/>
            <w:rFonts w:ascii="Times New Roman" w:hAnsi="Times New Roman" w:cs="Times New Roman"/>
          </w:rPr>
          <w:t>106 P.3d 867</w:t>
        </w:r>
      </w:hyperlink>
      <w:r w:rsidRPr="00444E48">
        <w:rPr>
          <w:rFonts w:ascii="Times New Roman" w:hAnsi="Times New Roman" w:cs="Times New Roman"/>
        </w:rPr>
        <w:t xml:space="preserve"> (Wyo. 2005)</w:t>
      </w:r>
    </w:p>
  </w:footnote>
  <w:footnote w:id="353">
    <w:p w14:paraId="169E2846" w14:textId="62EEDE9E" w:rsidR="00336EDF" w:rsidRDefault="00336EDF" w:rsidP="002131AC">
      <w:pPr>
        <w:pStyle w:val="FootnoteText"/>
        <w:jc w:val="both"/>
      </w:pPr>
      <w:r w:rsidRPr="002131AC">
        <w:rPr>
          <w:rStyle w:val="FootnoteReference"/>
          <w:rFonts w:ascii="Times New Roman" w:hAnsi="Times New Roman" w:cs="Times New Roman"/>
        </w:rPr>
        <w:footnoteRef/>
      </w:r>
      <w:r>
        <w:t xml:space="preserve"> </w:t>
      </w:r>
      <w:bookmarkStart w:id="491" w:name="f331"/>
      <w:bookmarkEnd w:id="491"/>
      <w:r>
        <w:fldChar w:fldCharType="begin"/>
      </w:r>
      <w:r>
        <w:instrText xml:space="preserve"> HYPERLINK "https://www.leagle.com/decision/inwyco20110824f92" </w:instrText>
      </w:r>
      <w:r>
        <w:fldChar w:fldCharType="separate"/>
      </w:r>
      <w:r w:rsidRPr="00223B11">
        <w:rPr>
          <w:rStyle w:val="Hyperlink"/>
          <w:rFonts w:ascii="Times New Roman" w:hAnsi="Times New Roman" w:cs="Times New Roman"/>
        </w:rPr>
        <w:t>259 P.3d 1170</w:t>
      </w:r>
      <w:r>
        <w:rPr>
          <w:rStyle w:val="Hyperlink"/>
          <w:rFonts w:ascii="Times New Roman" w:hAnsi="Times New Roman" w:cs="Times New Roman"/>
        </w:rPr>
        <w:fldChar w:fldCharType="end"/>
      </w:r>
      <w:r w:rsidRPr="002131AC">
        <w:rPr>
          <w:rFonts w:ascii="Times New Roman" w:hAnsi="Times New Roman" w:cs="Times New Roman"/>
        </w:rPr>
        <w:t xml:space="preserve"> (Wyo. 2011)</w:t>
      </w:r>
    </w:p>
  </w:footnote>
  <w:footnote w:id="354">
    <w:p w14:paraId="0A561018" w14:textId="5420D47E" w:rsidR="00336EDF" w:rsidRDefault="00336EDF">
      <w:pPr>
        <w:pStyle w:val="FootnoteText"/>
      </w:pPr>
      <w:r w:rsidRPr="002131AC">
        <w:rPr>
          <w:rStyle w:val="FootnoteReference"/>
          <w:rFonts w:ascii="Times New Roman" w:hAnsi="Times New Roman" w:cs="Times New Roman"/>
        </w:rPr>
        <w:footnoteRef/>
      </w:r>
      <w:r w:rsidRPr="002131AC">
        <w:rPr>
          <w:rStyle w:val="FootnoteReference"/>
          <w:rFonts w:ascii="Times New Roman" w:hAnsi="Times New Roman" w:cs="Times New Roman"/>
        </w:rPr>
        <w:t xml:space="preserve"> </w:t>
      </w:r>
      <w:bookmarkStart w:id="492" w:name="f332"/>
      <w:bookmarkEnd w:id="492"/>
      <w:r w:rsidRPr="002131AC">
        <w:rPr>
          <w:rFonts w:ascii="Times New Roman" w:hAnsi="Times New Roman" w:cs="Times New Roman"/>
          <w:i/>
        </w:rPr>
        <w:t>Id.</w:t>
      </w:r>
    </w:p>
  </w:footnote>
  <w:footnote w:id="355">
    <w:p w14:paraId="4AFB4206" w14:textId="31EE3949" w:rsidR="00336EDF" w:rsidRDefault="00336EDF">
      <w:pPr>
        <w:pStyle w:val="FootnoteText"/>
      </w:pPr>
      <w:r w:rsidRPr="002131AC">
        <w:rPr>
          <w:rStyle w:val="FootnoteReference"/>
          <w:rFonts w:ascii="Times New Roman" w:hAnsi="Times New Roman" w:cs="Times New Roman"/>
        </w:rPr>
        <w:footnoteRef/>
      </w:r>
      <w:r w:rsidRPr="002131AC">
        <w:rPr>
          <w:rStyle w:val="FootnoteReference"/>
          <w:rFonts w:ascii="Times New Roman" w:hAnsi="Times New Roman" w:cs="Times New Roman"/>
        </w:rPr>
        <w:t xml:space="preserve"> </w:t>
      </w:r>
      <w:bookmarkStart w:id="493" w:name="f333"/>
      <w:bookmarkEnd w:id="493"/>
      <w:r w:rsidRPr="002131AC">
        <w:rPr>
          <w:rFonts w:ascii="Times New Roman" w:hAnsi="Times New Roman" w:cs="Times New Roman"/>
          <w:i/>
        </w:rPr>
        <w:t xml:space="preserve">Id. </w:t>
      </w:r>
      <w:r w:rsidRPr="002131AC">
        <w:rPr>
          <w:rFonts w:ascii="Times New Roman" w:hAnsi="Times New Roman" w:cs="Times New Roman"/>
        </w:rPr>
        <w:t>at 1175-1178</w:t>
      </w:r>
    </w:p>
  </w:footnote>
  <w:footnote w:id="356">
    <w:p w14:paraId="1A2EA4CF" w14:textId="7334A29C" w:rsidR="00336EDF" w:rsidRDefault="00336EDF">
      <w:pPr>
        <w:pStyle w:val="FootnoteText"/>
      </w:pPr>
      <w:r w:rsidRPr="005E69E2">
        <w:rPr>
          <w:rStyle w:val="FootnoteReference"/>
          <w:rFonts w:ascii="Times New Roman" w:hAnsi="Times New Roman" w:cs="Times New Roman"/>
        </w:rPr>
        <w:footnoteRef/>
      </w:r>
      <w:r>
        <w:t xml:space="preserve"> </w:t>
      </w:r>
      <w:bookmarkStart w:id="495" w:name="f334"/>
      <w:bookmarkEnd w:id="495"/>
      <w:r w:rsidRPr="005E69E2">
        <w:rPr>
          <w:rFonts w:ascii="Times New Roman" w:hAnsi="Times New Roman" w:cs="Times New Roman"/>
        </w:rPr>
        <w:t xml:space="preserve">Boode v. Allied Mutual Ins. Co., </w:t>
      </w:r>
      <w:hyperlink r:id="rId154" w:history="1">
        <w:r w:rsidRPr="00223B11">
          <w:rPr>
            <w:rStyle w:val="Hyperlink"/>
            <w:rFonts w:ascii="Times New Roman" w:hAnsi="Times New Roman" w:cs="Times New Roman"/>
          </w:rPr>
          <w:t>458 P.2d 653</w:t>
        </w:r>
      </w:hyperlink>
      <w:r w:rsidRPr="005E69E2">
        <w:rPr>
          <w:rFonts w:ascii="Times New Roman" w:hAnsi="Times New Roman" w:cs="Times New Roman"/>
        </w:rPr>
        <w:t>, 657 (Wyo.1969)</w:t>
      </w:r>
    </w:p>
  </w:footnote>
  <w:footnote w:id="357">
    <w:p w14:paraId="27A70C30" w14:textId="7C4B8CA9" w:rsidR="00336EDF" w:rsidRDefault="00336EDF">
      <w:pPr>
        <w:pStyle w:val="FootnoteText"/>
      </w:pPr>
      <w:r w:rsidRPr="004A0195">
        <w:rPr>
          <w:rStyle w:val="FootnoteReference"/>
          <w:rFonts w:ascii="Times New Roman" w:hAnsi="Times New Roman" w:cs="Times New Roman"/>
        </w:rPr>
        <w:footnoteRef/>
      </w:r>
      <w:bookmarkStart w:id="497" w:name="f335"/>
      <w:bookmarkEnd w:id="497"/>
      <w:r w:rsidRPr="004A0195">
        <w:rPr>
          <w:rStyle w:val="FootnoteReference"/>
          <w:rFonts w:ascii="Times New Roman" w:hAnsi="Times New Roman" w:cs="Times New Roman"/>
        </w:rPr>
        <w:t xml:space="preserve"> </w:t>
      </w:r>
      <w:bookmarkStart w:id="498" w:name="_Hlk520364761"/>
      <w:r>
        <w:rPr>
          <w:rFonts w:ascii="Times New Roman" w:hAnsi="Times New Roman" w:cs="Times New Roman"/>
        </w:rPr>
        <w:fldChar w:fldCharType="begin"/>
      </w:r>
      <w:r>
        <w:rPr>
          <w:rFonts w:ascii="Times New Roman" w:hAnsi="Times New Roman" w:cs="Times New Roman"/>
        </w:rPr>
        <w:instrText xml:space="preserve"> HYPERLINK "https://www.courtlistener.com/opinion/1294529/wyoming-state-treas-ex-rel-work-comp-d-v-boston/" </w:instrText>
      </w:r>
      <w:r>
        <w:rPr>
          <w:rFonts w:ascii="Times New Roman" w:hAnsi="Times New Roman" w:cs="Times New Roman"/>
        </w:rPr>
        <w:fldChar w:fldCharType="separate"/>
      </w:r>
      <w:r w:rsidRPr="00223B11">
        <w:rPr>
          <w:rStyle w:val="Hyperlink"/>
          <w:rFonts w:ascii="Times New Roman" w:hAnsi="Times New Roman" w:cs="Times New Roman"/>
        </w:rPr>
        <w:t>445 P.2d 548</w:t>
      </w:r>
      <w:r>
        <w:rPr>
          <w:rFonts w:ascii="Times New Roman" w:hAnsi="Times New Roman" w:cs="Times New Roman"/>
        </w:rPr>
        <w:fldChar w:fldCharType="end"/>
      </w:r>
      <w:r w:rsidRPr="004A0195">
        <w:rPr>
          <w:rFonts w:ascii="Times New Roman" w:hAnsi="Times New Roman" w:cs="Times New Roman"/>
        </w:rPr>
        <w:t xml:space="preserve"> (Wyo. 1968)</w:t>
      </w:r>
    </w:p>
    <w:bookmarkEnd w:id="498"/>
  </w:footnote>
  <w:footnote w:id="358">
    <w:p w14:paraId="40C9B124" w14:textId="4A0B4844" w:rsidR="00336EDF" w:rsidRDefault="00336EDF">
      <w:pPr>
        <w:pStyle w:val="FootnoteText"/>
      </w:pPr>
      <w:r w:rsidRPr="00234678">
        <w:rPr>
          <w:rStyle w:val="FootnoteReference"/>
          <w:rFonts w:ascii="Times New Roman" w:hAnsi="Times New Roman" w:cs="Times New Roman"/>
        </w:rPr>
        <w:footnoteRef/>
      </w:r>
      <w:r w:rsidRPr="00234678">
        <w:rPr>
          <w:rStyle w:val="FootnoteReference"/>
          <w:rFonts w:ascii="Times New Roman" w:hAnsi="Times New Roman" w:cs="Times New Roman"/>
        </w:rPr>
        <w:t xml:space="preserve"> </w:t>
      </w:r>
      <w:bookmarkStart w:id="499" w:name="f336"/>
      <w:bookmarkEnd w:id="499"/>
      <w:r w:rsidRPr="00234678">
        <w:rPr>
          <w:rFonts w:ascii="Times New Roman" w:hAnsi="Times New Roman" w:cs="Times New Roman"/>
        </w:rPr>
        <w:t xml:space="preserve">Probably six beers over a five-hour period. </w:t>
      </w:r>
      <w:r w:rsidRPr="00E9056D">
        <w:rPr>
          <w:rFonts w:ascii="Times New Roman" w:hAnsi="Times New Roman" w:cs="Times New Roman"/>
          <w:i/>
        </w:rPr>
        <w:t>Id</w:t>
      </w:r>
      <w:r w:rsidRPr="00234678">
        <w:rPr>
          <w:rFonts w:ascii="Times New Roman" w:hAnsi="Times New Roman" w:cs="Times New Roman"/>
        </w:rPr>
        <w:t>. at 552.</w:t>
      </w:r>
      <w:r>
        <w:t xml:space="preserve"> </w:t>
      </w:r>
    </w:p>
  </w:footnote>
  <w:footnote w:id="359">
    <w:p w14:paraId="68BEB0FC" w14:textId="407BCEBE" w:rsidR="00336EDF" w:rsidRDefault="00336EDF">
      <w:pPr>
        <w:pStyle w:val="FootnoteText"/>
      </w:pPr>
      <w:r w:rsidRPr="00234678">
        <w:rPr>
          <w:rStyle w:val="FootnoteReference"/>
          <w:rFonts w:ascii="Times New Roman" w:hAnsi="Times New Roman" w:cs="Times New Roman"/>
        </w:rPr>
        <w:footnoteRef/>
      </w:r>
      <w:r>
        <w:t xml:space="preserve"> </w:t>
      </w:r>
      <w:bookmarkStart w:id="500" w:name="f337"/>
      <w:bookmarkEnd w:id="500"/>
      <w:r w:rsidRPr="00234678">
        <w:rPr>
          <w:rFonts w:ascii="Times New Roman" w:hAnsi="Times New Roman" w:cs="Times New Roman"/>
          <w:i/>
        </w:rPr>
        <w:t>Id</w:t>
      </w:r>
      <w:r w:rsidRPr="00234678">
        <w:rPr>
          <w:rFonts w:ascii="Times New Roman" w:hAnsi="Times New Roman" w:cs="Times New Roman"/>
        </w:rPr>
        <w:t>.</w:t>
      </w:r>
    </w:p>
  </w:footnote>
  <w:footnote w:id="360">
    <w:p w14:paraId="55039F54" w14:textId="344BAB97" w:rsidR="00336EDF" w:rsidRDefault="00336EDF">
      <w:pPr>
        <w:pStyle w:val="FootnoteText"/>
      </w:pPr>
      <w:r w:rsidRPr="00234678">
        <w:rPr>
          <w:rStyle w:val="FootnoteReference"/>
          <w:rFonts w:ascii="Times New Roman" w:hAnsi="Times New Roman" w:cs="Times New Roman"/>
        </w:rPr>
        <w:footnoteRef/>
      </w:r>
      <w:r w:rsidRPr="00234678">
        <w:rPr>
          <w:rStyle w:val="FootnoteReference"/>
          <w:rFonts w:ascii="Times New Roman" w:hAnsi="Times New Roman" w:cs="Times New Roman"/>
        </w:rPr>
        <w:t xml:space="preserve"> </w:t>
      </w:r>
      <w:bookmarkStart w:id="501" w:name="f338"/>
      <w:bookmarkEnd w:id="501"/>
      <w:r w:rsidRPr="00234678">
        <w:rPr>
          <w:rFonts w:ascii="Times New Roman" w:hAnsi="Times New Roman" w:cs="Times New Roman"/>
          <w:i/>
        </w:rPr>
        <w:t>Id</w:t>
      </w:r>
      <w:r w:rsidRPr="00234678">
        <w:rPr>
          <w:rFonts w:ascii="Times New Roman" w:hAnsi="Times New Roman" w:cs="Times New Roman"/>
        </w:rPr>
        <w:t>. at 551</w:t>
      </w:r>
    </w:p>
  </w:footnote>
  <w:footnote w:id="361">
    <w:p w14:paraId="3F0F6D32" w14:textId="7D62D803" w:rsidR="00336EDF" w:rsidRDefault="00336EDF">
      <w:pPr>
        <w:pStyle w:val="FootnoteText"/>
      </w:pPr>
      <w:r w:rsidRPr="00AE6727">
        <w:rPr>
          <w:rStyle w:val="FootnoteReference"/>
          <w:rFonts w:ascii="Times New Roman" w:hAnsi="Times New Roman" w:cs="Times New Roman"/>
        </w:rPr>
        <w:footnoteRef/>
      </w:r>
      <w:r w:rsidRPr="00AE6727">
        <w:rPr>
          <w:rStyle w:val="FootnoteReference"/>
          <w:rFonts w:ascii="Times New Roman" w:hAnsi="Times New Roman" w:cs="Times New Roman"/>
        </w:rPr>
        <w:t xml:space="preserve"> </w:t>
      </w:r>
      <w:bookmarkStart w:id="504" w:name="f339"/>
      <w:bookmarkStart w:id="505" w:name="_Hlk520362970"/>
      <w:bookmarkEnd w:id="504"/>
      <w:r>
        <w:rPr>
          <w:rFonts w:ascii="Times New Roman" w:hAnsi="Times New Roman" w:cs="Times New Roman"/>
        </w:rPr>
        <w:fldChar w:fldCharType="begin"/>
      </w:r>
      <w:r>
        <w:rPr>
          <w:rFonts w:ascii="Times New Roman" w:hAnsi="Times New Roman" w:cs="Times New Roman"/>
        </w:rPr>
        <w:instrText xml:space="preserve"> HYPERLINK "https://www.courtlistener.com/opinion/2583783/shelest-v-wyoming-workerssafety/" </w:instrText>
      </w:r>
      <w:r>
        <w:rPr>
          <w:rFonts w:ascii="Times New Roman" w:hAnsi="Times New Roman" w:cs="Times New Roman"/>
        </w:rPr>
        <w:fldChar w:fldCharType="separate"/>
      </w:r>
      <w:r w:rsidRPr="00223B11">
        <w:rPr>
          <w:rStyle w:val="Hyperlink"/>
          <w:rFonts w:ascii="Times New Roman" w:hAnsi="Times New Roman" w:cs="Times New Roman"/>
        </w:rPr>
        <w:t>222 P.3d 167</w:t>
      </w:r>
      <w:r>
        <w:rPr>
          <w:rFonts w:ascii="Times New Roman" w:hAnsi="Times New Roman" w:cs="Times New Roman"/>
        </w:rPr>
        <w:fldChar w:fldCharType="end"/>
      </w:r>
      <w:r w:rsidRPr="00AE6727">
        <w:rPr>
          <w:rFonts w:ascii="Times New Roman" w:hAnsi="Times New Roman" w:cs="Times New Roman"/>
        </w:rPr>
        <w:t xml:space="preserve"> (Wyo. 2010)</w:t>
      </w:r>
      <w:bookmarkEnd w:id="505"/>
    </w:p>
  </w:footnote>
  <w:footnote w:id="362">
    <w:p w14:paraId="2D7477EF" w14:textId="4B3C6B92" w:rsidR="00336EDF" w:rsidRDefault="00336EDF">
      <w:pPr>
        <w:pStyle w:val="FootnoteText"/>
      </w:pPr>
      <w:r w:rsidRPr="004A0195">
        <w:rPr>
          <w:rStyle w:val="FootnoteReference"/>
          <w:rFonts w:ascii="Times New Roman" w:hAnsi="Times New Roman" w:cs="Times New Roman"/>
        </w:rPr>
        <w:footnoteRef/>
      </w:r>
      <w:r w:rsidRPr="00234678">
        <w:rPr>
          <w:rStyle w:val="FootnoteReference"/>
          <w:rFonts w:ascii="Times New Roman" w:hAnsi="Times New Roman" w:cs="Times New Roman"/>
        </w:rPr>
        <w:t xml:space="preserve"> </w:t>
      </w:r>
      <w:bookmarkStart w:id="506" w:name="f340"/>
      <w:bookmarkEnd w:id="506"/>
      <w:r w:rsidRPr="002B609A">
        <w:rPr>
          <w:rFonts w:ascii="Times New Roman" w:hAnsi="Times New Roman" w:cs="Times New Roman"/>
          <w:i/>
          <w:iCs/>
        </w:rPr>
        <w:t>Id</w:t>
      </w:r>
      <w:r>
        <w:rPr>
          <w:rFonts w:ascii="Times New Roman" w:hAnsi="Times New Roman" w:cs="Times New Roman"/>
        </w:rPr>
        <w:t>. at 169</w:t>
      </w:r>
    </w:p>
  </w:footnote>
  <w:footnote w:id="363">
    <w:p w14:paraId="5D83E16E" w14:textId="51BDDDDD" w:rsidR="00336EDF" w:rsidRDefault="00336EDF">
      <w:pPr>
        <w:pStyle w:val="FootnoteText"/>
      </w:pPr>
      <w:r w:rsidRPr="00AE6727">
        <w:rPr>
          <w:rStyle w:val="FootnoteReference"/>
          <w:rFonts w:ascii="Times New Roman" w:hAnsi="Times New Roman" w:cs="Times New Roman"/>
        </w:rPr>
        <w:footnoteRef/>
      </w:r>
      <w:r w:rsidRPr="00AE6727">
        <w:rPr>
          <w:rFonts w:ascii="Times New Roman" w:hAnsi="Times New Roman" w:cs="Times New Roman"/>
        </w:rPr>
        <w:t xml:space="preserve"> </w:t>
      </w:r>
      <w:bookmarkStart w:id="507" w:name="f341"/>
      <w:bookmarkEnd w:id="507"/>
      <w:r w:rsidRPr="00922A3D">
        <w:rPr>
          <w:rFonts w:ascii="Times New Roman" w:hAnsi="Times New Roman" w:cs="Times New Roman"/>
          <w:i/>
        </w:rPr>
        <w:t>Id.</w:t>
      </w:r>
      <w:r w:rsidRPr="00AE6727">
        <w:rPr>
          <w:rFonts w:ascii="Times New Roman" w:hAnsi="Times New Roman" w:cs="Times New Roman"/>
        </w:rPr>
        <w:t xml:space="preserve"> </w:t>
      </w:r>
    </w:p>
  </w:footnote>
  <w:footnote w:id="364">
    <w:p w14:paraId="532D19A1" w14:textId="1484F363" w:rsidR="00336EDF" w:rsidRDefault="00336EDF">
      <w:pPr>
        <w:pStyle w:val="FootnoteText"/>
      </w:pPr>
      <w:r w:rsidRPr="00AE6727">
        <w:rPr>
          <w:rStyle w:val="FootnoteReference"/>
          <w:rFonts w:ascii="Times New Roman" w:hAnsi="Times New Roman" w:cs="Times New Roman"/>
        </w:rPr>
        <w:footnoteRef/>
      </w:r>
      <w:r>
        <w:t xml:space="preserve"> </w:t>
      </w:r>
      <w:bookmarkStart w:id="508" w:name="f342"/>
      <w:bookmarkEnd w:id="508"/>
      <w:r w:rsidRPr="00922A3D">
        <w:rPr>
          <w:rFonts w:ascii="Times New Roman" w:hAnsi="Times New Roman" w:cs="Times New Roman"/>
          <w:i/>
        </w:rPr>
        <w:t>Id</w:t>
      </w:r>
      <w:r w:rsidRPr="00AE6727">
        <w:rPr>
          <w:rFonts w:ascii="Times New Roman" w:hAnsi="Times New Roman" w:cs="Times New Roman"/>
        </w:rPr>
        <w:t>. at 175</w:t>
      </w:r>
    </w:p>
  </w:footnote>
  <w:footnote w:id="365">
    <w:p w14:paraId="6F98BE29" w14:textId="29467549" w:rsidR="00336EDF" w:rsidRDefault="00336EDF">
      <w:pPr>
        <w:pStyle w:val="FootnoteText"/>
      </w:pPr>
      <w:r w:rsidRPr="00922A3D">
        <w:rPr>
          <w:rStyle w:val="FootnoteReference"/>
          <w:rFonts w:ascii="Times New Roman" w:hAnsi="Times New Roman" w:cs="Times New Roman"/>
        </w:rPr>
        <w:footnoteRef/>
      </w:r>
      <w:r>
        <w:t xml:space="preserve"> </w:t>
      </w:r>
      <w:bookmarkStart w:id="509" w:name="f343"/>
      <w:bookmarkEnd w:id="509"/>
      <w:r w:rsidRPr="00922A3D">
        <w:rPr>
          <w:rFonts w:ascii="Times New Roman" w:hAnsi="Times New Roman" w:cs="Times New Roman"/>
          <w:i/>
        </w:rPr>
        <w:t>Id</w:t>
      </w:r>
      <w:r w:rsidRPr="00922A3D">
        <w:rPr>
          <w:rFonts w:ascii="Times New Roman" w:hAnsi="Times New Roman" w:cs="Times New Roman"/>
        </w:rPr>
        <w:t>. at 175-176</w:t>
      </w:r>
    </w:p>
  </w:footnote>
  <w:footnote w:id="366">
    <w:p w14:paraId="334784EF" w14:textId="6F42F1A4" w:rsidR="00336EDF" w:rsidRDefault="00336EDF">
      <w:pPr>
        <w:pStyle w:val="FootnoteText"/>
      </w:pPr>
      <w:r w:rsidRPr="00A25156">
        <w:rPr>
          <w:rStyle w:val="FootnoteReference"/>
          <w:rFonts w:ascii="Times New Roman" w:hAnsi="Times New Roman" w:cs="Times New Roman"/>
        </w:rPr>
        <w:footnoteRef/>
      </w:r>
      <w:r>
        <w:t xml:space="preserve"> </w:t>
      </w:r>
      <w:bookmarkStart w:id="510" w:name="f344"/>
      <w:bookmarkEnd w:id="510"/>
      <w:r w:rsidRPr="00A25156">
        <w:rPr>
          <w:rFonts w:ascii="Times New Roman" w:hAnsi="Times New Roman" w:cs="Times New Roman"/>
          <w:i/>
        </w:rPr>
        <w:t>Id</w:t>
      </w:r>
      <w:r w:rsidRPr="00A25156">
        <w:rPr>
          <w:rFonts w:ascii="Times New Roman" w:hAnsi="Times New Roman" w:cs="Times New Roman"/>
        </w:rPr>
        <w:t>. at 171-172</w:t>
      </w:r>
      <w:r>
        <w:rPr>
          <w:rFonts w:ascii="Times New Roman" w:hAnsi="Times New Roman" w:cs="Times New Roman"/>
        </w:rPr>
        <w:t xml:space="preserve"> (Emphases supplied)</w:t>
      </w:r>
    </w:p>
  </w:footnote>
  <w:footnote w:id="367">
    <w:p w14:paraId="0C51E134" w14:textId="5EE230AC" w:rsidR="00336EDF" w:rsidRDefault="00336EDF">
      <w:pPr>
        <w:pStyle w:val="FootnoteText"/>
      </w:pPr>
      <w:r w:rsidRPr="00A25156">
        <w:rPr>
          <w:rStyle w:val="FootnoteReference"/>
          <w:rFonts w:ascii="Times New Roman" w:hAnsi="Times New Roman" w:cs="Times New Roman"/>
        </w:rPr>
        <w:footnoteRef/>
      </w:r>
      <w:r>
        <w:t xml:space="preserve"> </w:t>
      </w:r>
      <w:bookmarkStart w:id="511" w:name="f345"/>
      <w:bookmarkEnd w:id="511"/>
      <w:r w:rsidRPr="00A25156">
        <w:rPr>
          <w:rFonts w:ascii="Times New Roman" w:hAnsi="Times New Roman" w:cs="Times New Roman"/>
          <w:i/>
        </w:rPr>
        <w:t>Id</w:t>
      </w:r>
      <w:r w:rsidRPr="00A25156">
        <w:rPr>
          <w:rFonts w:ascii="Times New Roman" w:hAnsi="Times New Roman" w:cs="Times New Roman"/>
        </w:rPr>
        <w:t>. at 173</w:t>
      </w:r>
    </w:p>
  </w:footnote>
  <w:footnote w:id="368">
    <w:p w14:paraId="071E305C" w14:textId="3FDBF574" w:rsidR="00336EDF" w:rsidRDefault="00336EDF">
      <w:pPr>
        <w:pStyle w:val="FootnoteText"/>
      </w:pPr>
      <w:r w:rsidRPr="00FA4ABB">
        <w:rPr>
          <w:rStyle w:val="FootnoteReference"/>
          <w:rFonts w:ascii="Times New Roman" w:hAnsi="Times New Roman" w:cs="Times New Roman"/>
        </w:rPr>
        <w:footnoteRef/>
      </w:r>
      <w:r w:rsidRPr="00FA4ABB">
        <w:rPr>
          <w:rStyle w:val="FootnoteReference"/>
          <w:rFonts w:ascii="Times New Roman" w:hAnsi="Times New Roman" w:cs="Times New Roman"/>
        </w:rPr>
        <w:t xml:space="preserve"> </w:t>
      </w:r>
      <w:bookmarkStart w:id="512" w:name="f346"/>
      <w:bookmarkEnd w:id="512"/>
      <w:r w:rsidRPr="005D6D4A">
        <w:rPr>
          <w:rFonts w:ascii="Times New Roman" w:hAnsi="Times New Roman" w:cs="Times New Roman"/>
        </w:rPr>
        <w:t xml:space="preserve">3 </w:t>
      </w:r>
      <w:r w:rsidRPr="005D6D4A">
        <w:rPr>
          <w:rFonts w:ascii="Times New Roman" w:hAnsi="Times New Roman" w:cs="Times New Roman"/>
          <w:smallCaps/>
        </w:rPr>
        <w:t>Larson's Workers’ Compensation Law</w:t>
      </w:r>
      <w:r w:rsidRPr="005D6D4A">
        <w:rPr>
          <w:rFonts w:ascii="Times New Roman" w:hAnsi="Times New Roman" w:cs="Times New Roman"/>
        </w:rPr>
        <w:t xml:space="preserve"> § 32.01</w:t>
      </w:r>
    </w:p>
  </w:footnote>
  <w:footnote w:id="369">
    <w:p w14:paraId="00CE4179" w14:textId="2B4FA465" w:rsidR="00336EDF" w:rsidRDefault="00336EDF">
      <w:pPr>
        <w:pStyle w:val="FootnoteText"/>
      </w:pPr>
      <w:r w:rsidRPr="00E36454">
        <w:rPr>
          <w:rStyle w:val="FootnoteReference"/>
          <w:rFonts w:ascii="Times New Roman" w:hAnsi="Times New Roman" w:cs="Times New Roman"/>
        </w:rPr>
        <w:footnoteRef/>
      </w:r>
      <w:r w:rsidRPr="00E36454">
        <w:rPr>
          <w:rStyle w:val="FootnoteReference"/>
          <w:rFonts w:ascii="Times New Roman" w:hAnsi="Times New Roman" w:cs="Times New Roman"/>
        </w:rPr>
        <w:t xml:space="preserve"> </w:t>
      </w:r>
      <w:bookmarkStart w:id="513" w:name="f347"/>
      <w:bookmarkStart w:id="514" w:name="_Hlk520460532"/>
      <w:bookmarkEnd w:id="513"/>
      <w:r>
        <w:rPr>
          <w:rFonts w:ascii="Times New Roman" w:hAnsi="Times New Roman" w:cs="Times New Roman"/>
        </w:rPr>
        <w:fldChar w:fldCharType="begin"/>
      </w:r>
      <w:r>
        <w:rPr>
          <w:rFonts w:ascii="Times New Roman" w:hAnsi="Times New Roman" w:cs="Times New Roman"/>
        </w:rPr>
        <w:instrText xml:space="preserve"> HYPERLINK "https://casetext.com/case/matter-of-smith-421" </w:instrText>
      </w:r>
      <w:r>
        <w:rPr>
          <w:rFonts w:ascii="Times New Roman" w:hAnsi="Times New Roman" w:cs="Times New Roman"/>
        </w:rPr>
        <w:fldChar w:fldCharType="separate"/>
      </w:r>
      <w:r w:rsidRPr="002B609A">
        <w:rPr>
          <w:rStyle w:val="Hyperlink"/>
          <w:rFonts w:ascii="Times New Roman" w:hAnsi="Times New Roman" w:cs="Times New Roman"/>
        </w:rPr>
        <w:t>762 P.2d 1193</w:t>
      </w:r>
      <w:r>
        <w:rPr>
          <w:rFonts w:ascii="Times New Roman" w:hAnsi="Times New Roman" w:cs="Times New Roman"/>
        </w:rPr>
        <w:fldChar w:fldCharType="end"/>
      </w:r>
      <w:r w:rsidRPr="00E36454">
        <w:rPr>
          <w:rFonts w:ascii="Times New Roman" w:hAnsi="Times New Roman" w:cs="Times New Roman"/>
        </w:rPr>
        <w:t xml:space="preserve"> </w:t>
      </w:r>
      <w:bookmarkEnd w:id="514"/>
      <w:r w:rsidRPr="00E36454">
        <w:rPr>
          <w:rFonts w:ascii="Times New Roman" w:hAnsi="Times New Roman" w:cs="Times New Roman"/>
        </w:rPr>
        <w:t>(Wyo. 1988)</w:t>
      </w:r>
    </w:p>
  </w:footnote>
  <w:footnote w:id="370">
    <w:p w14:paraId="2C526B5D" w14:textId="6ECCE2F5" w:rsidR="00336EDF" w:rsidRDefault="00336EDF">
      <w:pPr>
        <w:pStyle w:val="FootnoteText"/>
      </w:pPr>
      <w:r w:rsidRPr="00926960">
        <w:rPr>
          <w:rStyle w:val="FootnoteReference"/>
          <w:rFonts w:ascii="Times New Roman" w:hAnsi="Times New Roman" w:cs="Times New Roman"/>
        </w:rPr>
        <w:footnoteRef/>
      </w:r>
      <w:r w:rsidRPr="00926960">
        <w:rPr>
          <w:rStyle w:val="FootnoteReference"/>
          <w:rFonts w:ascii="Times New Roman" w:hAnsi="Times New Roman" w:cs="Times New Roman"/>
          <w:i/>
        </w:rPr>
        <w:t xml:space="preserve"> </w:t>
      </w:r>
      <w:bookmarkStart w:id="515" w:name="f348"/>
      <w:bookmarkEnd w:id="515"/>
      <w:r w:rsidRPr="00926960">
        <w:rPr>
          <w:rFonts w:ascii="Times New Roman" w:hAnsi="Times New Roman" w:cs="Times New Roman"/>
          <w:i/>
        </w:rPr>
        <w:t>Id</w:t>
      </w:r>
      <w:r w:rsidRPr="00926960">
        <w:rPr>
          <w:rFonts w:ascii="Times New Roman" w:hAnsi="Times New Roman" w:cs="Times New Roman"/>
        </w:rPr>
        <w:t>. at 1195</w:t>
      </w:r>
    </w:p>
  </w:footnote>
  <w:footnote w:id="371">
    <w:p w14:paraId="3C229A25" w14:textId="78373A37" w:rsidR="00336EDF" w:rsidRDefault="00336EDF">
      <w:pPr>
        <w:pStyle w:val="FootnoteText"/>
      </w:pPr>
      <w:r w:rsidRPr="00926960">
        <w:rPr>
          <w:rStyle w:val="FootnoteReference"/>
          <w:rFonts w:ascii="Times New Roman" w:hAnsi="Times New Roman" w:cs="Times New Roman"/>
        </w:rPr>
        <w:footnoteRef/>
      </w:r>
      <w:bookmarkStart w:id="516" w:name="f349"/>
      <w:bookmarkEnd w:id="516"/>
      <w:r w:rsidRPr="00926960">
        <w:rPr>
          <w:i/>
        </w:rPr>
        <w:t xml:space="preserve"> </w:t>
      </w:r>
      <w:r w:rsidRPr="00926960">
        <w:rPr>
          <w:rFonts w:ascii="Times New Roman" w:hAnsi="Times New Roman" w:cs="Times New Roman"/>
          <w:i/>
        </w:rPr>
        <w:t>Id</w:t>
      </w:r>
      <w:r w:rsidRPr="00926960">
        <w:rPr>
          <w:rFonts w:ascii="Times New Roman" w:hAnsi="Times New Roman" w:cs="Times New Roman"/>
        </w:rPr>
        <w:t>.</w:t>
      </w:r>
    </w:p>
  </w:footnote>
  <w:footnote w:id="372">
    <w:p w14:paraId="08E024CE" w14:textId="5A25D500" w:rsidR="00336EDF" w:rsidRDefault="00336EDF">
      <w:pPr>
        <w:pStyle w:val="FootnoteText"/>
      </w:pPr>
      <w:r w:rsidRPr="00926960">
        <w:rPr>
          <w:rStyle w:val="FootnoteReference"/>
          <w:rFonts w:ascii="Times New Roman" w:hAnsi="Times New Roman" w:cs="Times New Roman"/>
        </w:rPr>
        <w:footnoteRef/>
      </w:r>
      <w:r w:rsidRPr="00926960">
        <w:rPr>
          <w:rStyle w:val="FootnoteReference"/>
          <w:rFonts w:ascii="Times New Roman" w:hAnsi="Times New Roman" w:cs="Times New Roman"/>
        </w:rPr>
        <w:t xml:space="preserve"> </w:t>
      </w:r>
      <w:bookmarkStart w:id="517" w:name="f350"/>
      <w:bookmarkEnd w:id="517"/>
      <w:r w:rsidRPr="00926960">
        <w:rPr>
          <w:rFonts w:ascii="Times New Roman" w:hAnsi="Times New Roman" w:cs="Times New Roman"/>
          <w:i/>
        </w:rPr>
        <w:t>Id</w:t>
      </w:r>
      <w:r w:rsidRPr="00926960">
        <w:rPr>
          <w:rFonts w:ascii="Times New Roman" w:hAnsi="Times New Roman" w:cs="Times New Roman"/>
        </w:rPr>
        <w:t>. at 1195-1196</w:t>
      </w:r>
    </w:p>
  </w:footnote>
  <w:footnote w:id="373">
    <w:p w14:paraId="351C65AA" w14:textId="6D50058B" w:rsidR="00336EDF" w:rsidRPr="00097D47" w:rsidRDefault="00336EDF" w:rsidP="00097D47">
      <w:pPr>
        <w:pStyle w:val="FootnoteText"/>
        <w:jc w:val="both"/>
        <w:rPr>
          <w:rFonts w:ascii="Times New Roman" w:hAnsi="Times New Roman" w:cs="Times New Roman"/>
        </w:rPr>
      </w:pPr>
      <w:r w:rsidRPr="00097D47">
        <w:rPr>
          <w:rStyle w:val="FootnoteReference"/>
          <w:rFonts w:ascii="Times New Roman" w:hAnsi="Times New Roman" w:cs="Times New Roman"/>
        </w:rPr>
        <w:footnoteRef/>
      </w:r>
      <w:bookmarkStart w:id="518" w:name="f351"/>
      <w:bookmarkEnd w:id="518"/>
      <w:r w:rsidRPr="00097D47">
        <w:rPr>
          <w:rFonts w:ascii="Times New Roman" w:hAnsi="Times New Roman" w:cs="Times New Roman"/>
        </w:rPr>
        <w:t xml:space="preserve"> </w:t>
      </w:r>
      <w:r>
        <w:rPr>
          <w:rFonts w:ascii="Times New Roman" w:hAnsi="Times New Roman" w:cs="Times New Roman"/>
        </w:rPr>
        <w:t>“</w:t>
      </w:r>
      <w:r w:rsidRPr="00097D47">
        <w:rPr>
          <w:rFonts w:ascii="Times New Roman" w:hAnsi="Times New Roman" w:cs="Times New Roman"/>
        </w:rPr>
        <w:t>At the time Smith was decided the district court sat as the fact finder. The worker's compensation system was subsequently revised by the legislature, and OAH was designated to conduct the contested case proceedings under the Worker's Compensation Act.</w:t>
      </w:r>
      <w:r>
        <w:rPr>
          <w:rFonts w:ascii="Times New Roman" w:hAnsi="Times New Roman" w:cs="Times New Roman"/>
        </w:rPr>
        <w:t xml:space="preserve">” </w:t>
      </w:r>
      <w:r w:rsidRPr="00480950">
        <w:rPr>
          <w:rFonts w:ascii="Times New Roman" w:hAnsi="Times New Roman" w:cs="Times New Roman"/>
        </w:rPr>
        <w:t>Perry v. Workers</w:t>
      </w:r>
      <w:r>
        <w:rPr>
          <w:rFonts w:ascii="Times New Roman" w:hAnsi="Times New Roman" w:cs="Times New Roman"/>
        </w:rPr>
        <w:t xml:space="preserve">’ </w:t>
      </w:r>
      <w:r w:rsidRPr="00480950">
        <w:rPr>
          <w:rFonts w:ascii="Times New Roman" w:hAnsi="Times New Roman" w:cs="Times New Roman"/>
        </w:rPr>
        <w:t xml:space="preserve">Safety </w:t>
      </w:r>
      <w:r>
        <w:rPr>
          <w:rFonts w:ascii="Times New Roman" w:hAnsi="Times New Roman" w:cs="Times New Roman"/>
        </w:rPr>
        <w:t>&amp;</w:t>
      </w:r>
      <w:r w:rsidRPr="00480950">
        <w:rPr>
          <w:rFonts w:ascii="Times New Roman" w:hAnsi="Times New Roman" w:cs="Times New Roman"/>
        </w:rPr>
        <w:t xml:space="preserve"> Compensation Div.</w:t>
      </w:r>
      <w:r>
        <w:rPr>
          <w:rFonts w:ascii="Times New Roman" w:hAnsi="Times New Roman" w:cs="Times New Roman"/>
        </w:rPr>
        <w:t xml:space="preserve">, </w:t>
      </w:r>
      <w:hyperlink r:id="rId155" w:history="1">
        <w:r w:rsidRPr="002B609A">
          <w:rPr>
            <w:rStyle w:val="Hyperlink"/>
            <w:rFonts w:ascii="Times New Roman" w:hAnsi="Times New Roman" w:cs="Times New Roman"/>
          </w:rPr>
          <w:t>134 P.3d 1242</w:t>
        </w:r>
      </w:hyperlink>
      <w:r>
        <w:rPr>
          <w:rFonts w:ascii="Times New Roman" w:hAnsi="Times New Roman" w:cs="Times New Roman"/>
        </w:rPr>
        <w:t>, 1246, n.1 (Wyo. 2006)</w:t>
      </w:r>
    </w:p>
  </w:footnote>
  <w:footnote w:id="374">
    <w:p w14:paraId="63A08FCD" w14:textId="5508AD39" w:rsidR="00336EDF" w:rsidRDefault="00336EDF">
      <w:pPr>
        <w:pStyle w:val="FootnoteText"/>
      </w:pPr>
      <w:r w:rsidRPr="00926960">
        <w:rPr>
          <w:rStyle w:val="FootnoteReference"/>
          <w:rFonts w:ascii="Times New Roman" w:hAnsi="Times New Roman" w:cs="Times New Roman"/>
        </w:rPr>
        <w:footnoteRef/>
      </w:r>
      <w:bookmarkStart w:id="519" w:name="f352"/>
      <w:bookmarkEnd w:id="519"/>
      <w:r w:rsidRPr="00926960">
        <w:rPr>
          <w:i/>
        </w:rPr>
        <w:t xml:space="preserve"> </w:t>
      </w:r>
      <w:r w:rsidRPr="00926960">
        <w:rPr>
          <w:rFonts w:ascii="Times New Roman" w:hAnsi="Times New Roman" w:cs="Times New Roman"/>
          <w:i/>
        </w:rPr>
        <w:t>Id</w:t>
      </w:r>
      <w:r w:rsidRPr="00926960">
        <w:rPr>
          <w:rFonts w:ascii="Times New Roman" w:hAnsi="Times New Roman" w:cs="Times New Roman"/>
        </w:rPr>
        <w:t>. at 1196</w:t>
      </w:r>
    </w:p>
  </w:footnote>
  <w:footnote w:id="375">
    <w:p w14:paraId="6E38D4CD" w14:textId="2B3FDFC5" w:rsidR="00336EDF" w:rsidRDefault="00336EDF">
      <w:pPr>
        <w:pStyle w:val="FootnoteText"/>
      </w:pPr>
      <w:r w:rsidRPr="006125F6">
        <w:rPr>
          <w:rStyle w:val="FootnoteReference"/>
          <w:rFonts w:ascii="Times New Roman" w:hAnsi="Times New Roman" w:cs="Times New Roman"/>
        </w:rPr>
        <w:footnoteRef/>
      </w:r>
      <w:r>
        <w:t xml:space="preserve"> </w:t>
      </w:r>
      <w:bookmarkStart w:id="521" w:name="f353"/>
      <w:bookmarkEnd w:id="521"/>
      <w:r w:rsidRPr="006125F6">
        <w:rPr>
          <w:rFonts w:ascii="Times New Roman" w:hAnsi="Times New Roman" w:cs="Times New Roman"/>
          <w:i/>
        </w:rPr>
        <w:t>Id</w:t>
      </w:r>
      <w:r w:rsidRPr="006125F6">
        <w:rPr>
          <w:rFonts w:ascii="Times New Roman" w:hAnsi="Times New Roman" w:cs="Times New Roman"/>
        </w:rPr>
        <w:t>. at 1196-1197</w:t>
      </w:r>
    </w:p>
  </w:footnote>
  <w:footnote w:id="376">
    <w:p w14:paraId="2817214D" w14:textId="26BE54A2" w:rsidR="00336EDF" w:rsidRPr="00CA2EF5" w:rsidRDefault="00336EDF">
      <w:pPr>
        <w:pStyle w:val="FootnoteText"/>
      </w:pPr>
      <w:r w:rsidRPr="006125F6">
        <w:rPr>
          <w:rStyle w:val="FootnoteReference"/>
          <w:rFonts w:ascii="Times New Roman" w:hAnsi="Times New Roman" w:cs="Times New Roman"/>
        </w:rPr>
        <w:footnoteRef/>
      </w:r>
      <w:r>
        <w:t xml:space="preserve"> </w:t>
      </w:r>
      <w:bookmarkStart w:id="522" w:name="f354"/>
      <w:bookmarkEnd w:id="522"/>
      <w:r>
        <w:rPr>
          <w:rFonts w:ascii="Times New Roman" w:hAnsi="Times New Roman" w:cs="Times New Roman"/>
        </w:rPr>
        <w:fldChar w:fldCharType="begin"/>
      </w:r>
      <w:r>
        <w:rPr>
          <w:rFonts w:ascii="Times New Roman" w:hAnsi="Times New Roman" w:cs="Times New Roman"/>
        </w:rPr>
        <w:instrText xml:space="preserve"> HYPERLINK "https://www.leagle.com/decision/20061376134p3d124211372" </w:instrText>
      </w:r>
      <w:r>
        <w:rPr>
          <w:rFonts w:ascii="Times New Roman" w:hAnsi="Times New Roman" w:cs="Times New Roman"/>
        </w:rPr>
        <w:fldChar w:fldCharType="separate"/>
      </w:r>
      <w:r w:rsidRPr="00CA2EF5">
        <w:rPr>
          <w:rStyle w:val="Hyperlink"/>
          <w:rFonts w:ascii="Times New Roman" w:hAnsi="Times New Roman" w:cs="Times New Roman"/>
        </w:rPr>
        <w:t>134 P.3d 1242</w:t>
      </w:r>
      <w:r>
        <w:rPr>
          <w:rFonts w:ascii="Times New Roman" w:hAnsi="Times New Roman" w:cs="Times New Roman"/>
        </w:rPr>
        <w:fldChar w:fldCharType="end"/>
      </w:r>
      <w:r>
        <w:rPr>
          <w:rFonts w:ascii="Times New Roman" w:hAnsi="Times New Roman" w:cs="Times New Roman"/>
        </w:rPr>
        <w:t xml:space="preserve"> (Wyo. 2006)</w:t>
      </w:r>
    </w:p>
  </w:footnote>
  <w:footnote w:id="377">
    <w:p w14:paraId="73438A16" w14:textId="472E3CC9" w:rsidR="00336EDF" w:rsidRDefault="00336EDF">
      <w:pPr>
        <w:pStyle w:val="FootnoteText"/>
      </w:pPr>
      <w:r w:rsidRPr="0008136C">
        <w:rPr>
          <w:rStyle w:val="FootnoteReference"/>
          <w:rFonts w:ascii="Times New Roman" w:hAnsi="Times New Roman" w:cs="Times New Roman"/>
        </w:rPr>
        <w:footnoteRef/>
      </w:r>
      <w:r>
        <w:t xml:space="preserve"> </w:t>
      </w:r>
      <w:bookmarkStart w:id="523" w:name="f355"/>
      <w:bookmarkEnd w:id="523"/>
      <w:r w:rsidRPr="0008136C">
        <w:rPr>
          <w:rFonts w:ascii="Times New Roman" w:hAnsi="Times New Roman" w:cs="Times New Roman"/>
          <w:i/>
        </w:rPr>
        <w:t>Id</w:t>
      </w:r>
      <w:r w:rsidRPr="0008136C">
        <w:rPr>
          <w:rFonts w:ascii="Times New Roman" w:hAnsi="Times New Roman" w:cs="Times New Roman"/>
        </w:rPr>
        <w:t>. at 1244</w:t>
      </w:r>
    </w:p>
  </w:footnote>
  <w:footnote w:id="378">
    <w:p w14:paraId="7A63402E" w14:textId="6324F66F" w:rsidR="00336EDF" w:rsidRDefault="00336EDF">
      <w:pPr>
        <w:pStyle w:val="FootnoteText"/>
      </w:pPr>
      <w:r w:rsidRPr="00097D47">
        <w:rPr>
          <w:rStyle w:val="FootnoteReference"/>
          <w:rFonts w:ascii="Times New Roman" w:hAnsi="Times New Roman" w:cs="Times New Roman"/>
        </w:rPr>
        <w:footnoteRef/>
      </w:r>
      <w:r w:rsidRPr="00097D47">
        <w:rPr>
          <w:i/>
        </w:rPr>
        <w:t xml:space="preserve"> </w:t>
      </w:r>
      <w:bookmarkStart w:id="524" w:name="f356"/>
      <w:bookmarkEnd w:id="524"/>
      <w:r w:rsidRPr="00097D47">
        <w:rPr>
          <w:rFonts w:ascii="Times New Roman" w:hAnsi="Times New Roman" w:cs="Times New Roman"/>
          <w:i/>
        </w:rPr>
        <w:t>Id</w:t>
      </w:r>
      <w:r w:rsidRPr="00097D47">
        <w:rPr>
          <w:rFonts w:ascii="Times New Roman" w:hAnsi="Times New Roman" w:cs="Times New Roman"/>
        </w:rPr>
        <w:t>. at 1249</w:t>
      </w:r>
    </w:p>
  </w:footnote>
  <w:footnote w:id="379">
    <w:p w14:paraId="62372F2A" w14:textId="2B9DD184" w:rsidR="00336EDF" w:rsidRDefault="00336EDF">
      <w:pPr>
        <w:pStyle w:val="FootnoteText"/>
      </w:pPr>
      <w:r w:rsidRPr="002B609A">
        <w:rPr>
          <w:rStyle w:val="FootnoteReference"/>
          <w:rFonts w:ascii="Times New Roman" w:hAnsi="Times New Roman" w:cs="Times New Roman"/>
        </w:rPr>
        <w:footnoteRef/>
      </w:r>
      <w:r>
        <w:t xml:space="preserve"> </w:t>
      </w:r>
      <w:bookmarkStart w:id="525" w:name="f357"/>
      <w:bookmarkEnd w:id="525"/>
      <w:r w:rsidRPr="002B609A">
        <w:rPr>
          <w:rFonts w:ascii="Times New Roman" w:hAnsi="Times New Roman" w:cs="Times New Roman"/>
          <w:i/>
          <w:iCs/>
        </w:rPr>
        <w:t>Id.</w:t>
      </w:r>
      <w:r w:rsidRPr="00480950">
        <w:rPr>
          <w:rFonts w:ascii="Times New Roman" w:hAnsi="Times New Roman" w:cs="Times New Roman"/>
        </w:rPr>
        <w:t xml:space="preserve"> at 1249-1254</w:t>
      </w:r>
    </w:p>
  </w:footnote>
  <w:footnote w:id="380">
    <w:p w14:paraId="4835B4A0" w14:textId="6EDA5986" w:rsidR="00336EDF" w:rsidRPr="005D6D4A" w:rsidRDefault="00336EDF">
      <w:pPr>
        <w:pStyle w:val="FootnoteText"/>
        <w:rPr>
          <w:rFonts w:ascii="Times New Roman" w:hAnsi="Times New Roman" w:cs="Times New Roman"/>
        </w:rPr>
      </w:pPr>
      <w:r w:rsidRPr="005D6D4A">
        <w:rPr>
          <w:rStyle w:val="FootnoteReference"/>
          <w:rFonts w:ascii="Times New Roman" w:hAnsi="Times New Roman" w:cs="Times New Roman"/>
        </w:rPr>
        <w:footnoteRef/>
      </w:r>
      <w:bookmarkStart w:id="528" w:name="f358"/>
      <w:bookmarkStart w:id="529" w:name="_Hlk520286257"/>
      <w:bookmarkEnd w:id="528"/>
      <w:r>
        <w:rPr>
          <w:rFonts w:ascii="Times New Roman" w:hAnsi="Times New Roman" w:cs="Times New Roman"/>
        </w:rPr>
        <w:t>2</w:t>
      </w:r>
      <w:r w:rsidRPr="005D6D4A">
        <w:rPr>
          <w:rFonts w:ascii="Times New Roman" w:hAnsi="Times New Roman" w:cs="Times New Roman"/>
        </w:rPr>
        <w:t xml:space="preserve"> </w:t>
      </w:r>
      <w:r w:rsidRPr="005D6D4A">
        <w:rPr>
          <w:rFonts w:ascii="Times New Roman" w:hAnsi="Times New Roman" w:cs="Times New Roman"/>
          <w:smallCaps/>
        </w:rPr>
        <w:t>Larson's Workers’ Compensation Law</w:t>
      </w:r>
      <w:r w:rsidRPr="005D6D4A">
        <w:rPr>
          <w:rFonts w:ascii="Times New Roman" w:hAnsi="Times New Roman" w:cs="Times New Roman"/>
        </w:rPr>
        <w:t xml:space="preserve"> § </w:t>
      </w:r>
      <w:r>
        <w:rPr>
          <w:rFonts w:ascii="Times New Roman" w:hAnsi="Times New Roman" w:cs="Times New Roman"/>
        </w:rPr>
        <w:t>17</w:t>
      </w:r>
      <w:r w:rsidRPr="005D6D4A">
        <w:rPr>
          <w:rFonts w:ascii="Times New Roman" w:hAnsi="Times New Roman" w:cs="Times New Roman"/>
        </w:rPr>
        <w:t>.0</w:t>
      </w:r>
      <w:r>
        <w:rPr>
          <w:rFonts w:ascii="Times New Roman" w:hAnsi="Times New Roman" w:cs="Times New Roman"/>
        </w:rPr>
        <w:t>1 and § 17.02.</w:t>
      </w:r>
      <w:r w:rsidRPr="005D6D4A">
        <w:rPr>
          <w:rFonts w:ascii="Times New Roman" w:hAnsi="Times New Roman" w:cs="Times New Roman"/>
        </w:rPr>
        <w:t xml:space="preserve"> </w:t>
      </w:r>
      <w:bookmarkEnd w:id="529"/>
    </w:p>
  </w:footnote>
  <w:footnote w:id="381">
    <w:p w14:paraId="623A09ED" w14:textId="1DBE610C" w:rsidR="00336EDF" w:rsidRDefault="00336EDF">
      <w:pPr>
        <w:pStyle w:val="FootnoteText"/>
      </w:pPr>
      <w:r w:rsidRPr="00412814">
        <w:rPr>
          <w:rStyle w:val="FootnoteReference"/>
          <w:rFonts w:ascii="Times New Roman" w:hAnsi="Times New Roman" w:cs="Times New Roman"/>
        </w:rPr>
        <w:footnoteRef/>
      </w:r>
      <w:r w:rsidRPr="00412814">
        <w:rPr>
          <w:rStyle w:val="FootnoteReference"/>
          <w:rFonts w:ascii="Times New Roman" w:hAnsi="Times New Roman" w:cs="Times New Roman"/>
        </w:rPr>
        <w:t xml:space="preserve"> </w:t>
      </w:r>
      <w:bookmarkStart w:id="530" w:name="f359"/>
      <w:bookmarkEnd w:id="530"/>
      <w:r w:rsidRPr="00412814">
        <w:rPr>
          <w:rFonts w:ascii="Times New Roman" w:hAnsi="Times New Roman" w:cs="Times New Roman"/>
          <w:i/>
        </w:rPr>
        <w:t>See</w:t>
      </w:r>
      <w:r w:rsidRPr="00412814">
        <w:rPr>
          <w:rFonts w:ascii="Times New Roman" w:hAnsi="Times New Roman" w:cs="Times New Roman"/>
        </w:rPr>
        <w:t xml:space="preserve"> </w:t>
      </w:r>
      <w:bookmarkStart w:id="531" w:name="_Hlk520141174"/>
      <w:bookmarkStart w:id="532" w:name="_Hlk520206833"/>
      <w:r w:rsidRPr="00412814">
        <w:rPr>
          <w:rFonts w:ascii="Times New Roman" w:hAnsi="Times New Roman" w:cs="Times New Roman"/>
        </w:rPr>
        <w:t xml:space="preserve">Fuhs v. Swenson, </w:t>
      </w:r>
      <w:hyperlink r:id="rId156" w:history="1">
        <w:r w:rsidRPr="002B609A">
          <w:rPr>
            <w:rStyle w:val="Hyperlink"/>
            <w:rFonts w:ascii="Times New Roman" w:hAnsi="Times New Roman" w:cs="Times New Roman"/>
          </w:rPr>
          <w:t>131 P.2d 333</w:t>
        </w:r>
      </w:hyperlink>
      <w:r w:rsidRPr="00412814">
        <w:rPr>
          <w:rFonts w:ascii="Times New Roman" w:hAnsi="Times New Roman" w:cs="Times New Roman"/>
        </w:rPr>
        <w:t xml:space="preserve">, 337-338 </w:t>
      </w:r>
      <w:bookmarkEnd w:id="531"/>
      <w:r w:rsidRPr="00412814">
        <w:rPr>
          <w:rFonts w:ascii="Times New Roman" w:hAnsi="Times New Roman" w:cs="Times New Roman"/>
        </w:rPr>
        <w:t>(Wyo. 1942)</w:t>
      </w:r>
      <w:bookmarkEnd w:id="532"/>
    </w:p>
  </w:footnote>
  <w:footnote w:id="382">
    <w:p w14:paraId="2587BB3D" w14:textId="666125EC" w:rsidR="00336EDF" w:rsidRDefault="00336EDF">
      <w:pPr>
        <w:pStyle w:val="FootnoteText"/>
      </w:pPr>
      <w:r w:rsidRPr="00FB1B9B">
        <w:rPr>
          <w:rStyle w:val="FootnoteReference"/>
          <w:rFonts w:ascii="Times New Roman" w:hAnsi="Times New Roman" w:cs="Times New Roman"/>
        </w:rPr>
        <w:footnoteRef/>
      </w:r>
      <w:r>
        <w:t xml:space="preserve"> </w:t>
      </w:r>
      <w:bookmarkStart w:id="533" w:name="f360"/>
      <w:bookmarkEnd w:id="533"/>
      <w:r>
        <w:fldChar w:fldCharType="begin"/>
      </w:r>
      <w:r>
        <w:instrText xml:space="preserve"> HYPERLINK "https://law.justia.com/cases/wyoming/supreme-court/1925/117544.html" </w:instrText>
      </w:r>
      <w:r>
        <w:fldChar w:fldCharType="separate"/>
      </w:r>
      <w:r w:rsidRPr="002B609A">
        <w:rPr>
          <w:rStyle w:val="Hyperlink"/>
          <w:rFonts w:ascii="Times New Roman" w:hAnsi="Times New Roman" w:cs="Times New Roman"/>
        </w:rPr>
        <w:t>238 P. 542</w:t>
      </w:r>
      <w:r>
        <w:rPr>
          <w:rStyle w:val="Hyperlink"/>
          <w:rFonts w:ascii="Times New Roman" w:hAnsi="Times New Roman" w:cs="Times New Roman"/>
        </w:rPr>
        <w:fldChar w:fldCharType="end"/>
      </w:r>
      <w:r>
        <w:rPr>
          <w:rFonts w:ascii="Times New Roman" w:hAnsi="Times New Roman" w:cs="Times New Roman"/>
        </w:rPr>
        <w:t xml:space="preserve"> (Wyo. 1925)</w:t>
      </w:r>
    </w:p>
  </w:footnote>
  <w:footnote w:id="383">
    <w:p w14:paraId="29190081" w14:textId="2550D6B9" w:rsidR="00336EDF" w:rsidRDefault="00336EDF">
      <w:pPr>
        <w:pStyle w:val="FootnoteText"/>
      </w:pPr>
      <w:r w:rsidRPr="00FB1B9B">
        <w:rPr>
          <w:rStyle w:val="FootnoteReference"/>
          <w:rFonts w:ascii="Times New Roman" w:hAnsi="Times New Roman" w:cs="Times New Roman"/>
        </w:rPr>
        <w:footnoteRef/>
      </w:r>
      <w:r>
        <w:t xml:space="preserve"> </w:t>
      </w:r>
      <w:bookmarkStart w:id="534" w:name="f361"/>
      <w:bookmarkEnd w:id="534"/>
      <w:r w:rsidRPr="00FB1B9B">
        <w:rPr>
          <w:rFonts w:ascii="Times New Roman" w:hAnsi="Times New Roman" w:cs="Times New Roman"/>
          <w:i/>
        </w:rPr>
        <w:t>Id</w:t>
      </w:r>
      <w:r w:rsidRPr="00FB1B9B">
        <w:rPr>
          <w:rFonts w:ascii="Times New Roman" w:hAnsi="Times New Roman" w:cs="Times New Roman"/>
        </w:rPr>
        <w:t>. at 543</w:t>
      </w:r>
    </w:p>
  </w:footnote>
  <w:footnote w:id="384">
    <w:p w14:paraId="4D873A60" w14:textId="593AB46F" w:rsidR="00336EDF" w:rsidRDefault="00336EDF">
      <w:pPr>
        <w:pStyle w:val="FootnoteText"/>
      </w:pPr>
      <w:r w:rsidRPr="008329F5">
        <w:rPr>
          <w:rStyle w:val="FootnoteReference"/>
          <w:rFonts w:ascii="Times New Roman" w:hAnsi="Times New Roman" w:cs="Times New Roman"/>
        </w:rPr>
        <w:footnoteRef/>
      </w:r>
      <w:r w:rsidRPr="008329F5">
        <w:rPr>
          <w:rStyle w:val="FootnoteReference"/>
          <w:rFonts w:ascii="Times New Roman" w:hAnsi="Times New Roman" w:cs="Times New Roman"/>
        </w:rPr>
        <w:t xml:space="preserve"> </w:t>
      </w:r>
      <w:bookmarkStart w:id="535" w:name="f362"/>
      <w:bookmarkEnd w:id="535"/>
      <w:r w:rsidRPr="008329F5">
        <w:rPr>
          <w:rFonts w:ascii="Times New Roman" w:hAnsi="Times New Roman" w:cs="Times New Roman"/>
          <w:i/>
        </w:rPr>
        <w:t>Id</w:t>
      </w:r>
      <w:r w:rsidRPr="008329F5">
        <w:rPr>
          <w:rFonts w:ascii="Times New Roman" w:hAnsi="Times New Roman" w:cs="Times New Roman"/>
        </w:rPr>
        <w:t>. at 544</w:t>
      </w:r>
    </w:p>
  </w:footnote>
  <w:footnote w:id="385">
    <w:p w14:paraId="764FC1B0" w14:textId="322ED6F1" w:rsidR="00336EDF" w:rsidRDefault="00336EDF" w:rsidP="00526394">
      <w:pPr>
        <w:pStyle w:val="FootnoteText"/>
        <w:jc w:val="both"/>
      </w:pPr>
      <w:r w:rsidRPr="00412814">
        <w:rPr>
          <w:rStyle w:val="FootnoteReference"/>
          <w:rFonts w:ascii="Times New Roman" w:hAnsi="Times New Roman" w:cs="Times New Roman"/>
        </w:rPr>
        <w:footnoteRef/>
      </w:r>
      <w:r w:rsidRPr="00412814">
        <w:rPr>
          <w:rFonts w:ascii="Times New Roman" w:hAnsi="Times New Roman" w:cs="Times New Roman"/>
        </w:rPr>
        <w:t xml:space="preserve"> </w:t>
      </w:r>
      <w:bookmarkStart w:id="536" w:name="f363"/>
      <w:bookmarkEnd w:id="536"/>
      <w:r w:rsidRPr="00412814">
        <w:rPr>
          <w:rFonts w:ascii="Times New Roman" w:hAnsi="Times New Roman" w:cs="Times New Roman"/>
        </w:rPr>
        <w:t xml:space="preserve">Fuhs v. Swenson, 131 P.2d </w:t>
      </w:r>
      <w:r>
        <w:rPr>
          <w:rFonts w:ascii="Times New Roman" w:hAnsi="Times New Roman" w:cs="Times New Roman"/>
        </w:rPr>
        <w:t xml:space="preserve">at </w:t>
      </w:r>
      <w:r w:rsidRPr="00412814">
        <w:rPr>
          <w:rFonts w:ascii="Times New Roman" w:hAnsi="Times New Roman" w:cs="Times New Roman"/>
        </w:rPr>
        <w:t>338</w:t>
      </w:r>
      <w:r>
        <w:rPr>
          <w:rFonts w:ascii="Times New Roman" w:hAnsi="Times New Roman" w:cs="Times New Roman"/>
        </w:rPr>
        <w:t xml:space="preserve">. The description of the misconduct sufficient to deprive an employee of workers’ compensation benefits as “quasi-criminal” is well established in the law. </w:t>
      </w:r>
      <w:r w:rsidRPr="003B4B58">
        <w:rPr>
          <w:rFonts w:ascii="Times New Roman" w:hAnsi="Times New Roman" w:cs="Times New Roman"/>
          <w:i/>
        </w:rPr>
        <w:t>See e.g.</w:t>
      </w:r>
      <w:r>
        <w:rPr>
          <w:rFonts w:ascii="Times New Roman" w:hAnsi="Times New Roman" w:cs="Times New Roman"/>
        </w:rPr>
        <w:t xml:space="preserve"> Scaia’s Case, </w:t>
      </w:r>
      <w:hyperlink r:id="rId157" w:history="1">
        <w:r w:rsidRPr="002B609A">
          <w:rPr>
            <w:rStyle w:val="Hyperlink"/>
            <w:rFonts w:ascii="Times New Roman" w:hAnsi="Times New Roman" w:cs="Times New Roman"/>
          </w:rPr>
          <w:t>69 N.E.2d 567</w:t>
        </w:r>
      </w:hyperlink>
      <w:r>
        <w:rPr>
          <w:rFonts w:ascii="Times New Roman" w:hAnsi="Times New Roman" w:cs="Times New Roman"/>
        </w:rPr>
        <w:t>, 568 (Mass. 1946)</w:t>
      </w:r>
    </w:p>
  </w:footnote>
  <w:footnote w:id="386">
    <w:p w14:paraId="3524F7C6" w14:textId="5E43FA1F" w:rsidR="00336EDF" w:rsidRPr="00D71B46" w:rsidRDefault="00336EDF" w:rsidP="00D71B46">
      <w:pPr>
        <w:pStyle w:val="FootnoteText"/>
        <w:jc w:val="both"/>
        <w:rPr>
          <w:rFonts w:ascii="Times New Roman" w:hAnsi="Times New Roman" w:cs="Times New Roman"/>
        </w:rPr>
      </w:pPr>
      <w:r w:rsidRPr="00D71B46">
        <w:rPr>
          <w:rStyle w:val="FootnoteReference"/>
          <w:rFonts w:ascii="Times New Roman" w:hAnsi="Times New Roman" w:cs="Times New Roman"/>
        </w:rPr>
        <w:footnoteRef/>
      </w:r>
      <w:r>
        <w:t xml:space="preserve"> </w:t>
      </w:r>
      <w:bookmarkStart w:id="537" w:name="f364"/>
      <w:bookmarkEnd w:id="537"/>
      <w:r w:rsidRPr="00D71B46">
        <w:rPr>
          <w:rFonts w:ascii="Times New Roman" w:hAnsi="Times New Roman" w:cs="Times New Roman"/>
          <w:i/>
        </w:rPr>
        <w:t>See</w:t>
      </w:r>
      <w:r w:rsidRPr="00D71B46">
        <w:rPr>
          <w:rFonts w:ascii="Times New Roman" w:hAnsi="Times New Roman" w:cs="Times New Roman"/>
        </w:rPr>
        <w:t xml:space="preserve"> Weidt v. Brannan Motor Co., </w:t>
      </w:r>
      <w:hyperlink r:id="rId158" w:history="1">
        <w:r w:rsidRPr="002B609A">
          <w:rPr>
            <w:rStyle w:val="Hyperlink"/>
            <w:rFonts w:ascii="Times New Roman" w:hAnsi="Times New Roman" w:cs="Times New Roman"/>
          </w:rPr>
          <w:t>260 P.2d 757</w:t>
        </w:r>
      </w:hyperlink>
      <w:r w:rsidRPr="00D71B46">
        <w:rPr>
          <w:rFonts w:ascii="Times New Roman" w:hAnsi="Times New Roman" w:cs="Times New Roman"/>
        </w:rPr>
        <w:t xml:space="preserve">, 761 (Wyo. 1953) </w:t>
      </w:r>
      <w:r w:rsidRPr="00D71B46">
        <w:rPr>
          <w:rFonts w:ascii="Times New Roman" w:hAnsi="Times New Roman" w:cs="Times New Roman"/>
          <w:i/>
        </w:rPr>
        <w:t>quoting</w:t>
      </w:r>
      <w:r w:rsidRPr="00D71B46">
        <w:rPr>
          <w:rFonts w:ascii="Times New Roman" w:hAnsi="Times New Roman" w:cs="Times New Roman"/>
        </w:rPr>
        <w:t xml:space="preserve"> Hamilton v. Swigart Coal Mine, </w:t>
      </w:r>
      <w:hyperlink r:id="rId159" w:history="1">
        <w:r w:rsidRPr="00E70B44">
          <w:rPr>
            <w:rStyle w:val="Hyperlink"/>
            <w:rFonts w:ascii="Times New Roman" w:hAnsi="Times New Roman" w:cs="Times New Roman"/>
          </w:rPr>
          <w:t>143 P.2d 203</w:t>
        </w:r>
      </w:hyperlink>
      <w:r w:rsidRPr="00D71B46">
        <w:rPr>
          <w:rFonts w:ascii="Times New Roman" w:hAnsi="Times New Roman" w:cs="Times New Roman"/>
        </w:rPr>
        <w:t>, 205</w:t>
      </w:r>
      <w:r>
        <w:rPr>
          <w:rFonts w:ascii="Times New Roman" w:hAnsi="Times New Roman" w:cs="Times New Roman"/>
        </w:rPr>
        <w:t xml:space="preserve">. Over the years, courts in Wyoming and elsewhere have somewhat interchangeably utilized the terms “serious and wilful” and “wilful and serious” when considering the magnitude of employee misconduct. This treatise does not dwell on analytical distinctions between the two phrases. The important point is that the misconduct must involve more than ordinary negligence and approach in seriousness quasi-criminal conduct. </w:t>
      </w:r>
      <w:r w:rsidRPr="00526394">
        <w:rPr>
          <w:rFonts w:ascii="Times New Roman" w:hAnsi="Times New Roman" w:cs="Times New Roman"/>
          <w:i/>
        </w:rPr>
        <w:t>See generally</w:t>
      </w:r>
      <w:r>
        <w:rPr>
          <w:rFonts w:ascii="Times New Roman" w:hAnsi="Times New Roman" w:cs="Times New Roman"/>
        </w:rPr>
        <w:t xml:space="preserve"> </w:t>
      </w:r>
      <w:r w:rsidRPr="00526394">
        <w:rPr>
          <w:rFonts w:ascii="Times New Roman" w:hAnsi="Times New Roman" w:cs="Times New Roman"/>
        </w:rPr>
        <w:t xml:space="preserve">3 </w:t>
      </w:r>
      <w:r w:rsidRPr="00526394">
        <w:rPr>
          <w:rFonts w:ascii="Times New Roman" w:hAnsi="Times New Roman" w:cs="Times New Roman"/>
          <w:smallCaps/>
        </w:rPr>
        <w:t>Larson's Workers' Compensation Law</w:t>
      </w:r>
      <w:r w:rsidRPr="00526394">
        <w:rPr>
          <w:rFonts w:ascii="Times New Roman" w:hAnsi="Times New Roman" w:cs="Times New Roman"/>
        </w:rPr>
        <w:t xml:space="preserve"> § 34.01</w:t>
      </w:r>
      <w:r>
        <w:rPr>
          <w:rFonts w:ascii="Times New Roman" w:hAnsi="Times New Roman" w:cs="Times New Roman"/>
        </w:rPr>
        <w:t xml:space="preserve"> </w:t>
      </w:r>
    </w:p>
  </w:footnote>
  <w:footnote w:id="387">
    <w:p w14:paraId="0D34B0C0" w14:textId="7B377CA2" w:rsidR="00336EDF" w:rsidRDefault="00336EDF">
      <w:pPr>
        <w:pStyle w:val="FootnoteText"/>
      </w:pPr>
      <w:r w:rsidRPr="000D0BB5">
        <w:rPr>
          <w:rStyle w:val="FootnoteReference"/>
          <w:rFonts w:ascii="Times New Roman" w:hAnsi="Times New Roman" w:cs="Times New Roman"/>
        </w:rPr>
        <w:footnoteRef/>
      </w:r>
      <w:r w:rsidRPr="000D0BB5">
        <w:rPr>
          <w:rStyle w:val="FootnoteReference"/>
          <w:rFonts w:ascii="Times New Roman" w:hAnsi="Times New Roman" w:cs="Times New Roman"/>
        </w:rPr>
        <w:t xml:space="preserve"> </w:t>
      </w:r>
      <w:bookmarkStart w:id="538" w:name="f365"/>
      <w:bookmarkEnd w:id="538"/>
      <w:r>
        <w:fldChar w:fldCharType="begin"/>
      </w:r>
      <w:r>
        <w:instrText xml:space="preserve"> HYPERLINK "https://www.leagle.com/decision/inwyco20120202e83" </w:instrText>
      </w:r>
      <w:r>
        <w:fldChar w:fldCharType="separate"/>
      </w:r>
      <w:r w:rsidRPr="00E70B44">
        <w:rPr>
          <w:rStyle w:val="Hyperlink"/>
          <w:rFonts w:ascii="Times New Roman" w:hAnsi="Times New Roman" w:cs="Times New Roman"/>
        </w:rPr>
        <w:t>269 P.3d 432</w:t>
      </w:r>
      <w:r>
        <w:rPr>
          <w:rStyle w:val="Hyperlink"/>
          <w:rFonts w:ascii="Times New Roman" w:hAnsi="Times New Roman" w:cs="Times New Roman"/>
        </w:rPr>
        <w:fldChar w:fldCharType="end"/>
      </w:r>
      <w:r w:rsidRPr="000D0BB5">
        <w:rPr>
          <w:rFonts w:ascii="Times New Roman" w:hAnsi="Times New Roman" w:cs="Times New Roman"/>
        </w:rPr>
        <w:t xml:space="preserve"> (Wyo. 2012)</w:t>
      </w:r>
    </w:p>
  </w:footnote>
  <w:footnote w:id="388">
    <w:p w14:paraId="6005D975" w14:textId="2A905EF5" w:rsidR="00336EDF" w:rsidRDefault="00336EDF">
      <w:pPr>
        <w:pStyle w:val="FootnoteText"/>
      </w:pPr>
      <w:r w:rsidRPr="000D0BB5">
        <w:rPr>
          <w:rStyle w:val="FootnoteReference"/>
          <w:rFonts w:ascii="Times New Roman" w:hAnsi="Times New Roman" w:cs="Times New Roman"/>
        </w:rPr>
        <w:footnoteRef/>
      </w:r>
      <w:r>
        <w:t xml:space="preserve"> </w:t>
      </w:r>
      <w:bookmarkStart w:id="539" w:name="f366"/>
      <w:bookmarkEnd w:id="539"/>
      <w:r w:rsidRPr="000D0BB5">
        <w:rPr>
          <w:rFonts w:ascii="Times New Roman" w:hAnsi="Times New Roman" w:cs="Times New Roman"/>
          <w:i/>
        </w:rPr>
        <w:t>Id.</w:t>
      </w:r>
      <w:r w:rsidRPr="000D0BB5">
        <w:rPr>
          <w:rFonts w:ascii="Times New Roman" w:hAnsi="Times New Roman" w:cs="Times New Roman"/>
        </w:rPr>
        <w:t xml:space="preserve"> at 435</w:t>
      </w:r>
    </w:p>
  </w:footnote>
  <w:footnote w:id="389">
    <w:p w14:paraId="780F6801" w14:textId="53CC7C7C" w:rsidR="00336EDF" w:rsidRDefault="00336EDF">
      <w:pPr>
        <w:pStyle w:val="FootnoteText"/>
      </w:pPr>
      <w:r w:rsidRPr="000D0BB5">
        <w:rPr>
          <w:rStyle w:val="FootnoteReference"/>
          <w:rFonts w:ascii="Times New Roman" w:hAnsi="Times New Roman" w:cs="Times New Roman"/>
        </w:rPr>
        <w:footnoteRef/>
      </w:r>
      <w:r>
        <w:t xml:space="preserve"> </w:t>
      </w:r>
      <w:bookmarkStart w:id="540" w:name="f367"/>
      <w:bookmarkEnd w:id="540"/>
      <w:r w:rsidRPr="000D0BB5">
        <w:rPr>
          <w:rFonts w:ascii="Times New Roman" w:hAnsi="Times New Roman" w:cs="Times New Roman"/>
          <w:i/>
        </w:rPr>
        <w:t>Id.</w:t>
      </w:r>
      <w:r w:rsidRPr="000D0BB5">
        <w:rPr>
          <w:rFonts w:ascii="Times New Roman" w:hAnsi="Times New Roman" w:cs="Times New Roman"/>
        </w:rPr>
        <w:t xml:space="preserve"> at 436-437</w:t>
      </w:r>
    </w:p>
  </w:footnote>
  <w:footnote w:id="390">
    <w:p w14:paraId="23257F5A" w14:textId="03D1E96D" w:rsidR="00336EDF" w:rsidRDefault="00336EDF" w:rsidP="00F07AC1">
      <w:pPr>
        <w:pStyle w:val="FootnoteText"/>
        <w:jc w:val="both"/>
      </w:pPr>
      <w:r w:rsidRPr="00F07AC1">
        <w:rPr>
          <w:rStyle w:val="FootnoteReference"/>
          <w:rFonts w:ascii="Times New Roman" w:hAnsi="Times New Roman" w:cs="Times New Roman"/>
        </w:rPr>
        <w:footnoteRef/>
      </w:r>
      <w:r>
        <w:t xml:space="preserve"> </w:t>
      </w:r>
      <w:bookmarkStart w:id="542" w:name="f368"/>
      <w:bookmarkEnd w:id="542"/>
      <w:r w:rsidRPr="00F07AC1">
        <w:rPr>
          <w:rFonts w:ascii="Times New Roman" w:hAnsi="Times New Roman" w:cs="Times New Roman"/>
          <w:i/>
        </w:rPr>
        <w:t>Compare</w:t>
      </w:r>
      <w:r>
        <w:t xml:space="preserve"> </w:t>
      </w:r>
      <w:r w:rsidRPr="003B4B58">
        <w:t xml:space="preserve">3 </w:t>
      </w:r>
      <w:r w:rsidRPr="00F07AC1">
        <w:rPr>
          <w:rFonts w:ascii="Times New Roman" w:hAnsi="Times New Roman" w:cs="Times New Roman"/>
          <w:smallCaps/>
        </w:rPr>
        <w:t>Larson's Workers' Compensation Law</w:t>
      </w:r>
      <w:r w:rsidRPr="003B4B58">
        <w:t xml:space="preserve"> </w:t>
      </w:r>
      <w:r w:rsidRPr="00F07AC1">
        <w:rPr>
          <w:rFonts w:ascii="Times New Roman" w:hAnsi="Times New Roman" w:cs="Times New Roman"/>
        </w:rPr>
        <w:t>§ 34.03</w:t>
      </w:r>
      <w:r>
        <w:rPr>
          <w:rFonts w:ascii="Times New Roman" w:hAnsi="Times New Roman" w:cs="Times New Roman"/>
        </w:rPr>
        <w:t xml:space="preserve"> (discussing jurisdictions possessing an independent defense for intentional violations of safety rules)</w:t>
      </w:r>
    </w:p>
  </w:footnote>
  <w:footnote w:id="391">
    <w:p w14:paraId="22D4FD94" w14:textId="41986AA0" w:rsidR="00336EDF" w:rsidRDefault="00336EDF" w:rsidP="00F07AC1">
      <w:pPr>
        <w:pStyle w:val="FootnoteText"/>
        <w:jc w:val="both"/>
      </w:pPr>
      <w:r w:rsidRPr="00F87F95">
        <w:rPr>
          <w:rStyle w:val="FootnoteReference"/>
          <w:rFonts w:ascii="Times New Roman" w:hAnsi="Times New Roman" w:cs="Times New Roman"/>
        </w:rPr>
        <w:footnoteRef/>
      </w:r>
      <w:r w:rsidRPr="00F87F95">
        <w:rPr>
          <w:rFonts w:ascii="Times New Roman" w:hAnsi="Times New Roman" w:cs="Times New Roman"/>
        </w:rPr>
        <w:t xml:space="preserve"> </w:t>
      </w:r>
      <w:bookmarkStart w:id="543" w:name="f369"/>
      <w:bookmarkEnd w:id="543"/>
      <w:r w:rsidRPr="00F87F95">
        <w:rPr>
          <w:rFonts w:ascii="Times New Roman" w:hAnsi="Times New Roman" w:cs="Times New Roman"/>
          <w:i/>
        </w:rPr>
        <w:t>Id</w:t>
      </w:r>
      <w:r w:rsidRPr="00F87F95">
        <w:rPr>
          <w:rFonts w:ascii="Times New Roman" w:hAnsi="Times New Roman" w:cs="Times New Roman"/>
        </w:rPr>
        <w:t xml:space="preserve">. at 438 </w:t>
      </w:r>
      <w:r w:rsidRPr="00F87F95">
        <w:rPr>
          <w:rFonts w:ascii="Times New Roman" w:hAnsi="Times New Roman" w:cs="Times New Roman"/>
          <w:i/>
        </w:rPr>
        <w:t>citing</w:t>
      </w:r>
      <w:r w:rsidRPr="00F87F95">
        <w:rPr>
          <w:rFonts w:ascii="Times New Roman" w:hAnsi="Times New Roman" w:cs="Times New Roman"/>
        </w:rPr>
        <w:t xml:space="preserve"> Keck v. Workers’ Safety &amp; Comp. Div., </w:t>
      </w:r>
      <w:hyperlink r:id="rId160" w:history="1">
        <w:r w:rsidRPr="00E70B44">
          <w:rPr>
            <w:rStyle w:val="Hyperlink"/>
            <w:rFonts w:ascii="Times New Roman" w:hAnsi="Times New Roman" w:cs="Times New Roman"/>
          </w:rPr>
          <w:t>985 P.2d 430</w:t>
        </w:r>
      </w:hyperlink>
      <w:r w:rsidRPr="00F87F95">
        <w:rPr>
          <w:rFonts w:ascii="Times New Roman" w:hAnsi="Times New Roman" w:cs="Times New Roman"/>
        </w:rPr>
        <w:t>, 433 (Wyo.1999)</w:t>
      </w:r>
    </w:p>
  </w:footnote>
  <w:footnote w:id="392">
    <w:p w14:paraId="777778DA" w14:textId="2E02099C" w:rsidR="00336EDF" w:rsidRDefault="00336EDF">
      <w:pPr>
        <w:pStyle w:val="FootnoteText"/>
      </w:pPr>
      <w:r w:rsidRPr="008D2F81">
        <w:rPr>
          <w:rStyle w:val="FootnoteReference"/>
          <w:rFonts w:ascii="Times New Roman" w:hAnsi="Times New Roman" w:cs="Times New Roman"/>
        </w:rPr>
        <w:footnoteRef/>
      </w:r>
      <w:r>
        <w:t xml:space="preserve"> </w:t>
      </w:r>
      <w:bookmarkStart w:id="544" w:name="f370"/>
      <w:bookmarkEnd w:id="544"/>
      <w:r w:rsidRPr="008D2F81">
        <w:rPr>
          <w:rFonts w:ascii="Times New Roman" w:hAnsi="Times New Roman" w:cs="Times New Roman"/>
          <w:i/>
        </w:rPr>
        <w:t>See</w:t>
      </w:r>
      <w:r w:rsidRPr="008D2F81">
        <w:rPr>
          <w:rFonts w:ascii="Times New Roman" w:hAnsi="Times New Roman" w:cs="Times New Roman"/>
        </w:rPr>
        <w:t xml:space="preserve"> Matter of Smith, </w:t>
      </w:r>
      <w:r w:rsidRPr="00FA2315">
        <w:rPr>
          <w:rFonts w:ascii="Times New Roman" w:hAnsi="Times New Roman" w:cs="Times New Roman"/>
          <w:i/>
        </w:rPr>
        <w:t>supra</w:t>
      </w:r>
      <w:r w:rsidRPr="008D2F81">
        <w:rPr>
          <w:rFonts w:ascii="Times New Roman" w:hAnsi="Times New Roman" w:cs="Times New Roman"/>
        </w:rPr>
        <w:t xml:space="preserve">., </w:t>
      </w:r>
      <w:r w:rsidRPr="00E36454">
        <w:rPr>
          <w:rFonts w:ascii="Times New Roman" w:hAnsi="Times New Roman" w:cs="Times New Roman"/>
        </w:rPr>
        <w:t xml:space="preserve">762 P.2d </w:t>
      </w:r>
      <w:r>
        <w:rPr>
          <w:rFonts w:ascii="Times New Roman" w:hAnsi="Times New Roman" w:cs="Times New Roman"/>
        </w:rPr>
        <w:t>at 1196-1197</w:t>
      </w:r>
    </w:p>
  </w:footnote>
  <w:footnote w:id="393">
    <w:p w14:paraId="4B1E5F09" w14:textId="4C7A0449" w:rsidR="00336EDF" w:rsidRDefault="00336EDF">
      <w:pPr>
        <w:pStyle w:val="FootnoteText"/>
      </w:pPr>
      <w:r w:rsidRPr="00D747BC">
        <w:rPr>
          <w:rStyle w:val="FootnoteReference"/>
          <w:rFonts w:ascii="Times New Roman" w:hAnsi="Times New Roman" w:cs="Times New Roman"/>
        </w:rPr>
        <w:footnoteRef/>
      </w:r>
      <w:r w:rsidRPr="00D747BC">
        <w:rPr>
          <w:rStyle w:val="FootnoteReference"/>
          <w:rFonts w:ascii="Times New Roman" w:hAnsi="Times New Roman" w:cs="Times New Roman"/>
        </w:rPr>
        <w:t xml:space="preserve"> </w:t>
      </w:r>
      <w:bookmarkStart w:id="547" w:name="f371"/>
      <w:bookmarkEnd w:id="547"/>
      <w:r w:rsidRPr="00D747BC">
        <w:rPr>
          <w:rFonts w:ascii="Times New Roman" w:hAnsi="Times New Roman" w:cs="Times New Roman"/>
          <w:i/>
        </w:rPr>
        <w:t>See generally</w:t>
      </w:r>
      <w:r>
        <w:t xml:space="preserve"> </w:t>
      </w:r>
      <w:r w:rsidRPr="00D747BC">
        <w:rPr>
          <w:rFonts w:ascii="Times New Roman" w:hAnsi="Times New Roman" w:cs="Times New Roman"/>
          <w:smallCaps/>
        </w:rPr>
        <w:t>2 Larson's Workers' Compensation Law § 23</w:t>
      </w:r>
    </w:p>
  </w:footnote>
  <w:footnote w:id="394">
    <w:p w14:paraId="4B2104C0" w14:textId="540889D1" w:rsidR="00336EDF" w:rsidRDefault="00336EDF">
      <w:pPr>
        <w:pStyle w:val="FootnoteText"/>
      </w:pPr>
      <w:r w:rsidRPr="00FA2315">
        <w:rPr>
          <w:rStyle w:val="FootnoteReference"/>
          <w:rFonts w:ascii="Times New Roman" w:hAnsi="Times New Roman" w:cs="Times New Roman"/>
        </w:rPr>
        <w:footnoteRef/>
      </w:r>
      <w:r>
        <w:t xml:space="preserve"> </w:t>
      </w:r>
      <w:bookmarkStart w:id="549" w:name="f372"/>
      <w:bookmarkEnd w:id="549"/>
      <w:r>
        <w:fldChar w:fldCharType="begin"/>
      </w:r>
      <w:r>
        <w:instrText xml:space="preserve"> HYPERLINK "https://law.justia.com/cases/wyoming/supreme-court/1996/123705.html" </w:instrText>
      </w:r>
      <w:r>
        <w:fldChar w:fldCharType="separate"/>
      </w:r>
      <w:r w:rsidRPr="00E70B44">
        <w:rPr>
          <w:rStyle w:val="Hyperlink"/>
          <w:rFonts w:ascii="Times New Roman" w:hAnsi="Times New Roman" w:cs="Times New Roman"/>
        </w:rPr>
        <w:t>924 P.2d 979</w:t>
      </w:r>
      <w:r>
        <w:rPr>
          <w:rStyle w:val="Hyperlink"/>
          <w:rFonts w:ascii="Times New Roman" w:hAnsi="Times New Roman" w:cs="Times New Roman"/>
        </w:rPr>
        <w:fldChar w:fldCharType="end"/>
      </w:r>
      <w:r w:rsidRPr="00FA2315">
        <w:rPr>
          <w:rFonts w:ascii="Times New Roman" w:hAnsi="Times New Roman" w:cs="Times New Roman"/>
        </w:rPr>
        <w:t xml:space="preserve"> (Wyo. 1996)</w:t>
      </w:r>
    </w:p>
  </w:footnote>
  <w:footnote w:id="395">
    <w:p w14:paraId="55304738" w14:textId="665AB6CD" w:rsidR="00336EDF" w:rsidRDefault="00336EDF">
      <w:pPr>
        <w:pStyle w:val="FootnoteText"/>
      </w:pPr>
      <w:r w:rsidRPr="00FA2315">
        <w:rPr>
          <w:rStyle w:val="FootnoteReference"/>
          <w:rFonts w:ascii="Times New Roman" w:hAnsi="Times New Roman" w:cs="Times New Roman"/>
        </w:rPr>
        <w:footnoteRef/>
      </w:r>
      <w:r>
        <w:t xml:space="preserve"> </w:t>
      </w:r>
      <w:bookmarkStart w:id="550" w:name="f373"/>
      <w:bookmarkEnd w:id="550"/>
      <w:r w:rsidRPr="00FA2315">
        <w:rPr>
          <w:rFonts w:ascii="Times New Roman" w:hAnsi="Times New Roman" w:cs="Times New Roman"/>
          <w:i/>
        </w:rPr>
        <w:t>Id</w:t>
      </w:r>
      <w:r w:rsidRPr="00FA2315">
        <w:rPr>
          <w:rFonts w:ascii="Times New Roman" w:hAnsi="Times New Roman" w:cs="Times New Roman"/>
        </w:rPr>
        <w:t>. at 980-981</w:t>
      </w:r>
    </w:p>
  </w:footnote>
  <w:footnote w:id="396">
    <w:p w14:paraId="4FAAA930" w14:textId="3547A43F" w:rsidR="00336EDF" w:rsidRDefault="00336EDF">
      <w:pPr>
        <w:pStyle w:val="FootnoteText"/>
      </w:pPr>
      <w:r w:rsidRPr="006F16B5">
        <w:rPr>
          <w:rStyle w:val="FootnoteReference"/>
          <w:rFonts w:ascii="Times New Roman" w:hAnsi="Times New Roman" w:cs="Times New Roman"/>
        </w:rPr>
        <w:footnoteRef/>
      </w:r>
      <w:r>
        <w:t xml:space="preserve"> </w:t>
      </w:r>
      <w:bookmarkStart w:id="551" w:name="f374"/>
      <w:bookmarkEnd w:id="551"/>
      <w:r w:rsidRPr="006F16B5">
        <w:rPr>
          <w:rFonts w:ascii="Times New Roman" w:hAnsi="Times New Roman" w:cs="Times New Roman"/>
          <w:i/>
        </w:rPr>
        <w:t>Id</w:t>
      </w:r>
      <w:r w:rsidRPr="006F16B5">
        <w:rPr>
          <w:rFonts w:ascii="Times New Roman" w:hAnsi="Times New Roman" w:cs="Times New Roman"/>
        </w:rPr>
        <w:t>. at 980</w:t>
      </w:r>
    </w:p>
  </w:footnote>
  <w:footnote w:id="397">
    <w:p w14:paraId="46B1724A" w14:textId="5062E942" w:rsidR="00336EDF" w:rsidRDefault="00336EDF">
      <w:pPr>
        <w:pStyle w:val="FootnoteText"/>
      </w:pPr>
      <w:r w:rsidRPr="00D80399">
        <w:rPr>
          <w:rStyle w:val="FootnoteReference"/>
          <w:rFonts w:ascii="Times New Roman" w:hAnsi="Times New Roman" w:cs="Times New Roman"/>
        </w:rPr>
        <w:footnoteRef/>
      </w:r>
      <w:r>
        <w:t xml:space="preserve"> </w:t>
      </w:r>
      <w:bookmarkStart w:id="552" w:name="f375"/>
      <w:bookmarkEnd w:id="552"/>
      <w:r w:rsidRPr="00D80399">
        <w:rPr>
          <w:rFonts w:ascii="Times New Roman" w:hAnsi="Times New Roman" w:cs="Times New Roman"/>
          <w:i/>
        </w:rPr>
        <w:t>Id</w:t>
      </w:r>
      <w:r w:rsidRPr="00D80399">
        <w:rPr>
          <w:rFonts w:ascii="Times New Roman" w:hAnsi="Times New Roman" w:cs="Times New Roman"/>
        </w:rPr>
        <w:t>. at 981 (internal citations omitted)</w:t>
      </w:r>
    </w:p>
  </w:footnote>
  <w:footnote w:id="398">
    <w:p w14:paraId="5DD3E342" w14:textId="3C6C712F" w:rsidR="00336EDF" w:rsidRDefault="00336EDF">
      <w:pPr>
        <w:pStyle w:val="FootnoteText"/>
      </w:pPr>
      <w:r w:rsidRPr="0031570C">
        <w:rPr>
          <w:rStyle w:val="FootnoteReference"/>
          <w:rFonts w:ascii="Times New Roman" w:hAnsi="Times New Roman" w:cs="Times New Roman"/>
        </w:rPr>
        <w:footnoteRef/>
      </w:r>
      <w:r>
        <w:t xml:space="preserve"> </w:t>
      </w:r>
      <w:bookmarkStart w:id="553" w:name="f376"/>
      <w:bookmarkEnd w:id="553"/>
      <w:r w:rsidRPr="0031570C">
        <w:rPr>
          <w:rFonts w:ascii="Times New Roman" w:hAnsi="Times New Roman" w:cs="Times New Roman"/>
          <w:smallCaps/>
        </w:rPr>
        <w:t>2 Larson</w:t>
      </w:r>
      <w:r>
        <w:rPr>
          <w:rFonts w:ascii="Times New Roman" w:hAnsi="Times New Roman" w:cs="Times New Roman"/>
          <w:smallCaps/>
        </w:rPr>
        <w:t>’</w:t>
      </w:r>
      <w:r w:rsidRPr="0031570C">
        <w:rPr>
          <w:rFonts w:ascii="Times New Roman" w:hAnsi="Times New Roman" w:cs="Times New Roman"/>
          <w:smallCaps/>
        </w:rPr>
        <w:t>s Workers</w:t>
      </w:r>
      <w:r>
        <w:rPr>
          <w:rFonts w:ascii="Times New Roman" w:hAnsi="Times New Roman" w:cs="Times New Roman"/>
          <w:smallCaps/>
        </w:rPr>
        <w:t>’</w:t>
      </w:r>
      <w:r w:rsidRPr="0031570C">
        <w:rPr>
          <w:rFonts w:ascii="Times New Roman" w:hAnsi="Times New Roman" w:cs="Times New Roman"/>
          <w:smallCaps/>
        </w:rPr>
        <w:t xml:space="preserve"> Compensation Law § 23.07</w:t>
      </w:r>
    </w:p>
  </w:footnote>
  <w:footnote w:id="399">
    <w:p w14:paraId="64FE81F0" w14:textId="213A74B1" w:rsidR="00336EDF" w:rsidRDefault="00336EDF">
      <w:pPr>
        <w:pStyle w:val="FootnoteText"/>
      </w:pPr>
      <w:r w:rsidRPr="0031570C">
        <w:rPr>
          <w:rStyle w:val="FootnoteReference"/>
          <w:rFonts w:ascii="Times New Roman" w:hAnsi="Times New Roman" w:cs="Times New Roman"/>
        </w:rPr>
        <w:footnoteRef/>
      </w:r>
      <w:r w:rsidRPr="0031570C">
        <w:rPr>
          <w:rFonts w:ascii="Times New Roman" w:hAnsi="Times New Roman" w:cs="Times New Roman"/>
        </w:rPr>
        <w:t xml:space="preserve"> </w:t>
      </w:r>
      <w:bookmarkStart w:id="554" w:name="f377"/>
      <w:bookmarkEnd w:id="554"/>
      <w:r w:rsidRPr="0031570C">
        <w:rPr>
          <w:rFonts w:ascii="Times New Roman" w:hAnsi="Times New Roman" w:cs="Times New Roman"/>
          <w:i/>
        </w:rPr>
        <w:t>Id.</w:t>
      </w:r>
      <w:r w:rsidRPr="0031570C">
        <w:rPr>
          <w:rFonts w:ascii="Times New Roman" w:hAnsi="Times New Roman" w:cs="Times New Roman"/>
        </w:rPr>
        <w:t xml:space="preserve"> at 982</w:t>
      </w:r>
    </w:p>
  </w:footnote>
  <w:footnote w:id="400">
    <w:p w14:paraId="36076684" w14:textId="5366381E" w:rsidR="00336EDF" w:rsidRDefault="00336EDF">
      <w:pPr>
        <w:pStyle w:val="FootnoteText"/>
      </w:pPr>
      <w:r w:rsidRPr="007B2A2C">
        <w:rPr>
          <w:rStyle w:val="FootnoteReference"/>
          <w:rFonts w:ascii="Times New Roman" w:hAnsi="Times New Roman" w:cs="Times New Roman"/>
        </w:rPr>
        <w:footnoteRef/>
      </w:r>
      <w:r w:rsidRPr="007B2A2C">
        <w:rPr>
          <w:rFonts w:ascii="Times New Roman" w:hAnsi="Times New Roman" w:cs="Times New Roman"/>
        </w:rPr>
        <w:t xml:space="preserve"> </w:t>
      </w:r>
      <w:bookmarkStart w:id="555" w:name="f378"/>
      <w:bookmarkEnd w:id="555"/>
      <w:r>
        <w:fldChar w:fldCharType="begin"/>
      </w:r>
      <w:r>
        <w:instrText xml:space="preserve"> HYPERLINK "https://www.leagle.com/decision/200261652p3d5641616" </w:instrText>
      </w:r>
      <w:r>
        <w:fldChar w:fldCharType="separate"/>
      </w:r>
      <w:r w:rsidRPr="00DE333A">
        <w:rPr>
          <w:rStyle w:val="Hyperlink"/>
          <w:rFonts w:ascii="Times New Roman" w:hAnsi="Times New Roman" w:cs="Times New Roman"/>
        </w:rPr>
        <w:t>52 P.3d 564</w:t>
      </w:r>
      <w:r>
        <w:rPr>
          <w:rStyle w:val="Hyperlink"/>
          <w:rFonts w:ascii="Times New Roman" w:hAnsi="Times New Roman" w:cs="Times New Roman"/>
        </w:rPr>
        <w:fldChar w:fldCharType="end"/>
      </w:r>
      <w:r w:rsidRPr="007B2A2C">
        <w:rPr>
          <w:rFonts w:ascii="Times New Roman" w:hAnsi="Times New Roman" w:cs="Times New Roman"/>
        </w:rPr>
        <w:t xml:space="preserve"> (Wyo. 2002)</w:t>
      </w:r>
    </w:p>
  </w:footnote>
  <w:footnote w:id="401">
    <w:p w14:paraId="0E506A1C" w14:textId="2626CBD0" w:rsidR="00336EDF" w:rsidRDefault="00336EDF">
      <w:pPr>
        <w:pStyle w:val="FootnoteText"/>
      </w:pPr>
      <w:r w:rsidRPr="007B2A2C">
        <w:rPr>
          <w:rStyle w:val="FootnoteReference"/>
          <w:rFonts w:ascii="Times New Roman" w:hAnsi="Times New Roman" w:cs="Times New Roman"/>
        </w:rPr>
        <w:footnoteRef/>
      </w:r>
      <w:r>
        <w:t xml:space="preserve"> </w:t>
      </w:r>
      <w:bookmarkStart w:id="556" w:name="f379"/>
      <w:bookmarkEnd w:id="556"/>
      <w:r w:rsidRPr="007B2A2C">
        <w:rPr>
          <w:rFonts w:ascii="Times New Roman" w:hAnsi="Times New Roman" w:cs="Times New Roman"/>
          <w:i/>
        </w:rPr>
        <w:t>Id</w:t>
      </w:r>
      <w:r w:rsidRPr="007B2A2C">
        <w:rPr>
          <w:rFonts w:ascii="Times New Roman" w:hAnsi="Times New Roman" w:cs="Times New Roman"/>
        </w:rPr>
        <w:t>. at 566</w:t>
      </w:r>
    </w:p>
  </w:footnote>
  <w:footnote w:id="402">
    <w:p w14:paraId="3D168849" w14:textId="44D31F0A" w:rsidR="00336EDF" w:rsidRDefault="00336EDF">
      <w:pPr>
        <w:pStyle w:val="FootnoteText"/>
      </w:pPr>
      <w:r w:rsidRPr="007B2A2C">
        <w:rPr>
          <w:rStyle w:val="FootnoteReference"/>
          <w:rFonts w:ascii="Times New Roman" w:hAnsi="Times New Roman" w:cs="Times New Roman"/>
        </w:rPr>
        <w:footnoteRef/>
      </w:r>
      <w:r>
        <w:t xml:space="preserve"> </w:t>
      </w:r>
      <w:bookmarkStart w:id="557" w:name="f380"/>
      <w:bookmarkEnd w:id="557"/>
      <w:r w:rsidRPr="007B2A2C">
        <w:rPr>
          <w:rFonts w:ascii="Times New Roman" w:hAnsi="Times New Roman" w:cs="Times New Roman"/>
          <w:i/>
        </w:rPr>
        <w:t>Id.</w:t>
      </w:r>
    </w:p>
  </w:footnote>
  <w:footnote w:id="403">
    <w:p w14:paraId="58C9A93D" w14:textId="6DF785D9" w:rsidR="00336EDF" w:rsidRDefault="00336EDF">
      <w:pPr>
        <w:pStyle w:val="FootnoteText"/>
      </w:pPr>
      <w:r w:rsidRPr="00004238">
        <w:rPr>
          <w:rStyle w:val="FootnoteReference"/>
          <w:rFonts w:ascii="Times New Roman" w:hAnsi="Times New Roman" w:cs="Times New Roman"/>
        </w:rPr>
        <w:footnoteRef/>
      </w:r>
      <w:r>
        <w:t xml:space="preserve"> </w:t>
      </w:r>
      <w:bookmarkStart w:id="558" w:name="f381"/>
      <w:bookmarkEnd w:id="558"/>
      <w:r w:rsidRPr="00004238">
        <w:rPr>
          <w:rFonts w:ascii="Times New Roman" w:hAnsi="Times New Roman" w:cs="Times New Roman"/>
          <w:i/>
        </w:rPr>
        <w:t>Id</w:t>
      </w:r>
      <w:r w:rsidRPr="00004238">
        <w:rPr>
          <w:rFonts w:ascii="Times New Roman" w:hAnsi="Times New Roman" w:cs="Times New Roman"/>
        </w:rPr>
        <w:t>. at 566-567</w:t>
      </w:r>
    </w:p>
  </w:footnote>
  <w:footnote w:id="404">
    <w:p w14:paraId="6491D977" w14:textId="2BCCCC43" w:rsidR="00336EDF" w:rsidRDefault="00336EDF" w:rsidP="00004238">
      <w:pPr>
        <w:pStyle w:val="FootnoteText"/>
        <w:jc w:val="both"/>
      </w:pPr>
      <w:r w:rsidRPr="00004238">
        <w:rPr>
          <w:rStyle w:val="FootnoteReference"/>
          <w:rFonts w:ascii="Times New Roman" w:hAnsi="Times New Roman" w:cs="Times New Roman"/>
        </w:rPr>
        <w:footnoteRef/>
      </w:r>
      <w:r>
        <w:t xml:space="preserve"> </w:t>
      </w:r>
      <w:bookmarkStart w:id="559" w:name="f382"/>
      <w:bookmarkEnd w:id="559"/>
      <w:r w:rsidRPr="00004238">
        <w:rPr>
          <w:rFonts w:ascii="Times New Roman" w:hAnsi="Times New Roman" w:cs="Times New Roman"/>
          <w:i/>
        </w:rPr>
        <w:t>Id</w:t>
      </w:r>
      <w:r w:rsidRPr="00004238">
        <w:rPr>
          <w:rFonts w:ascii="Times New Roman" w:hAnsi="Times New Roman" w:cs="Times New Roman"/>
        </w:rPr>
        <w:t>. at 571</w:t>
      </w:r>
      <w:r>
        <w:rPr>
          <w:rFonts w:ascii="Times New Roman" w:hAnsi="Times New Roman" w:cs="Times New Roman"/>
        </w:rPr>
        <w:t xml:space="preserve">. It is somewhat unclear whether the Court was </w:t>
      </w:r>
      <w:r w:rsidRPr="00004238">
        <w:rPr>
          <w:rFonts w:ascii="Times New Roman" w:hAnsi="Times New Roman" w:cs="Times New Roman"/>
          <w:i/>
        </w:rPr>
        <w:t>also</w:t>
      </w:r>
      <w:r>
        <w:rPr>
          <w:rFonts w:ascii="Times New Roman" w:hAnsi="Times New Roman" w:cs="Times New Roman"/>
        </w:rPr>
        <w:t xml:space="preserve"> applying the substantial evidence standard, </w:t>
      </w:r>
      <w:r w:rsidRPr="00004238">
        <w:rPr>
          <w:rFonts w:ascii="Times New Roman" w:hAnsi="Times New Roman" w:cs="Times New Roman"/>
          <w:i/>
        </w:rPr>
        <w:t>see Id</w:t>
      </w:r>
      <w:r>
        <w:rPr>
          <w:rFonts w:ascii="Times New Roman" w:hAnsi="Times New Roman" w:cs="Times New Roman"/>
        </w:rPr>
        <w:t>. (“</w:t>
      </w:r>
      <w:r w:rsidRPr="00004238">
        <w:rPr>
          <w:rFonts w:ascii="Times New Roman" w:hAnsi="Times New Roman" w:cs="Times New Roman"/>
        </w:rPr>
        <w:t xml:space="preserve">The hearing examiner's decision is based upon only a portion of the evidence before it and is </w:t>
      </w:r>
      <w:r w:rsidRPr="00004238">
        <w:rPr>
          <w:rFonts w:ascii="Times New Roman" w:hAnsi="Times New Roman" w:cs="Times New Roman"/>
          <w:b/>
        </w:rPr>
        <w:t>contrary to the overwhelming weight of the evidence</w:t>
      </w:r>
      <w:r w:rsidRPr="00004238">
        <w:rPr>
          <w:rFonts w:ascii="Times New Roman" w:hAnsi="Times New Roman" w:cs="Times New Roman"/>
        </w:rPr>
        <w:t>”</w:t>
      </w:r>
      <w:r>
        <w:rPr>
          <w:rFonts w:ascii="Times New Roman" w:hAnsi="Times New Roman" w:cs="Times New Roman"/>
        </w:rPr>
        <w:t>) but resolution of that question is unimportant for present purposes.</w:t>
      </w:r>
    </w:p>
  </w:footnote>
  <w:footnote w:id="405">
    <w:p w14:paraId="687139C9" w14:textId="6473AB9E" w:rsidR="00336EDF" w:rsidRDefault="00336EDF">
      <w:pPr>
        <w:pStyle w:val="FootnoteText"/>
      </w:pPr>
      <w:r w:rsidRPr="00B054FA">
        <w:rPr>
          <w:rStyle w:val="FootnoteReference"/>
          <w:rFonts w:ascii="Times New Roman" w:hAnsi="Times New Roman" w:cs="Times New Roman"/>
        </w:rPr>
        <w:footnoteRef/>
      </w:r>
      <w:r w:rsidRPr="00B054FA">
        <w:rPr>
          <w:rStyle w:val="FootnoteReference"/>
          <w:rFonts w:ascii="Times New Roman" w:hAnsi="Times New Roman" w:cs="Times New Roman"/>
        </w:rPr>
        <w:t xml:space="preserve"> </w:t>
      </w:r>
      <w:bookmarkStart w:id="560" w:name="f383"/>
      <w:bookmarkEnd w:id="560"/>
      <w:r w:rsidRPr="00B054FA">
        <w:rPr>
          <w:rFonts w:ascii="Times New Roman" w:hAnsi="Times New Roman" w:cs="Times New Roman"/>
          <w:i/>
        </w:rPr>
        <w:t>Id</w:t>
      </w:r>
      <w:r w:rsidRPr="00B054FA">
        <w:rPr>
          <w:rFonts w:ascii="Times New Roman" w:hAnsi="Times New Roman" w:cs="Times New Roman"/>
        </w:rPr>
        <w:t>. at 569</w:t>
      </w:r>
    </w:p>
  </w:footnote>
  <w:footnote w:id="406">
    <w:p w14:paraId="37C359C8" w14:textId="7C437C8B" w:rsidR="00336EDF" w:rsidRDefault="00336EDF" w:rsidP="003702D4">
      <w:pPr>
        <w:pStyle w:val="FootnoteText"/>
        <w:jc w:val="both"/>
      </w:pPr>
      <w:r w:rsidRPr="003702D4">
        <w:rPr>
          <w:rStyle w:val="FootnoteReference"/>
          <w:rFonts w:ascii="Times New Roman" w:hAnsi="Times New Roman" w:cs="Times New Roman"/>
        </w:rPr>
        <w:footnoteRef/>
      </w:r>
      <w:r>
        <w:t xml:space="preserve"> </w:t>
      </w:r>
      <w:bookmarkStart w:id="561" w:name="f384"/>
      <w:bookmarkEnd w:id="561"/>
      <w:r>
        <w:fldChar w:fldCharType="begin"/>
      </w:r>
      <w:r>
        <w:instrText xml:space="preserve"> HYPERLINK "https://casetext.com/case/state-ex-rel-workers-comp-v-ramsey" </w:instrText>
      </w:r>
      <w:r>
        <w:fldChar w:fldCharType="separate"/>
      </w:r>
      <w:r w:rsidRPr="00DE333A">
        <w:rPr>
          <w:rStyle w:val="Hyperlink"/>
          <w:rFonts w:ascii="Times New Roman" w:hAnsi="Times New Roman" w:cs="Times New Roman"/>
        </w:rPr>
        <w:t>839 P.2d 936</w:t>
      </w:r>
      <w:r>
        <w:rPr>
          <w:rStyle w:val="Hyperlink"/>
          <w:rFonts w:ascii="Times New Roman" w:hAnsi="Times New Roman" w:cs="Times New Roman"/>
        </w:rPr>
        <w:fldChar w:fldCharType="end"/>
      </w:r>
      <w:r>
        <w:rPr>
          <w:rFonts w:ascii="Times New Roman" w:hAnsi="Times New Roman" w:cs="Times New Roman"/>
        </w:rPr>
        <w:t>, 940</w:t>
      </w:r>
      <w:r w:rsidRPr="003702D4">
        <w:rPr>
          <w:rFonts w:ascii="Times New Roman" w:hAnsi="Times New Roman" w:cs="Times New Roman"/>
        </w:rPr>
        <w:t xml:space="preserve"> (Wyo.1992)</w:t>
      </w:r>
      <w:r>
        <w:rPr>
          <w:rFonts w:ascii="Times New Roman" w:hAnsi="Times New Roman" w:cs="Times New Roman"/>
        </w:rPr>
        <w:t xml:space="preserve"> (holding </w:t>
      </w:r>
      <w:r w:rsidRPr="003702D4">
        <w:rPr>
          <w:rFonts w:ascii="Times New Roman" w:hAnsi="Times New Roman" w:cs="Times New Roman"/>
        </w:rPr>
        <w:t>that an employee's suicide is compensable if a work-related injury “produces mental derangement and the mental derangement produces suicide</w:t>
      </w:r>
      <w:r>
        <w:rPr>
          <w:rFonts w:ascii="Times New Roman" w:hAnsi="Times New Roman" w:cs="Times New Roman"/>
        </w:rPr>
        <w:t xml:space="preserve">,” </w:t>
      </w:r>
      <w:r w:rsidRPr="003702D4">
        <w:rPr>
          <w:rFonts w:ascii="Times New Roman" w:hAnsi="Times New Roman" w:cs="Times New Roman"/>
          <w:i/>
        </w:rPr>
        <w:t>quoting</w:t>
      </w:r>
      <w:r w:rsidRPr="003702D4">
        <w:rPr>
          <w:rFonts w:ascii="Times New Roman" w:hAnsi="Times New Roman" w:cs="Times New Roman"/>
        </w:rPr>
        <w:t xml:space="preserve"> </w:t>
      </w:r>
      <w:r>
        <w:rPr>
          <w:rFonts w:ascii="Times New Roman" w:hAnsi="Times New Roman" w:cs="Times New Roman"/>
        </w:rPr>
        <w:t>the then-current Larson’s treatise)</w:t>
      </w:r>
    </w:p>
  </w:footnote>
  <w:footnote w:id="407">
    <w:p w14:paraId="0627CE30" w14:textId="53D6814C" w:rsidR="00336EDF" w:rsidRDefault="00336EDF">
      <w:pPr>
        <w:pStyle w:val="FootnoteText"/>
      </w:pPr>
      <w:r w:rsidRPr="004D20B5">
        <w:rPr>
          <w:rStyle w:val="FootnoteReference"/>
          <w:rFonts w:ascii="Times New Roman" w:hAnsi="Times New Roman" w:cs="Times New Roman"/>
        </w:rPr>
        <w:footnoteRef/>
      </w:r>
      <w:r>
        <w:t xml:space="preserve"> </w:t>
      </w:r>
      <w:bookmarkStart w:id="562" w:name="f385"/>
      <w:bookmarkStart w:id="563" w:name="_Hlk520618231"/>
      <w:bookmarkEnd w:id="562"/>
      <w:r w:rsidRPr="00E70BF9">
        <w:rPr>
          <w:rFonts w:ascii="Times New Roman" w:hAnsi="Times New Roman" w:cs="Times New Roman"/>
        </w:rPr>
        <w:t>Brierly v. W</w:t>
      </w:r>
      <w:r>
        <w:rPr>
          <w:rFonts w:ascii="Times New Roman" w:hAnsi="Times New Roman" w:cs="Times New Roman"/>
        </w:rPr>
        <w:t>orkers’ Safety &amp; Compensation Div.</w:t>
      </w:r>
      <w:r>
        <w:rPr>
          <w:rFonts w:ascii="Times New Roman" w:hAnsi="Times New Roman" w:cs="Times New Roman"/>
          <w:i/>
        </w:rPr>
        <w:t>, supra.</w:t>
      </w:r>
      <w:r w:rsidRPr="004D20B5">
        <w:rPr>
          <w:rFonts w:ascii="Times New Roman" w:hAnsi="Times New Roman" w:cs="Times New Roman"/>
        </w:rPr>
        <w:t xml:space="preserve"> at 569</w:t>
      </w:r>
      <w:bookmarkEnd w:id="563"/>
    </w:p>
  </w:footnote>
  <w:footnote w:id="408">
    <w:p w14:paraId="5C2DD7B7" w14:textId="3D96A03D" w:rsidR="00336EDF" w:rsidRDefault="00336EDF">
      <w:pPr>
        <w:pStyle w:val="FootnoteText"/>
      </w:pPr>
      <w:r w:rsidRPr="004D20B5">
        <w:rPr>
          <w:rStyle w:val="FootnoteReference"/>
          <w:rFonts w:ascii="Times New Roman" w:hAnsi="Times New Roman" w:cs="Times New Roman"/>
        </w:rPr>
        <w:footnoteRef/>
      </w:r>
      <w:r w:rsidRPr="004D20B5">
        <w:rPr>
          <w:rFonts w:ascii="Times New Roman" w:hAnsi="Times New Roman" w:cs="Times New Roman"/>
        </w:rPr>
        <w:t xml:space="preserve"> </w:t>
      </w:r>
      <w:bookmarkStart w:id="564" w:name="f386"/>
      <w:bookmarkEnd w:id="564"/>
      <w:r w:rsidRPr="004D20B5">
        <w:rPr>
          <w:rFonts w:ascii="Times New Roman" w:hAnsi="Times New Roman" w:cs="Times New Roman"/>
          <w:i/>
        </w:rPr>
        <w:t>See</w:t>
      </w:r>
      <w:r w:rsidRPr="004D20B5">
        <w:rPr>
          <w:rFonts w:ascii="Times New Roman" w:hAnsi="Times New Roman" w:cs="Times New Roman"/>
        </w:rPr>
        <w:t xml:space="preserve"> this Treatise </w:t>
      </w:r>
      <w:r w:rsidRPr="004D20B5">
        <w:rPr>
          <w:rFonts w:ascii="Times New Roman" w:hAnsi="Times New Roman" w:cs="Times New Roman"/>
          <w:i/>
        </w:rPr>
        <w:t>supra</w:t>
      </w:r>
      <w:r w:rsidRPr="004D20B5">
        <w:rPr>
          <w:rFonts w:ascii="Times New Roman" w:hAnsi="Times New Roman" w:cs="Times New Roman"/>
        </w:rPr>
        <w:t xml:space="preserve">. at </w:t>
      </w:r>
      <w:r>
        <w:rPr>
          <w:rFonts w:ascii="Times New Roman" w:hAnsi="Times New Roman" w:cs="Times New Roman"/>
        </w:rPr>
        <w:t>§</w:t>
      </w:r>
      <w:r w:rsidRPr="004D20B5">
        <w:rPr>
          <w:rFonts w:ascii="Times New Roman" w:hAnsi="Times New Roman" w:cs="Times New Roman"/>
        </w:rPr>
        <w:t>3.12</w:t>
      </w:r>
    </w:p>
  </w:footnote>
  <w:footnote w:id="409">
    <w:p w14:paraId="463BA353" w14:textId="029B5B97" w:rsidR="00336EDF" w:rsidRDefault="00336EDF">
      <w:pPr>
        <w:pStyle w:val="FootnoteText"/>
      </w:pPr>
      <w:r w:rsidRPr="00E70BF9">
        <w:rPr>
          <w:rStyle w:val="FootnoteReference"/>
          <w:rFonts w:ascii="Times New Roman" w:hAnsi="Times New Roman" w:cs="Times New Roman"/>
        </w:rPr>
        <w:footnoteRef/>
      </w:r>
      <w:r>
        <w:t xml:space="preserve"> </w:t>
      </w:r>
      <w:bookmarkStart w:id="565" w:name="f387"/>
      <w:bookmarkEnd w:id="565"/>
      <w:r w:rsidRPr="00E70BF9">
        <w:rPr>
          <w:rFonts w:ascii="Times New Roman" w:hAnsi="Times New Roman" w:cs="Times New Roman"/>
        </w:rPr>
        <w:t>Brierly v.</w:t>
      </w:r>
      <w:r w:rsidRPr="00937FAF">
        <w:t xml:space="preserve"> </w:t>
      </w:r>
      <w:r w:rsidRPr="00937FAF">
        <w:rPr>
          <w:rFonts w:ascii="Times New Roman" w:hAnsi="Times New Roman" w:cs="Times New Roman"/>
        </w:rPr>
        <w:t>Workers’ Safety &amp; Compensation Div</w:t>
      </w:r>
      <w:r>
        <w:rPr>
          <w:rFonts w:ascii="Times New Roman" w:hAnsi="Times New Roman" w:cs="Times New Roman"/>
        </w:rPr>
        <w:t>.</w:t>
      </w:r>
      <w:r>
        <w:rPr>
          <w:rFonts w:ascii="Times New Roman" w:hAnsi="Times New Roman" w:cs="Times New Roman"/>
          <w:i/>
        </w:rPr>
        <w:t>, supra.</w:t>
      </w:r>
      <w:r w:rsidRPr="004D20B5">
        <w:rPr>
          <w:rFonts w:ascii="Times New Roman" w:hAnsi="Times New Roman" w:cs="Times New Roman"/>
        </w:rPr>
        <w:t xml:space="preserve"> at 569</w:t>
      </w:r>
    </w:p>
  </w:footnote>
  <w:footnote w:id="410">
    <w:p w14:paraId="3C592DC4" w14:textId="121CDCCD" w:rsidR="00336EDF" w:rsidRDefault="00336EDF">
      <w:pPr>
        <w:pStyle w:val="FootnoteText"/>
      </w:pPr>
      <w:r w:rsidRPr="006A4F16">
        <w:rPr>
          <w:rStyle w:val="FootnoteReference"/>
          <w:rFonts w:ascii="Times New Roman" w:hAnsi="Times New Roman" w:cs="Times New Roman"/>
        </w:rPr>
        <w:footnoteRef/>
      </w:r>
      <w:r>
        <w:t xml:space="preserve"> </w:t>
      </w:r>
      <w:bookmarkStart w:id="566" w:name="f388"/>
      <w:bookmarkEnd w:id="566"/>
      <w:r>
        <w:fldChar w:fldCharType="begin"/>
      </w:r>
      <w:r>
        <w:instrText xml:space="preserve"> HYPERLINK "https://www.courtlistener.com/opinion/2363159/wheeler-v-state-ex-rel-wyoming-workerssafety-comp-div/" </w:instrText>
      </w:r>
      <w:r>
        <w:fldChar w:fldCharType="separate"/>
      </w:r>
      <w:r w:rsidRPr="00DE333A">
        <w:rPr>
          <w:rStyle w:val="Hyperlink"/>
          <w:rFonts w:ascii="Times New Roman" w:hAnsi="Times New Roman" w:cs="Times New Roman"/>
        </w:rPr>
        <w:t>245 P.3d 811</w:t>
      </w:r>
      <w:r>
        <w:rPr>
          <w:rStyle w:val="Hyperlink"/>
          <w:rFonts w:ascii="Times New Roman" w:hAnsi="Times New Roman" w:cs="Times New Roman"/>
        </w:rPr>
        <w:fldChar w:fldCharType="end"/>
      </w:r>
      <w:r>
        <w:rPr>
          <w:rFonts w:ascii="Times New Roman" w:hAnsi="Times New Roman" w:cs="Times New Roman"/>
        </w:rPr>
        <w:t xml:space="preserve"> (2010)</w:t>
      </w:r>
      <w:r w:rsidRPr="006A4F16">
        <w:rPr>
          <w:rFonts w:ascii="Times New Roman" w:hAnsi="Times New Roman" w:cs="Times New Roman"/>
        </w:rPr>
        <w:t xml:space="preserve">; </w:t>
      </w:r>
      <w:r w:rsidRPr="006A4F16">
        <w:rPr>
          <w:rFonts w:ascii="Times New Roman" w:hAnsi="Times New Roman" w:cs="Times New Roman"/>
          <w:i/>
        </w:rPr>
        <w:t>see</w:t>
      </w:r>
      <w:r w:rsidRPr="006A4F16">
        <w:rPr>
          <w:rFonts w:ascii="Times New Roman" w:hAnsi="Times New Roman" w:cs="Times New Roman"/>
        </w:rPr>
        <w:t xml:space="preserve"> this Treatise</w:t>
      </w:r>
      <w:r>
        <w:rPr>
          <w:rFonts w:ascii="Times New Roman" w:hAnsi="Times New Roman" w:cs="Times New Roman"/>
        </w:rPr>
        <w:t>,</w:t>
      </w:r>
      <w:r w:rsidRPr="006A4F16">
        <w:rPr>
          <w:rFonts w:ascii="Times New Roman" w:hAnsi="Times New Roman" w:cs="Times New Roman"/>
        </w:rPr>
        <w:t xml:space="preserve"> </w:t>
      </w:r>
      <w:r w:rsidRPr="006A4F16">
        <w:rPr>
          <w:rFonts w:ascii="Times New Roman" w:hAnsi="Times New Roman" w:cs="Times New Roman"/>
          <w:i/>
        </w:rPr>
        <w:t>supra</w:t>
      </w:r>
      <w:r w:rsidRPr="006A4F16">
        <w:rPr>
          <w:rFonts w:ascii="Times New Roman" w:hAnsi="Times New Roman" w:cs="Times New Roman"/>
        </w:rPr>
        <w:t>. at §3.12</w:t>
      </w:r>
    </w:p>
  </w:footnote>
  <w:footnote w:id="411">
    <w:p w14:paraId="4754BFF9" w14:textId="28605802" w:rsidR="00336EDF" w:rsidRDefault="00336EDF">
      <w:pPr>
        <w:pStyle w:val="FootnoteText"/>
      </w:pPr>
      <w:r w:rsidRPr="006A4F16">
        <w:rPr>
          <w:rStyle w:val="FootnoteReference"/>
          <w:rFonts w:ascii="Times New Roman" w:hAnsi="Times New Roman" w:cs="Times New Roman"/>
        </w:rPr>
        <w:footnoteRef/>
      </w:r>
      <w:r>
        <w:t xml:space="preserve"> </w:t>
      </w:r>
      <w:bookmarkStart w:id="567" w:name="f389"/>
      <w:bookmarkEnd w:id="567"/>
      <w:r w:rsidRPr="006A4F16">
        <w:rPr>
          <w:rFonts w:ascii="Times New Roman" w:hAnsi="Times New Roman" w:cs="Times New Roman"/>
          <w:i/>
        </w:rPr>
        <w:t>Id</w:t>
      </w:r>
      <w:r w:rsidRPr="006A4F16">
        <w:rPr>
          <w:rFonts w:ascii="Times New Roman" w:hAnsi="Times New Roman" w:cs="Times New Roman"/>
        </w:rPr>
        <w:t>. at 817</w:t>
      </w:r>
    </w:p>
  </w:footnote>
  <w:footnote w:id="412">
    <w:p w14:paraId="7E9C9D15" w14:textId="7AAA7BFD" w:rsidR="00336EDF" w:rsidRDefault="00336EDF">
      <w:pPr>
        <w:pStyle w:val="FootnoteText"/>
      </w:pPr>
      <w:r w:rsidRPr="00E43749">
        <w:rPr>
          <w:rStyle w:val="FootnoteReference"/>
          <w:rFonts w:ascii="Times New Roman" w:hAnsi="Times New Roman" w:cs="Times New Roman"/>
        </w:rPr>
        <w:footnoteRef/>
      </w:r>
      <w:r>
        <w:t xml:space="preserve"> </w:t>
      </w:r>
      <w:bookmarkStart w:id="570" w:name="f390"/>
      <w:bookmarkEnd w:id="570"/>
      <w:r w:rsidRPr="00E43749">
        <w:rPr>
          <w:rFonts w:ascii="Times New Roman" w:hAnsi="Times New Roman" w:cs="Times New Roman"/>
        </w:rPr>
        <w:t xml:space="preserve">Johnson v. Workers’ Compensation Div., </w:t>
      </w:r>
      <w:hyperlink r:id="rId161" w:history="1">
        <w:r w:rsidRPr="00DE333A">
          <w:rPr>
            <w:rStyle w:val="Hyperlink"/>
            <w:rFonts w:ascii="Times New Roman" w:hAnsi="Times New Roman" w:cs="Times New Roman"/>
          </w:rPr>
          <w:t>911 P.2d 1054</w:t>
        </w:r>
      </w:hyperlink>
      <w:r w:rsidRPr="00E43749">
        <w:rPr>
          <w:rFonts w:ascii="Times New Roman" w:hAnsi="Times New Roman" w:cs="Times New Roman"/>
        </w:rPr>
        <w:t>, 1062 (Wyo. 1996)</w:t>
      </w:r>
      <w:r>
        <w:rPr>
          <w:rFonts w:ascii="Times New Roman" w:hAnsi="Times New Roman" w:cs="Times New Roman"/>
        </w:rPr>
        <w:t xml:space="preserve"> (Emphasis supplied)</w:t>
      </w:r>
    </w:p>
  </w:footnote>
  <w:footnote w:id="413">
    <w:p w14:paraId="1E1E0A37" w14:textId="0F90ABBE" w:rsidR="00336EDF" w:rsidRDefault="00336EDF">
      <w:pPr>
        <w:pStyle w:val="FootnoteText"/>
      </w:pPr>
      <w:r w:rsidRPr="00E43749">
        <w:rPr>
          <w:rStyle w:val="FootnoteReference"/>
          <w:rFonts w:ascii="Times New Roman" w:hAnsi="Times New Roman" w:cs="Times New Roman"/>
        </w:rPr>
        <w:footnoteRef/>
      </w:r>
      <w:r>
        <w:t xml:space="preserve"> </w:t>
      </w:r>
      <w:bookmarkStart w:id="571" w:name="f391"/>
      <w:bookmarkEnd w:id="571"/>
      <w:r w:rsidRPr="00E43749">
        <w:rPr>
          <w:rFonts w:ascii="Times New Roman" w:hAnsi="Times New Roman" w:cs="Times New Roman"/>
          <w:i/>
        </w:rPr>
        <w:t>Id.</w:t>
      </w:r>
    </w:p>
  </w:footnote>
  <w:footnote w:id="414">
    <w:p w14:paraId="65D81E3E" w14:textId="34AD6840" w:rsidR="00336EDF" w:rsidRDefault="00336EDF">
      <w:pPr>
        <w:pStyle w:val="FootnoteText"/>
      </w:pPr>
      <w:r w:rsidRPr="00E4440F">
        <w:rPr>
          <w:rStyle w:val="FootnoteReference"/>
          <w:rFonts w:ascii="Times New Roman" w:hAnsi="Times New Roman" w:cs="Times New Roman"/>
        </w:rPr>
        <w:footnoteRef/>
      </w:r>
      <w:r w:rsidRPr="00E4440F">
        <w:rPr>
          <w:rStyle w:val="FootnoteReference"/>
          <w:rFonts w:ascii="Times New Roman" w:hAnsi="Times New Roman" w:cs="Times New Roman"/>
        </w:rPr>
        <w:t xml:space="preserve"> </w:t>
      </w:r>
      <w:bookmarkStart w:id="572" w:name="f392"/>
      <w:bookmarkEnd w:id="572"/>
      <w:r w:rsidRPr="00E4440F">
        <w:rPr>
          <w:rFonts w:ascii="Times New Roman" w:hAnsi="Times New Roman" w:cs="Times New Roman"/>
          <w:i/>
        </w:rPr>
        <w:t>Id</w:t>
      </w:r>
      <w:r w:rsidRPr="00E4440F">
        <w:rPr>
          <w:rFonts w:ascii="Times New Roman" w:hAnsi="Times New Roman" w:cs="Times New Roman"/>
        </w:rPr>
        <w:t>. at 1061</w:t>
      </w:r>
      <w:r>
        <w:rPr>
          <w:rFonts w:ascii="Times New Roman" w:hAnsi="Times New Roman" w:cs="Times New Roman"/>
        </w:rPr>
        <w:t xml:space="preserve">; </w:t>
      </w:r>
      <w:r w:rsidRPr="00E4440F">
        <w:rPr>
          <w:rFonts w:ascii="Times New Roman" w:hAnsi="Times New Roman" w:cs="Times New Roman"/>
          <w:i/>
        </w:rPr>
        <w:t>see also</w:t>
      </w:r>
      <w:r>
        <w:rPr>
          <w:rFonts w:ascii="Times New Roman" w:hAnsi="Times New Roman" w:cs="Times New Roman"/>
        </w:rPr>
        <w:t xml:space="preserve"> </w:t>
      </w:r>
      <w:r w:rsidRPr="00E4440F">
        <w:rPr>
          <w:rFonts w:ascii="Times New Roman" w:hAnsi="Times New Roman" w:cs="Times New Roman"/>
        </w:rPr>
        <w:t>Coleman v. Workers</w:t>
      </w:r>
      <w:r>
        <w:rPr>
          <w:rFonts w:ascii="Times New Roman" w:hAnsi="Times New Roman" w:cs="Times New Roman"/>
        </w:rPr>
        <w:t>’</w:t>
      </w:r>
      <w:r w:rsidRPr="00E4440F">
        <w:rPr>
          <w:rFonts w:ascii="Times New Roman" w:hAnsi="Times New Roman" w:cs="Times New Roman"/>
        </w:rPr>
        <w:t xml:space="preserve"> Compensation Div.</w:t>
      </w:r>
      <w:r>
        <w:rPr>
          <w:rFonts w:ascii="Times New Roman" w:hAnsi="Times New Roman" w:cs="Times New Roman"/>
        </w:rPr>
        <w:t xml:space="preserve">, </w:t>
      </w:r>
      <w:hyperlink r:id="rId162" w:history="1">
        <w:r w:rsidRPr="00DE333A">
          <w:rPr>
            <w:rStyle w:val="Hyperlink"/>
            <w:rFonts w:ascii="Times New Roman" w:hAnsi="Times New Roman" w:cs="Times New Roman"/>
          </w:rPr>
          <w:t>915 P.2d 595</w:t>
        </w:r>
      </w:hyperlink>
      <w:r>
        <w:rPr>
          <w:rFonts w:ascii="Times New Roman" w:hAnsi="Times New Roman" w:cs="Times New Roman"/>
        </w:rPr>
        <w:t>, 599 (Wyo. 1996)</w:t>
      </w:r>
    </w:p>
  </w:footnote>
  <w:footnote w:id="415">
    <w:p w14:paraId="6E8FF8D5" w14:textId="31BD6127" w:rsidR="00336EDF" w:rsidRPr="008D0E08" w:rsidRDefault="00336EDF">
      <w:pPr>
        <w:pStyle w:val="FootnoteText"/>
        <w:rPr>
          <w:rFonts w:ascii="Times New Roman" w:hAnsi="Times New Roman" w:cs="Times New Roman"/>
        </w:rPr>
      </w:pPr>
      <w:r w:rsidRPr="008D0E08">
        <w:rPr>
          <w:rStyle w:val="FootnoteReference"/>
          <w:rFonts w:ascii="Times New Roman" w:hAnsi="Times New Roman" w:cs="Times New Roman"/>
        </w:rPr>
        <w:footnoteRef/>
      </w:r>
      <w:r>
        <w:t xml:space="preserve"> </w:t>
      </w:r>
      <w:bookmarkStart w:id="573" w:name="f393"/>
      <w:bookmarkStart w:id="574" w:name="_Hlk520638680"/>
      <w:bookmarkEnd w:id="573"/>
      <w:r w:rsidRPr="003866AE">
        <w:rPr>
          <w:rFonts w:ascii="Times New Roman" w:hAnsi="Times New Roman" w:cs="Times New Roman"/>
        </w:rPr>
        <w:t>WY Rules and Regulations 053.0021.1 § 3(cc);</w:t>
      </w:r>
      <w:r>
        <w:t xml:space="preserve"> </w:t>
      </w:r>
      <w:r w:rsidRPr="003866AE">
        <w:t xml:space="preserve"> </w:t>
      </w:r>
      <w:r w:rsidRPr="008D0E08">
        <w:rPr>
          <w:rFonts w:ascii="Times New Roman" w:hAnsi="Times New Roman" w:cs="Times New Roman"/>
        </w:rPr>
        <w:t xml:space="preserve">WSD WCD </w:t>
      </w:r>
      <w:hyperlink r:id="rId163" w:history="1">
        <w:r w:rsidRPr="00373963">
          <w:rPr>
            <w:rStyle w:val="Hyperlink"/>
            <w:rFonts w:ascii="Times New Roman" w:hAnsi="Times New Roman" w:cs="Times New Roman"/>
          </w:rPr>
          <w:t>Ch. 1</w:t>
        </w:r>
      </w:hyperlink>
      <w:r w:rsidRPr="008D0E08">
        <w:rPr>
          <w:rFonts w:ascii="Times New Roman" w:hAnsi="Times New Roman" w:cs="Times New Roman"/>
        </w:rPr>
        <w:t>, § 3(cc)</w:t>
      </w:r>
    </w:p>
    <w:bookmarkEnd w:id="574"/>
  </w:footnote>
  <w:footnote w:id="416">
    <w:p w14:paraId="759B6035" w14:textId="282208A3" w:rsidR="00336EDF" w:rsidRDefault="00336EDF">
      <w:pPr>
        <w:pStyle w:val="FootnoteText"/>
      </w:pPr>
      <w:r w:rsidRPr="008C4362">
        <w:rPr>
          <w:rStyle w:val="FootnoteReference"/>
          <w:rFonts w:ascii="Times New Roman" w:hAnsi="Times New Roman" w:cs="Times New Roman"/>
        </w:rPr>
        <w:footnoteRef/>
      </w:r>
      <w:r>
        <w:t xml:space="preserve"> </w:t>
      </w:r>
      <w:bookmarkStart w:id="575" w:name="f394"/>
      <w:bookmarkEnd w:id="575"/>
      <w:r w:rsidRPr="003866AE">
        <w:rPr>
          <w:rFonts w:ascii="Times New Roman" w:hAnsi="Times New Roman" w:cs="Times New Roman"/>
        </w:rPr>
        <w:t>WY Rules and Regulations 053.0021.1 § 3(uu);</w:t>
      </w:r>
      <w:r>
        <w:t xml:space="preserve"> </w:t>
      </w:r>
      <w:r w:rsidRPr="008D0E08">
        <w:rPr>
          <w:rFonts w:ascii="Times New Roman" w:hAnsi="Times New Roman" w:cs="Times New Roman"/>
        </w:rPr>
        <w:t xml:space="preserve">WSD WCD </w:t>
      </w:r>
      <w:hyperlink r:id="rId164" w:history="1">
        <w:r w:rsidRPr="00373963">
          <w:rPr>
            <w:rStyle w:val="Hyperlink"/>
            <w:rFonts w:ascii="Times New Roman" w:hAnsi="Times New Roman" w:cs="Times New Roman"/>
          </w:rPr>
          <w:t>Ch. 1</w:t>
        </w:r>
      </w:hyperlink>
      <w:r w:rsidRPr="008D0E08">
        <w:rPr>
          <w:rFonts w:ascii="Times New Roman" w:hAnsi="Times New Roman" w:cs="Times New Roman"/>
        </w:rPr>
        <w:t>, § 3(</w:t>
      </w:r>
      <w:r>
        <w:rPr>
          <w:rFonts w:ascii="Times New Roman" w:hAnsi="Times New Roman" w:cs="Times New Roman"/>
        </w:rPr>
        <w:t>uu</w:t>
      </w:r>
      <w:r w:rsidRPr="008D0E08">
        <w:rPr>
          <w:rFonts w:ascii="Times New Roman" w:hAnsi="Times New Roman" w:cs="Times New Roman"/>
        </w:rPr>
        <w:t>)</w:t>
      </w:r>
    </w:p>
  </w:footnote>
  <w:footnote w:id="417">
    <w:p w14:paraId="630C6B61" w14:textId="573D6150" w:rsidR="00336EDF" w:rsidRDefault="00336EDF">
      <w:pPr>
        <w:pStyle w:val="FootnoteText"/>
      </w:pPr>
      <w:r w:rsidRPr="009420EF">
        <w:rPr>
          <w:rStyle w:val="FootnoteReference"/>
          <w:rFonts w:ascii="Times New Roman" w:hAnsi="Times New Roman" w:cs="Times New Roman"/>
        </w:rPr>
        <w:footnoteRef/>
      </w:r>
      <w:r>
        <w:t xml:space="preserve"> </w:t>
      </w:r>
      <w:bookmarkStart w:id="576" w:name="f395"/>
      <w:bookmarkStart w:id="577" w:name="_Hlk520641612"/>
      <w:bookmarkEnd w:id="576"/>
      <w:r w:rsidRPr="00D52E15">
        <w:rPr>
          <w:rFonts w:ascii="Times New Roman" w:hAnsi="Times New Roman" w:cs="Times New Roman"/>
        </w:rPr>
        <w:t>3</w:t>
      </w:r>
      <w:r w:rsidRPr="009420EF">
        <w:t xml:space="preserve"> </w:t>
      </w:r>
      <w:r w:rsidRPr="009420EF">
        <w:rPr>
          <w:rFonts w:ascii="Times New Roman" w:hAnsi="Times New Roman" w:cs="Times New Roman"/>
          <w:smallCaps/>
        </w:rPr>
        <w:t>Larson's Workers' Compensation Law</w:t>
      </w:r>
      <w:bookmarkEnd w:id="577"/>
      <w:r w:rsidRPr="009420EF">
        <w:rPr>
          <w:rFonts w:ascii="Times New Roman" w:hAnsi="Times New Roman" w:cs="Times New Roman"/>
          <w:smallCaps/>
        </w:rPr>
        <w:t xml:space="preserve"> </w:t>
      </w:r>
      <w:bookmarkStart w:id="578" w:name="_Hlk520641636"/>
      <w:r w:rsidRPr="009420EF">
        <w:rPr>
          <w:rFonts w:ascii="Times New Roman" w:hAnsi="Times New Roman" w:cs="Times New Roman"/>
          <w:smallCaps/>
        </w:rPr>
        <w:t>§ 36.03</w:t>
      </w:r>
      <w:r>
        <w:rPr>
          <w:rFonts w:ascii="Times New Roman" w:hAnsi="Times New Roman" w:cs="Times New Roman"/>
          <w:smallCaps/>
        </w:rPr>
        <w:t>,</w:t>
      </w:r>
      <w:bookmarkEnd w:id="578"/>
      <w:r>
        <w:rPr>
          <w:rFonts w:ascii="Times New Roman" w:hAnsi="Times New Roman" w:cs="Times New Roman"/>
          <w:smallCaps/>
        </w:rPr>
        <w:t xml:space="preserve"> </w:t>
      </w:r>
      <w:r w:rsidRPr="009420EF">
        <w:rPr>
          <w:rFonts w:ascii="Times New Roman" w:hAnsi="Times New Roman" w:cs="Times New Roman"/>
        </w:rPr>
        <w:t>n.</w:t>
      </w:r>
      <w:r>
        <w:rPr>
          <w:rFonts w:ascii="Times New Roman" w:hAnsi="Times New Roman" w:cs="Times New Roman"/>
          <w:smallCaps/>
        </w:rPr>
        <w:t xml:space="preserve">19 </w:t>
      </w:r>
      <w:r w:rsidRPr="009420EF">
        <w:rPr>
          <w:rFonts w:ascii="Times New Roman" w:hAnsi="Times New Roman" w:cs="Times New Roman"/>
        </w:rPr>
        <w:t>and accompanying text</w:t>
      </w:r>
      <w:r>
        <w:rPr>
          <w:rFonts w:ascii="Times New Roman" w:hAnsi="Times New Roman" w:cs="Times New Roman"/>
          <w:smallCaps/>
        </w:rPr>
        <w:t xml:space="preserve"> </w:t>
      </w:r>
    </w:p>
  </w:footnote>
  <w:footnote w:id="418">
    <w:p w14:paraId="194567FA" w14:textId="44ACDBF3" w:rsidR="00336EDF" w:rsidRDefault="00336EDF">
      <w:pPr>
        <w:pStyle w:val="FootnoteText"/>
      </w:pPr>
      <w:r w:rsidRPr="00D52E15">
        <w:rPr>
          <w:rStyle w:val="FootnoteReference"/>
          <w:rFonts w:ascii="Times New Roman" w:hAnsi="Times New Roman" w:cs="Times New Roman"/>
        </w:rPr>
        <w:footnoteRef/>
      </w:r>
      <w:r>
        <w:t xml:space="preserve"> </w:t>
      </w:r>
      <w:bookmarkStart w:id="579" w:name="f396"/>
      <w:bookmarkEnd w:id="579"/>
      <w:r w:rsidRPr="00D52E15">
        <w:rPr>
          <w:rFonts w:ascii="Times New Roman" w:hAnsi="Times New Roman" w:cs="Times New Roman"/>
        </w:rPr>
        <w:t>3</w:t>
      </w:r>
      <w:r w:rsidRPr="009420EF">
        <w:t xml:space="preserve"> </w:t>
      </w:r>
      <w:r w:rsidRPr="009420EF">
        <w:rPr>
          <w:rFonts w:ascii="Times New Roman" w:hAnsi="Times New Roman" w:cs="Times New Roman"/>
          <w:smallCaps/>
        </w:rPr>
        <w:t>Larson's Workers' Compensation Law</w:t>
      </w:r>
      <w:r>
        <w:rPr>
          <w:rFonts w:ascii="Times New Roman" w:hAnsi="Times New Roman" w:cs="Times New Roman"/>
          <w:smallCaps/>
        </w:rPr>
        <w:t xml:space="preserve"> </w:t>
      </w:r>
      <w:r w:rsidRPr="009420EF">
        <w:rPr>
          <w:rFonts w:ascii="Times New Roman" w:hAnsi="Times New Roman" w:cs="Times New Roman"/>
          <w:smallCaps/>
        </w:rPr>
        <w:t>§ 36.03,</w:t>
      </w:r>
      <w:r>
        <w:rPr>
          <w:rFonts w:ascii="Times New Roman" w:hAnsi="Times New Roman" w:cs="Times New Roman"/>
          <w:smallCaps/>
        </w:rPr>
        <w:t xml:space="preserve"> </w:t>
      </w:r>
      <w:r w:rsidRPr="00D52E15">
        <w:rPr>
          <w:rFonts w:ascii="Times New Roman" w:hAnsi="Times New Roman" w:cs="Times New Roman"/>
        </w:rPr>
        <w:t>n. 32-36 and accompanying text</w:t>
      </w:r>
    </w:p>
  </w:footnote>
  <w:footnote w:id="419">
    <w:p w14:paraId="1BC36B9E" w14:textId="5DCC9410" w:rsidR="00336EDF" w:rsidRDefault="00336EDF">
      <w:pPr>
        <w:pStyle w:val="FootnoteText"/>
      </w:pPr>
      <w:r w:rsidRPr="000C2C7F">
        <w:rPr>
          <w:rStyle w:val="FootnoteReference"/>
          <w:rFonts w:ascii="Times New Roman" w:hAnsi="Times New Roman" w:cs="Times New Roman"/>
        </w:rPr>
        <w:footnoteRef/>
      </w:r>
      <w:r w:rsidRPr="000C2C7F">
        <w:rPr>
          <w:rFonts w:ascii="Times New Roman" w:hAnsi="Times New Roman" w:cs="Times New Roman"/>
        </w:rPr>
        <w:t xml:space="preserve"> </w:t>
      </w:r>
      <w:bookmarkStart w:id="582" w:name="f397"/>
      <w:bookmarkStart w:id="583" w:name="_Hlk521078494"/>
      <w:bookmarkEnd w:id="582"/>
      <w:r>
        <w:rPr>
          <w:rFonts w:ascii="Times New Roman" w:hAnsi="Times New Roman" w:cs="Times New Roman"/>
          <w:smallCaps/>
        </w:rPr>
        <w:t>11</w:t>
      </w:r>
      <w:r w:rsidRPr="000C2C7F">
        <w:rPr>
          <w:rFonts w:ascii="Times New Roman" w:hAnsi="Times New Roman" w:cs="Times New Roman"/>
          <w:smallCaps/>
        </w:rPr>
        <w:t xml:space="preserve"> Larson's Workers' Compensation</w:t>
      </w:r>
      <w:bookmarkEnd w:id="583"/>
      <w:r w:rsidRPr="000C2C7F">
        <w:rPr>
          <w:rFonts w:ascii="Times New Roman" w:hAnsi="Times New Roman" w:cs="Times New Roman"/>
          <w:smallCaps/>
        </w:rPr>
        <w:t xml:space="preserve"> </w:t>
      </w:r>
      <w:r>
        <w:rPr>
          <w:rFonts w:ascii="Times New Roman" w:hAnsi="Times New Roman" w:cs="Times New Roman"/>
          <w:smallCaps/>
        </w:rPr>
        <w:t>§ 126.01</w:t>
      </w:r>
    </w:p>
  </w:footnote>
  <w:footnote w:id="420">
    <w:p w14:paraId="305F88E2" w14:textId="2E17E804" w:rsidR="00336EDF" w:rsidRDefault="00336EDF">
      <w:pPr>
        <w:pStyle w:val="FootnoteText"/>
      </w:pPr>
      <w:r w:rsidRPr="00741CDA">
        <w:rPr>
          <w:rStyle w:val="FootnoteReference"/>
          <w:rFonts w:ascii="Times New Roman" w:hAnsi="Times New Roman" w:cs="Times New Roman"/>
        </w:rPr>
        <w:footnoteRef/>
      </w:r>
      <w:r w:rsidRPr="00741CDA">
        <w:rPr>
          <w:rFonts w:ascii="Times New Roman" w:hAnsi="Times New Roman" w:cs="Times New Roman"/>
        </w:rPr>
        <w:t xml:space="preserve"> </w:t>
      </w:r>
      <w:bookmarkStart w:id="584" w:name="f398"/>
      <w:bookmarkEnd w:id="584"/>
      <w:r w:rsidRPr="00741CDA">
        <w:rPr>
          <w:i/>
        </w:rPr>
        <w:t>See</w:t>
      </w:r>
      <w:r>
        <w:t xml:space="preserve"> </w:t>
      </w:r>
      <w:r>
        <w:rPr>
          <w:rFonts w:ascii="Times New Roman" w:hAnsi="Times New Roman" w:cs="Times New Roman"/>
          <w:smallCaps/>
        </w:rPr>
        <w:t>11</w:t>
      </w:r>
      <w:r w:rsidRPr="000C2C7F">
        <w:rPr>
          <w:rFonts w:ascii="Times New Roman" w:hAnsi="Times New Roman" w:cs="Times New Roman"/>
          <w:smallCaps/>
        </w:rPr>
        <w:t xml:space="preserve"> Larson's Workers' Compensation</w:t>
      </w:r>
      <w:r>
        <w:rPr>
          <w:rFonts w:ascii="Times New Roman" w:hAnsi="Times New Roman" w:cs="Times New Roman"/>
          <w:smallCaps/>
        </w:rPr>
        <w:t xml:space="preserve"> </w:t>
      </w:r>
      <w:bookmarkStart w:id="585" w:name="_Hlk12119149"/>
      <w:r>
        <w:rPr>
          <w:rFonts w:ascii="Times New Roman" w:hAnsi="Times New Roman" w:cs="Times New Roman"/>
          <w:smallCaps/>
        </w:rPr>
        <w:t xml:space="preserve">§ 126.04 </w:t>
      </w:r>
      <w:bookmarkEnd w:id="585"/>
      <w:r>
        <w:rPr>
          <w:rFonts w:ascii="Times New Roman" w:hAnsi="Times New Roman" w:cs="Times New Roman"/>
          <w:smallCaps/>
        </w:rPr>
        <w:t>[4]</w:t>
      </w:r>
    </w:p>
  </w:footnote>
  <w:footnote w:id="421">
    <w:p w14:paraId="2FDB3CC3" w14:textId="583FDF60" w:rsidR="00336EDF" w:rsidRDefault="00336EDF">
      <w:pPr>
        <w:pStyle w:val="FootnoteText"/>
      </w:pPr>
      <w:r w:rsidRPr="0025052E">
        <w:rPr>
          <w:rStyle w:val="FootnoteReference"/>
          <w:rFonts w:ascii="Times New Roman" w:hAnsi="Times New Roman" w:cs="Times New Roman"/>
        </w:rPr>
        <w:footnoteRef/>
      </w:r>
      <w:r w:rsidRPr="0025052E">
        <w:rPr>
          <w:rFonts w:ascii="Times New Roman" w:hAnsi="Times New Roman" w:cs="Times New Roman"/>
        </w:rPr>
        <w:t xml:space="preserve"> </w:t>
      </w:r>
      <w:bookmarkStart w:id="594" w:name="f399"/>
      <w:bookmarkStart w:id="595" w:name="_Hlk521262933"/>
      <w:bookmarkEnd w:id="594"/>
      <w:r w:rsidRPr="0025052E">
        <w:rPr>
          <w:rFonts w:ascii="Times New Roman" w:hAnsi="Times New Roman" w:cs="Times New Roman"/>
        </w:rPr>
        <w:t xml:space="preserve">Clark v. Workers’ Safety </w:t>
      </w:r>
      <w:r>
        <w:rPr>
          <w:rFonts w:ascii="Times New Roman" w:hAnsi="Times New Roman" w:cs="Times New Roman"/>
        </w:rPr>
        <w:t>&amp;</w:t>
      </w:r>
      <w:r w:rsidRPr="0025052E">
        <w:rPr>
          <w:rFonts w:ascii="Times New Roman" w:hAnsi="Times New Roman" w:cs="Times New Roman"/>
        </w:rPr>
        <w:t xml:space="preserve"> Compensation Div., </w:t>
      </w:r>
      <w:hyperlink r:id="rId165" w:history="1">
        <w:r w:rsidRPr="008C2C0E">
          <w:rPr>
            <w:rStyle w:val="Hyperlink"/>
            <w:rFonts w:ascii="Times New Roman" w:hAnsi="Times New Roman" w:cs="Times New Roman"/>
          </w:rPr>
          <w:t>968 P.2d 436</w:t>
        </w:r>
      </w:hyperlink>
      <w:r w:rsidRPr="0025052E">
        <w:rPr>
          <w:rFonts w:ascii="Times New Roman" w:hAnsi="Times New Roman" w:cs="Times New Roman"/>
        </w:rPr>
        <w:t xml:space="preserve"> (Wyo. 1998).</w:t>
      </w:r>
      <w:bookmarkEnd w:id="595"/>
    </w:p>
  </w:footnote>
  <w:footnote w:id="422">
    <w:p w14:paraId="24A17A0D" w14:textId="133BBB41" w:rsidR="00336EDF" w:rsidRPr="0054718C" w:rsidRDefault="00336EDF">
      <w:pPr>
        <w:pStyle w:val="FootnoteText"/>
        <w:rPr>
          <w:rFonts w:ascii="Times New Roman" w:hAnsi="Times New Roman" w:cs="Times New Roman"/>
        </w:rPr>
      </w:pPr>
      <w:r w:rsidRPr="0054718C">
        <w:rPr>
          <w:rStyle w:val="FootnoteReference"/>
          <w:rFonts w:ascii="Times New Roman" w:hAnsi="Times New Roman" w:cs="Times New Roman"/>
        </w:rPr>
        <w:footnoteRef/>
      </w:r>
      <w:r w:rsidRPr="0054718C">
        <w:rPr>
          <w:rFonts w:ascii="Times New Roman" w:hAnsi="Times New Roman" w:cs="Times New Roman"/>
        </w:rPr>
        <w:t xml:space="preserve"> </w:t>
      </w:r>
      <w:bookmarkStart w:id="597" w:name="f400"/>
      <w:bookmarkEnd w:id="597"/>
      <w:r>
        <w:fldChar w:fldCharType="begin"/>
      </w:r>
      <w:r>
        <w:instrText xml:space="preserve"> HYPERLINK "https://www.leagle.com/decision/200151919p3d5001519" </w:instrText>
      </w:r>
      <w:r>
        <w:fldChar w:fldCharType="separate"/>
      </w:r>
      <w:r w:rsidRPr="008C2C0E">
        <w:rPr>
          <w:rStyle w:val="Hyperlink"/>
          <w:rFonts w:ascii="Times New Roman" w:hAnsi="Times New Roman" w:cs="Times New Roman"/>
        </w:rPr>
        <w:t>19 P.3d 500</w:t>
      </w:r>
      <w:r>
        <w:rPr>
          <w:rStyle w:val="Hyperlink"/>
          <w:rFonts w:ascii="Times New Roman" w:hAnsi="Times New Roman" w:cs="Times New Roman"/>
        </w:rPr>
        <w:fldChar w:fldCharType="end"/>
      </w:r>
      <w:r w:rsidRPr="0054718C">
        <w:rPr>
          <w:rFonts w:ascii="Times New Roman" w:hAnsi="Times New Roman" w:cs="Times New Roman"/>
        </w:rPr>
        <w:t xml:space="preserve"> (Wyo. 2001)</w:t>
      </w:r>
    </w:p>
  </w:footnote>
  <w:footnote w:id="423">
    <w:p w14:paraId="24BFF565" w14:textId="6B697138" w:rsidR="00336EDF" w:rsidRDefault="00336EDF">
      <w:pPr>
        <w:pStyle w:val="FootnoteText"/>
      </w:pPr>
      <w:r w:rsidRPr="0054718C">
        <w:rPr>
          <w:rStyle w:val="FootnoteReference"/>
          <w:rFonts w:ascii="Times New Roman" w:hAnsi="Times New Roman" w:cs="Times New Roman"/>
        </w:rPr>
        <w:footnoteRef/>
      </w:r>
      <w:r>
        <w:t xml:space="preserve"> </w:t>
      </w:r>
      <w:bookmarkStart w:id="598" w:name="f401"/>
      <w:bookmarkEnd w:id="598"/>
      <w:r w:rsidRPr="00ED18C3">
        <w:rPr>
          <w:rFonts w:ascii="Times New Roman" w:hAnsi="Times New Roman" w:cs="Times New Roman"/>
          <w:i/>
          <w:iCs/>
        </w:rPr>
        <w:t>Id</w:t>
      </w:r>
      <w:r w:rsidRPr="0054718C">
        <w:rPr>
          <w:rFonts w:ascii="Times New Roman" w:hAnsi="Times New Roman" w:cs="Times New Roman"/>
        </w:rPr>
        <w:t>. at 503</w:t>
      </w:r>
    </w:p>
  </w:footnote>
  <w:footnote w:id="424">
    <w:p w14:paraId="16C5D55C" w14:textId="01D05A78" w:rsidR="00336EDF" w:rsidRDefault="00336EDF">
      <w:pPr>
        <w:pStyle w:val="FootnoteText"/>
      </w:pPr>
      <w:r w:rsidRPr="0054718C">
        <w:rPr>
          <w:rStyle w:val="FootnoteReference"/>
          <w:rFonts w:ascii="Times New Roman" w:hAnsi="Times New Roman" w:cs="Times New Roman"/>
        </w:rPr>
        <w:footnoteRef/>
      </w:r>
      <w:r>
        <w:t xml:space="preserve"> </w:t>
      </w:r>
      <w:bookmarkStart w:id="599" w:name="f402"/>
      <w:bookmarkEnd w:id="599"/>
      <w:r w:rsidRPr="0054718C">
        <w:rPr>
          <w:rFonts w:ascii="Times New Roman" w:hAnsi="Times New Roman" w:cs="Times New Roman"/>
          <w:i/>
        </w:rPr>
        <w:t>Id</w:t>
      </w:r>
      <w:r w:rsidRPr="0054718C">
        <w:rPr>
          <w:rFonts w:ascii="Times New Roman" w:hAnsi="Times New Roman" w:cs="Times New Roman"/>
        </w:rPr>
        <w:t>.</w:t>
      </w:r>
    </w:p>
  </w:footnote>
  <w:footnote w:id="425">
    <w:p w14:paraId="67FE43CC" w14:textId="538B6632" w:rsidR="00336EDF" w:rsidRDefault="00336EDF">
      <w:pPr>
        <w:pStyle w:val="FootnoteText"/>
      </w:pPr>
      <w:r w:rsidRPr="0054718C">
        <w:rPr>
          <w:rStyle w:val="FootnoteReference"/>
          <w:rFonts w:ascii="Times New Roman" w:hAnsi="Times New Roman" w:cs="Times New Roman"/>
        </w:rPr>
        <w:footnoteRef/>
      </w:r>
      <w:r>
        <w:t xml:space="preserve"> </w:t>
      </w:r>
      <w:bookmarkStart w:id="600" w:name="f403"/>
      <w:bookmarkEnd w:id="600"/>
      <w:r w:rsidRPr="0054718C">
        <w:rPr>
          <w:rFonts w:ascii="Times New Roman" w:hAnsi="Times New Roman" w:cs="Times New Roman"/>
          <w:i/>
        </w:rPr>
        <w:t>Id</w:t>
      </w:r>
      <w:r w:rsidRPr="0054718C">
        <w:rPr>
          <w:rFonts w:ascii="Times New Roman" w:hAnsi="Times New Roman" w:cs="Times New Roman"/>
        </w:rPr>
        <w:t>.</w:t>
      </w:r>
    </w:p>
  </w:footnote>
  <w:footnote w:id="426">
    <w:p w14:paraId="5CFEFD9A" w14:textId="02F455DD" w:rsidR="00336EDF" w:rsidRPr="00ED2867" w:rsidRDefault="00336EDF" w:rsidP="00ED2867">
      <w:pPr>
        <w:pStyle w:val="FootnoteText"/>
        <w:jc w:val="both"/>
        <w:rPr>
          <w:rFonts w:ascii="Times New Roman" w:hAnsi="Times New Roman" w:cs="Times New Roman"/>
        </w:rPr>
      </w:pPr>
      <w:r w:rsidRPr="00ED2867">
        <w:rPr>
          <w:rStyle w:val="FootnoteReference"/>
          <w:rFonts w:ascii="Times New Roman" w:hAnsi="Times New Roman" w:cs="Times New Roman"/>
        </w:rPr>
        <w:footnoteRef/>
      </w:r>
      <w:r>
        <w:t xml:space="preserve"> </w:t>
      </w:r>
      <w:bookmarkStart w:id="601" w:name="f404"/>
      <w:bookmarkEnd w:id="601"/>
      <w:r w:rsidRPr="00ED2867">
        <w:rPr>
          <w:rFonts w:ascii="Times New Roman" w:hAnsi="Times New Roman" w:cs="Times New Roman"/>
        </w:rPr>
        <w:t>A major issue in the case was whether the Division adequately put W</w:t>
      </w:r>
      <w:r>
        <w:rPr>
          <w:rFonts w:ascii="Times New Roman" w:hAnsi="Times New Roman" w:cs="Times New Roman"/>
        </w:rPr>
        <w:t>e</w:t>
      </w:r>
      <w:r w:rsidRPr="00ED2867">
        <w:rPr>
          <w:rFonts w:ascii="Times New Roman" w:hAnsi="Times New Roman" w:cs="Times New Roman"/>
        </w:rPr>
        <w:t>saw on notice of claim filing issues in advance of the hearing eventually held on the matter. That</w:t>
      </w:r>
      <w:r>
        <w:rPr>
          <w:rFonts w:ascii="Times New Roman" w:hAnsi="Times New Roman" w:cs="Times New Roman"/>
        </w:rPr>
        <w:t xml:space="preserve"> due process issue</w:t>
      </w:r>
      <w:r w:rsidRPr="00ED2867">
        <w:rPr>
          <w:rFonts w:ascii="Times New Roman" w:hAnsi="Times New Roman" w:cs="Times New Roman"/>
        </w:rPr>
        <w:t xml:space="preserve"> is beyond the scope of the present discussion.</w:t>
      </w:r>
    </w:p>
  </w:footnote>
  <w:footnote w:id="427">
    <w:p w14:paraId="141C7C36" w14:textId="739D3EFB" w:rsidR="00336EDF" w:rsidRDefault="00336EDF">
      <w:pPr>
        <w:pStyle w:val="FootnoteText"/>
      </w:pPr>
      <w:r w:rsidRPr="0051023A">
        <w:rPr>
          <w:rStyle w:val="FootnoteReference"/>
          <w:rFonts w:ascii="Times New Roman" w:hAnsi="Times New Roman" w:cs="Times New Roman"/>
        </w:rPr>
        <w:footnoteRef/>
      </w:r>
      <w:r>
        <w:t xml:space="preserve"> </w:t>
      </w:r>
      <w:bookmarkStart w:id="602" w:name="f405"/>
      <w:bookmarkStart w:id="603" w:name="_Hlk521229397"/>
      <w:bookmarkEnd w:id="602"/>
      <w:r w:rsidRPr="0054718C">
        <w:rPr>
          <w:rFonts w:ascii="Times New Roman" w:hAnsi="Times New Roman" w:cs="Times New Roman"/>
        </w:rPr>
        <w:t xml:space="preserve">Wesaw v. Quality Maintenance, </w:t>
      </w:r>
      <w:r w:rsidRPr="0054718C">
        <w:rPr>
          <w:rFonts w:ascii="Times New Roman" w:hAnsi="Times New Roman" w:cs="Times New Roman"/>
          <w:i/>
        </w:rPr>
        <w:t>supra.,</w:t>
      </w:r>
      <w:r w:rsidRPr="0054718C">
        <w:rPr>
          <w:rFonts w:ascii="Times New Roman" w:hAnsi="Times New Roman" w:cs="Times New Roman"/>
        </w:rPr>
        <w:t xml:space="preserve"> 19 P.3d at 503</w:t>
      </w:r>
      <w:bookmarkEnd w:id="603"/>
    </w:p>
  </w:footnote>
  <w:footnote w:id="428">
    <w:p w14:paraId="40F87AF0" w14:textId="06822DE3" w:rsidR="00336EDF" w:rsidRDefault="00336EDF">
      <w:pPr>
        <w:pStyle w:val="FootnoteText"/>
      </w:pPr>
      <w:r w:rsidRPr="003D7AEA">
        <w:rPr>
          <w:rStyle w:val="FootnoteReference"/>
          <w:rFonts w:ascii="Times New Roman" w:hAnsi="Times New Roman" w:cs="Times New Roman"/>
        </w:rPr>
        <w:footnoteRef/>
      </w:r>
      <w:r>
        <w:t xml:space="preserve"> </w:t>
      </w:r>
      <w:bookmarkStart w:id="604" w:name="f406"/>
      <w:bookmarkEnd w:id="604"/>
      <w:r w:rsidRPr="003D7AEA">
        <w:rPr>
          <w:rFonts w:ascii="Times New Roman" w:hAnsi="Times New Roman" w:cs="Times New Roman"/>
          <w:i/>
        </w:rPr>
        <w:t>Id</w:t>
      </w:r>
      <w:r w:rsidRPr="003D7AEA">
        <w:rPr>
          <w:rFonts w:ascii="Times New Roman" w:hAnsi="Times New Roman" w:cs="Times New Roman"/>
        </w:rPr>
        <w:t>. at 503-504</w:t>
      </w:r>
    </w:p>
  </w:footnote>
  <w:footnote w:id="429">
    <w:p w14:paraId="75ACDD7C" w14:textId="1C062DC6" w:rsidR="00336EDF" w:rsidRDefault="00336EDF">
      <w:pPr>
        <w:pStyle w:val="FootnoteText"/>
      </w:pPr>
      <w:r w:rsidRPr="001161F2">
        <w:rPr>
          <w:rStyle w:val="FootnoteReference"/>
          <w:rFonts w:ascii="Times New Roman" w:hAnsi="Times New Roman" w:cs="Times New Roman"/>
        </w:rPr>
        <w:footnoteRef/>
      </w:r>
      <w:r>
        <w:t xml:space="preserve"> </w:t>
      </w:r>
      <w:bookmarkStart w:id="605" w:name="f407"/>
      <w:bookmarkEnd w:id="605"/>
      <w:r w:rsidRPr="001161F2">
        <w:rPr>
          <w:rFonts w:ascii="Times New Roman" w:hAnsi="Times New Roman" w:cs="Times New Roman"/>
          <w:i/>
        </w:rPr>
        <w:t>Id</w:t>
      </w:r>
      <w:r w:rsidRPr="001161F2">
        <w:rPr>
          <w:rFonts w:ascii="Times New Roman" w:hAnsi="Times New Roman" w:cs="Times New Roman"/>
        </w:rPr>
        <w:t>. at 506</w:t>
      </w:r>
    </w:p>
  </w:footnote>
  <w:footnote w:id="430">
    <w:p w14:paraId="10D95507" w14:textId="130A1B24" w:rsidR="00336EDF" w:rsidRDefault="00336EDF">
      <w:pPr>
        <w:pStyle w:val="FootnoteText"/>
      </w:pPr>
      <w:r w:rsidRPr="001161F2">
        <w:rPr>
          <w:rStyle w:val="FootnoteReference"/>
          <w:rFonts w:ascii="Times New Roman" w:hAnsi="Times New Roman" w:cs="Times New Roman"/>
        </w:rPr>
        <w:footnoteRef/>
      </w:r>
      <w:r>
        <w:t xml:space="preserve"> </w:t>
      </w:r>
      <w:bookmarkStart w:id="606" w:name="f408"/>
      <w:bookmarkEnd w:id="606"/>
      <w:r>
        <w:fldChar w:fldCharType="begin"/>
      </w:r>
      <w:r>
        <w:instrText xml:space="preserve"> HYPERLINK "https://www.leagle.com/decision/2001115724p3d113311157" </w:instrText>
      </w:r>
      <w:r>
        <w:fldChar w:fldCharType="separate"/>
      </w:r>
      <w:r w:rsidRPr="008C2C0E">
        <w:rPr>
          <w:rStyle w:val="Hyperlink"/>
          <w:rFonts w:ascii="Times New Roman" w:hAnsi="Times New Roman" w:cs="Times New Roman"/>
        </w:rPr>
        <w:t>24 P.3d 1133</w:t>
      </w:r>
      <w:r>
        <w:rPr>
          <w:rStyle w:val="Hyperlink"/>
          <w:rFonts w:ascii="Times New Roman" w:hAnsi="Times New Roman" w:cs="Times New Roman"/>
        </w:rPr>
        <w:fldChar w:fldCharType="end"/>
      </w:r>
      <w:r w:rsidRPr="001161F2">
        <w:rPr>
          <w:rFonts w:ascii="Times New Roman" w:hAnsi="Times New Roman" w:cs="Times New Roman"/>
        </w:rPr>
        <w:t xml:space="preserve"> (Wyo. 2001)</w:t>
      </w:r>
    </w:p>
  </w:footnote>
  <w:footnote w:id="431">
    <w:p w14:paraId="7ACF80C0" w14:textId="656958BC" w:rsidR="00336EDF" w:rsidRDefault="00336EDF">
      <w:pPr>
        <w:pStyle w:val="FootnoteText"/>
      </w:pPr>
      <w:r w:rsidRPr="00CE6E93">
        <w:rPr>
          <w:rStyle w:val="FootnoteReference"/>
          <w:rFonts w:ascii="Times New Roman" w:hAnsi="Times New Roman" w:cs="Times New Roman"/>
        </w:rPr>
        <w:footnoteRef/>
      </w:r>
      <w:r>
        <w:t xml:space="preserve"> </w:t>
      </w:r>
      <w:bookmarkStart w:id="607" w:name="f409"/>
      <w:bookmarkEnd w:id="607"/>
      <w:r w:rsidRPr="00CE6E93">
        <w:rPr>
          <w:rFonts w:ascii="Times New Roman" w:hAnsi="Times New Roman" w:cs="Times New Roman"/>
        </w:rPr>
        <w:t>Id. at 1135</w:t>
      </w:r>
    </w:p>
  </w:footnote>
  <w:footnote w:id="432">
    <w:p w14:paraId="67821839" w14:textId="470B9442" w:rsidR="00336EDF" w:rsidRDefault="00336EDF">
      <w:pPr>
        <w:pStyle w:val="FootnoteText"/>
      </w:pPr>
      <w:r w:rsidRPr="00CE6E93">
        <w:rPr>
          <w:rStyle w:val="FootnoteReference"/>
          <w:rFonts w:ascii="Times New Roman" w:hAnsi="Times New Roman" w:cs="Times New Roman"/>
        </w:rPr>
        <w:footnoteRef/>
      </w:r>
      <w:r>
        <w:t xml:space="preserve"> </w:t>
      </w:r>
      <w:bookmarkStart w:id="608" w:name="f410"/>
      <w:bookmarkEnd w:id="608"/>
      <w:r w:rsidRPr="00CE6E93">
        <w:rPr>
          <w:rFonts w:ascii="Times New Roman" w:hAnsi="Times New Roman" w:cs="Times New Roman"/>
          <w:i/>
        </w:rPr>
        <w:t>Id.</w:t>
      </w:r>
    </w:p>
  </w:footnote>
  <w:footnote w:id="433">
    <w:p w14:paraId="146A6E7F" w14:textId="2AD29B48" w:rsidR="00336EDF" w:rsidRDefault="00336EDF">
      <w:pPr>
        <w:pStyle w:val="FootnoteText"/>
      </w:pPr>
      <w:r w:rsidRPr="00CE6E93">
        <w:rPr>
          <w:rStyle w:val="FootnoteReference"/>
          <w:rFonts w:ascii="Times New Roman" w:hAnsi="Times New Roman" w:cs="Times New Roman"/>
        </w:rPr>
        <w:footnoteRef/>
      </w:r>
      <w:r w:rsidRPr="00CE6E93">
        <w:rPr>
          <w:rStyle w:val="FootnoteReference"/>
          <w:rFonts w:ascii="Times New Roman" w:hAnsi="Times New Roman" w:cs="Times New Roman"/>
        </w:rPr>
        <w:t xml:space="preserve"> </w:t>
      </w:r>
      <w:bookmarkStart w:id="609" w:name="f411"/>
      <w:bookmarkEnd w:id="609"/>
      <w:r w:rsidRPr="00CE6E93">
        <w:rPr>
          <w:rFonts w:ascii="Times New Roman" w:hAnsi="Times New Roman" w:cs="Times New Roman"/>
          <w:i/>
        </w:rPr>
        <w:t>Id.</w:t>
      </w:r>
    </w:p>
  </w:footnote>
  <w:footnote w:id="434">
    <w:p w14:paraId="337E6C90" w14:textId="5C246B29" w:rsidR="00336EDF" w:rsidRDefault="00336EDF">
      <w:pPr>
        <w:pStyle w:val="FootnoteText"/>
      </w:pPr>
      <w:r w:rsidRPr="00CE6E93">
        <w:rPr>
          <w:rStyle w:val="FootnoteReference"/>
          <w:rFonts w:ascii="Times New Roman" w:hAnsi="Times New Roman" w:cs="Times New Roman"/>
        </w:rPr>
        <w:footnoteRef/>
      </w:r>
      <w:r w:rsidRPr="00CE6E93">
        <w:rPr>
          <w:rStyle w:val="FootnoteReference"/>
          <w:rFonts w:ascii="Times New Roman" w:hAnsi="Times New Roman" w:cs="Times New Roman"/>
        </w:rPr>
        <w:t xml:space="preserve"> </w:t>
      </w:r>
      <w:bookmarkStart w:id="610" w:name="f412"/>
      <w:bookmarkEnd w:id="610"/>
      <w:r w:rsidRPr="00CE6E93">
        <w:rPr>
          <w:rFonts w:ascii="Times New Roman" w:hAnsi="Times New Roman" w:cs="Times New Roman"/>
          <w:i/>
        </w:rPr>
        <w:t>Id.</w:t>
      </w:r>
    </w:p>
  </w:footnote>
  <w:footnote w:id="435">
    <w:p w14:paraId="563A25DC" w14:textId="555645E2" w:rsidR="00336EDF" w:rsidRDefault="00336EDF">
      <w:pPr>
        <w:pStyle w:val="FootnoteText"/>
      </w:pPr>
      <w:r w:rsidRPr="00CE6E93">
        <w:rPr>
          <w:rStyle w:val="FootnoteReference"/>
          <w:rFonts w:ascii="Times New Roman" w:hAnsi="Times New Roman" w:cs="Times New Roman"/>
        </w:rPr>
        <w:footnoteRef/>
      </w:r>
      <w:r>
        <w:t xml:space="preserve"> </w:t>
      </w:r>
      <w:bookmarkStart w:id="611" w:name="f413"/>
      <w:bookmarkEnd w:id="611"/>
      <w:r w:rsidRPr="00CE6E93">
        <w:rPr>
          <w:rFonts w:ascii="Times New Roman" w:hAnsi="Times New Roman" w:cs="Times New Roman"/>
          <w:i/>
        </w:rPr>
        <w:t>Id.</w:t>
      </w:r>
    </w:p>
  </w:footnote>
  <w:footnote w:id="436">
    <w:p w14:paraId="18A72437" w14:textId="3154CE7D" w:rsidR="00336EDF" w:rsidRPr="00CE6E93" w:rsidRDefault="00336EDF">
      <w:pPr>
        <w:pStyle w:val="FootnoteText"/>
        <w:rPr>
          <w:rFonts w:ascii="Times New Roman" w:hAnsi="Times New Roman" w:cs="Times New Roman"/>
        </w:rPr>
      </w:pPr>
      <w:r w:rsidRPr="00CE6E93">
        <w:rPr>
          <w:rStyle w:val="FootnoteReference"/>
          <w:rFonts w:ascii="Times New Roman" w:hAnsi="Times New Roman" w:cs="Times New Roman"/>
        </w:rPr>
        <w:footnoteRef/>
      </w:r>
      <w:r>
        <w:t xml:space="preserve"> </w:t>
      </w:r>
      <w:bookmarkStart w:id="612" w:name="f414"/>
      <w:bookmarkEnd w:id="612"/>
      <w:r w:rsidRPr="00CE6E93">
        <w:rPr>
          <w:rFonts w:ascii="Times New Roman" w:hAnsi="Times New Roman" w:cs="Times New Roman"/>
          <w:i/>
        </w:rPr>
        <w:t>Id.</w:t>
      </w:r>
    </w:p>
  </w:footnote>
  <w:footnote w:id="437">
    <w:p w14:paraId="2BD87046" w14:textId="3BA9514E" w:rsidR="00336EDF" w:rsidRDefault="00336EDF">
      <w:pPr>
        <w:pStyle w:val="FootnoteText"/>
      </w:pPr>
      <w:r w:rsidRPr="00CE6E93">
        <w:rPr>
          <w:rStyle w:val="FootnoteReference"/>
          <w:rFonts w:ascii="Times New Roman" w:hAnsi="Times New Roman" w:cs="Times New Roman"/>
        </w:rPr>
        <w:footnoteRef/>
      </w:r>
      <w:r>
        <w:t xml:space="preserve"> </w:t>
      </w:r>
      <w:bookmarkStart w:id="613" w:name="f415"/>
      <w:bookmarkEnd w:id="613"/>
      <w:r w:rsidRPr="00CE6E93">
        <w:rPr>
          <w:rFonts w:ascii="Times New Roman" w:hAnsi="Times New Roman" w:cs="Times New Roman"/>
          <w:i/>
        </w:rPr>
        <w:t>Id.</w:t>
      </w:r>
    </w:p>
  </w:footnote>
  <w:footnote w:id="438">
    <w:p w14:paraId="5F9626C0" w14:textId="696D80BC" w:rsidR="00336EDF" w:rsidRDefault="00336EDF">
      <w:pPr>
        <w:pStyle w:val="FootnoteText"/>
      </w:pPr>
      <w:r w:rsidRPr="00CE6E93">
        <w:rPr>
          <w:rStyle w:val="FootnoteReference"/>
          <w:rFonts w:ascii="Times New Roman" w:hAnsi="Times New Roman" w:cs="Times New Roman"/>
        </w:rPr>
        <w:footnoteRef/>
      </w:r>
      <w:r w:rsidRPr="00CE6E93">
        <w:rPr>
          <w:rStyle w:val="FootnoteReference"/>
        </w:rPr>
        <w:t xml:space="preserve"> </w:t>
      </w:r>
      <w:bookmarkStart w:id="614" w:name="f416"/>
      <w:bookmarkEnd w:id="614"/>
      <w:r w:rsidRPr="00CE6E93">
        <w:rPr>
          <w:rFonts w:ascii="Times New Roman" w:hAnsi="Times New Roman" w:cs="Times New Roman"/>
          <w:i/>
        </w:rPr>
        <w:t>Id.</w:t>
      </w:r>
    </w:p>
  </w:footnote>
  <w:footnote w:id="439">
    <w:p w14:paraId="3272CF0E" w14:textId="00B5FDDA" w:rsidR="00336EDF" w:rsidRDefault="00336EDF">
      <w:pPr>
        <w:pStyle w:val="FootnoteText"/>
      </w:pPr>
      <w:r w:rsidRPr="00CE6E93">
        <w:rPr>
          <w:rStyle w:val="FootnoteReference"/>
          <w:rFonts w:ascii="Times New Roman" w:hAnsi="Times New Roman" w:cs="Times New Roman"/>
        </w:rPr>
        <w:footnoteRef/>
      </w:r>
      <w:r>
        <w:t xml:space="preserve"> </w:t>
      </w:r>
      <w:bookmarkStart w:id="615" w:name="f417"/>
      <w:bookmarkEnd w:id="615"/>
      <w:r w:rsidRPr="00CE6E93">
        <w:rPr>
          <w:rFonts w:ascii="Times New Roman" w:hAnsi="Times New Roman" w:cs="Times New Roman"/>
          <w:i/>
        </w:rPr>
        <w:t>Id</w:t>
      </w:r>
      <w:r w:rsidRPr="00CE6E93">
        <w:rPr>
          <w:rFonts w:ascii="Times New Roman" w:hAnsi="Times New Roman" w:cs="Times New Roman"/>
        </w:rPr>
        <w:t>.</w:t>
      </w:r>
    </w:p>
  </w:footnote>
  <w:footnote w:id="440">
    <w:p w14:paraId="630BF11F" w14:textId="30E96ED2" w:rsidR="00336EDF" w:rsidRDefault="00336EDF">
      <w:pPr>
        <w:pStyle w:val="FootnoteText"/>
      </w:pPr>
      <w:r w:rsidRPr="00CE6E93">
        <w:rPr>
          <w:rStyle w:val="FootnoteReference"/>
          <w:rFonts w:ascii="Times New Roman" w:hAnsi="Times New Roman" w:cs="Times New Roman"/>
        </w:rPr>
        <w:footnoteRef/>
      </w:r>
      <w:r w:rsidRPr="00CE6E93">
        <w:rPr>
          <w:rStyle w:val="FootnoteReference"/>
          <w:rFonts w:ascii="Times New Roman" w:hAnsi="Times New Roman" w:cs="Times New Roman"/>
        </w:rPr>
        <w:t xml:space="preserve"> </w:t>
      </w:r>
      <w:bookmarkStart w:id="616" w:name="f418"/>
      <w:bookmarkEnd w:id="616"/>
      <w:r w:rsidRPr="00CE6E93">
        <w:rPr>
          <w:rFonts w:ascii="Times New Roman" w:hAnsi="Times New Roman" w:cs="Times New Roman"/>
          <w:i/>
        </w:rPr>
        <w:t>Id.</w:t>
      </w:r>
    </w:p>
  </w:footnote>
  <w:footnote w:id="441">
    <w:p w14:paraId="598ADD10" w14:textId="30282878" w:rsidR="00336EDF" w:rsidRDefault="00336EDF">
      <w:pPr>
        <w:pStyle w:val="FootnoteText"/>
      </w:pPr>
      <w:r w:rsidRPr="00CE6E93">
        <w:rPr>
          <w:rStyle w:val="FootnoteReference"/>
          <w:rFonts w:ascii="Times New Roman" w:hAnsi="Times New Roman" w:cs="Times New Roman"/>
        </w:rPr>
        <w:footnoteRef/>
      </w:r>
      <w:r>
        <w:t xml:space="preserve"> </w:t>
      </w:r>
      <w:bookmarkStart w:id="617" w:name="f419"/>
      <w:bookmarkEnd w:id="617"/>
      <w:r w:rsidRPr="00CE6E93">
        <w:rPr>
          <w:rFonts w:ascii="Times New Roman" w:hAnsi="Times New Roman" w:cs="Times New Roman"/>
          <w:i/>
        </w:rPr>
        <w:t>Id</w:t>
      </w:r>
      <w:r w:rsidRPr="00CE6E93">
        <w:rPr>
          <w:rFonts w:ascii="Times New Roman" w:hAnsi="Times New Roman" w:cs="Times New Roman"/>
        </w:rPr>
        <w:t>.</w:t>
      </w:r>
    </w:p>
  </w:footnote>
  <w:footnote w:id="442">
    <w:p w14:paraId="515B1268" w14:textId="7D14584B" w:rsidR="00336EDF" w:rsidRDefault="00336EDF">
      <w:pPr>
        <w:pStyle w:val="FootnoteText"/>
      </w:pPr>
      <w:r w:rsidRPr="00CE6E93">
        <w:rPr>
          <w:rStyle w:val="FootnoteReference"/>
          <w:rFonts w:ascii="Times New Roman" w:hAnsi="Times New Roman" w:cs="Times New Roman"/>
        </w:rPr>
        <w:footnoteRef/>
      </w:r>
      <w:r w:rsidRPr="00CE6E93">
        <w:rPr>
          <w:rStyle w:val="FootnoteReference"/>
          <w:rFonts w:ascii="Times New Roman" w:hAnsi="Times New Roman" w:cs="Times New Roman"/>
        </w:rPr>
        <w:t xml:space="preserve"> </w:t>
      </w:r>
      <w:bookmarkStart w:id="618" w:name="f420"/>
      <w:bookmarkEnd w:id="618"/>
      <w:r w:rsidRPr="00CE6E93">
        <w:rPr>
          <w:rFonts w:ascii="Times New Roman" w:hAnsi="Times New Roman" w:cs="Times New Roman"/>
          <w:i/>
        </w:rPr>
        <w:t>Id.</w:t>
      </w:r>
    </w:p>
  </w:footnote>
  <w:footnote w:id="443">
    <w:p w14:paraId="6A9874CD" w14:textId="045F2F8F" w:rsidR="00336EDF" w:rsidRDefault="00336EDF">
      <w:pPr>
        <w:pStyle w:val="FootnoteText"/>
      </w:pPr>
      <w:r w:rsidRPr="00CE6E93">
        <w:rPr>
          <w:rStyle w:val="FootnoteReference"/>
          <w:rFonts w:ascii="Times New Roman" w:hAnsi="Times New Roman" w:cs="Times New Roman"/>
        </w:rPr>
        <w:footnoteRef/>
      </w:r>
      <w:r>
        <w:t xml:space="preserve"> </w:t>
      </w:r>
      <w:bookmarkStart w:id="619" w:name="f421"/>
      <w:bookmarkEnd w:id="619"/>
      <w:r w:rsidRPr="00CE6E93">
        <w:rPr>
          <w:rFonts w:ascii="Times New Roman" w:hAnsi="Times New Roman" w:cs="Times New Roman"/>
          <w:i/>
        </w:rPr>
        <w:t>Id.</w:t>
      </w:r>
    </w:p>
  </w:footnote>
  <w:footnote w:id="444">
    <w:p w14:paraId="4B9619C1" w14:textId="0D01A1CC" w:rsidR="00336EDF" w:rsidRDefault="00336EDF">
      <w:pPr>
        <w:pStyle w:val="FootnoteText"/>
      </w:pPr>
      <w:r w:rsidRPr="00CE6E93">
        <w:rPr>
          <w:rStyle w:val="FootnoteReference"/>
          <w:rFonts w:ascii="Times New Roman" w:hAnsi="Times New Roman" w:cs="Times New Roman"/>
        </w:rPr>
        <w:footnoteRef/>
      </w:r>
      <w:r w:rsidRPr="00CE6E93">
        <w:rPr>
          <w:rStyle w:val="FootnoteReference"/>
          <w:rFonts w:ascii="Times New Roman" w:hAnsi="Times New Roman" w:cs="Times New Roman"/>
        </w:rPr>
        <w:t xml:space="preserve"> </w:t>
      </w:r>
      <w:bookmarkStart w:id="620" w:name="f422"/>
      <w:bookmarkEnd w:id="620"/>
      <w:r w:rsidRPr="00CE6E93">
        <w:rPr>
          <w:rFonts w:ascii="Times New Roman" w:hAnsi="Times New Roman" w:cs="Times New Roman"/>
          <w:i/>
        </w:rPr>
        <w:t>Id</w:t>
      </w:r>
      <w:r w:rsidRPr="00CE6E93">
        <w:rPr>
          <w:rFonts w:ascii="Times New Roman" w:hAnsi="Times New Roman" w:cs="Times New Roman"/>
        </w:rPr>
        <w:t>. at 1136</w:t>
      </w:r>
    </w:p>
  </w:footnote>
  <w:footnote w:id="445">
    <w:p w14:paraId="70FE31FD" w14:textId="40475144" w:rsidR="00336EDF" w:rsidRDefault="00336EDF">
      <w:pPr>
        <w:pStyle w:val="FootnoteText"/>
      </w:pPr>
      <w:r w:rsidRPr="00CE6E93">
        <w:rPr>
          <w:rStyle w:val="FootnoteReference"/>
          <w:rFonts w:ascii="Times New Roman" w:hAnsi="Times New Roman" w:cs="Times New Roman"/>
        </w:rPr>
        <w:footnoteRef/>
      </w:r>
      <w:r>
        <w:t xml:space="preserve"> </w:t>
      </w:r>
      <w:bookmarkStart w:id="621" w:name="f423"/>
      <w:bookmarkEnd w:id="621"/>
      <w:r w:rsidRPr="00CE6E93">
        <w:rPr>
          <w:rFonts w:ascii="Times New Roman" w:hAnsi="Times New Roman" w:cs="Times New Roman"/>
          <w:i/>
        </w:rPr>
        <w:t>Id.</w:t>
      </w:r>
    </w:p>
  </w:footnote>
  <w:footnote w:id="446">
    <w:p w14:paraId="18427ECB" w14:textId="39DA6006" w:rsidR="00336EDF" w:rsidRDefault="00336EDF">
      <w:pPr>
        <w:pStyle w:val="FootnoteText"/>
      </w:pPr>
      <w:r w:rsidRPr="00AA64F6">
        <w:rPr>
          <w:rStyle w:val="FootnoteReference"/>
          <w:rFonts w:ascii="Times New Roman" w:hAnsi="Times New Roman" w:cs="Times New Roman"/>
        </w:rPr>
        <w:footnoteRef/>
      </w:r>
      <w:r>
        <w:t xml:space="preserve"> </w:t>
      </w:r>
      <w:bookmarkStart w:id="622" w:name="f424"/>
      <w:bookmarkEnd w:id="622"/>
      <w:r w:rsidRPr="00AA64F6">
        <w:rPr>
          <w:rFonts w:ascii="Times New Roman" w:hAnsi="Times New Roman" w:cs="Times New Roman"/>
          <w:i/>
        </w:rPr>
        <w:t>Id</w:t>
      </w:r>
      <w:r w:rsidRPr="00AA64F6">
        <w:rPr>
          <w:rFonts w:ascii="Times New Roman" w:hAnsi="Times New Roman" w:cs="Times New Roman"/>
        </w:rPr>
        <w:t>. at 1137</w:t>
      </w:r>
    </w:p>
  </w:footnote>
  <w:footnote w:id="447">
    <w:p w14:paraId="741EB153" w14:textId="06944FB3" w:rsidR="00336EDF" w:rsidRDefault="00336EDF">
      <w:pPr>
        <w:pStyle w:val="FootnoteText"/>
      </w:pPr>
      <w:r w:rsidRPr="00E72E43">
        <w:rPr>
          <w:rStyle w:val="FootnoteReference"/>
          <w:rFonts w:ascii="Times New Roman" w:hAnsi="Times New Roman" w:cs="Times New Roman"/>
        </w:rPr>
        <w:footnoteRef/>
      </w:r>
      <w:r w:rsidRPr="00E72E43">
        <w:rPr>
          <w:rFonts w:ascii="Times New Roman" w:hAnsi="Times New Roman" w:cs="Times New Roman"/>
        </w:rPr>
        <w:t xml:space="preserve"> </w:t>
      </w:r>
      <w:bookmarkStart w:id="624" w:name="f425"/>
      <w:bookmarkStart w:id="625" w:name="_Hlk521229186"/>
      <w:bookmarkStart w:id="626" w:name="_Hlk521229823"/>
      <w:bookmarkStart w:id="627" w:name="_Hlk522109204"/>
      <w:bookmarkEnd w:id="624"/>
      <w:r w:rsidRPr="00866700">
        <w:rPr>
          <w:rFonts w:ascii="Times New Roman" w:hAnsi="Times New Roman" w:cs="Times New Roman"/>
        </w:rPr>
        <w:t xml:space="preserve">Logue v. Workers’ Safety </w:t>
      </w:r>
      <w:r>
        <w:rPr>
          <w:rFonts w:ascii="Times New Roman" w:hAnsi="Times New Roman" w:cs="Times New Roman"/>
        </w:rPr>
        <w:t>&amp;</w:t>
      </w:r>
      <w:r w:rsidRPr="00866700">
        <w:rPr>
          <w:rFonts w:ascii="Times New Roman" w:hAnsi="Times New Roman" w:cs="Times New Roman"/>
        </w:rPr>
        <w:t xml:space="preserve"> Compensation Div</w:t>
      </w:r>
      <w:bookmarkEnd w:id="625"/>
      <w:r w:rsidRPr="00866700">
        <w:rPr>
          <w:rFonts w:ascii="Times New Roman" w:hAnsi="Times New Roman" w:cs="Times New Roman"/>
        </w:rPr>
        <w:t xml:space="preserve">., </w:t>
      </w:r>
      <w:hyperlink r:id="rId166" w:history="1">
        <w:r w:rsidRPr="008C2C0E">
          <w:rPr>
            <w:rStyle w:val="Hyperlink"/>
            <w:rFonts w:ascii="Times New Roman" w:hAnsi="Times New Roman" w:cs="Times New Roman"/>
          </w:rPr>
          <w:t>44 P.3d 90</w:t>
        </w:r>
      </w:hyperlink>
      <w:r>
        <w:rPr>
          <w:rFonts w:ascii="Times New Roman" w:hAnsi="Times New Roman" w:cs="Times New Roman"/>
        </w:rPr>
        <w:t xml:space="preserve">, 96 </w:t>
      </w:r>
      <w:r w:rsidRPr="00866700">
        <w:rPr>
          <w:rFonts w:ascii="Times New Roman" w:hAnsi="Times New Roman" w:cs="Times New Roman"/>
        </w:rPr>
        <w:t>(Wyo. 2002)</w:t>
      </w:r>
      <w:bookmarkEnd w:id="626"/>
    </w:p>
    <w:bookmarkEnd w:id="627"/>
  </w:footnote>
  <w:footnote w:id="448">
    <w:p w14:paraId="1E8F6283" w14:textId="7E89D80A" w:rsidR="00336EDF" w:rsidRDefault="00336EDF" w:rsidP="002774B3">
      <w:pPr>
        <w:pStyle w:val="FootnoteText"/>
        <w:jc w:val="both"/>
      </w:pPr>
      <w:r w:rsidRPr="00E72E43">
        <w:rPr>
          <w:rStyle w:val="FootnoteReference"/>
          <w:rFonts w:ascii="Times New Roman" w:hAnsi="Times New Roman" w:cs="Times New Roman"/>
        </w:rPr>
        <w:footnoteRef/>
      </w:r>
      <w:r>
        <w:t xml:space="preserve"> </w:t>
      </w:r>
      <w:bookmarkStart w:id="628" w:name="f426"/>
      <w:bookmarkEnd w:id="628"/>
      <w:r w:rsidRPr="0054718C">
        <w:rPr>
          <w:rFonts w:ascii="Times New Roman" w:hAnsi="Times New Roman" w:cs="Times New Roman"/>
        </w:rPr>
        <w:t xml:space="preserve">Wesaw v. Quality Maintenance, </w:t>
      </w:r>
      <w:r w:rsidRPr="0054718C">
        <w:rPr>
          <w:rFonts w:ascii="Times New Roman" w:hAnsi="Times New Roman" w:cs="Times New Roman"/>
          <w:i/>
        </w:rPr>
        <w:t>supra.,</w:t>
      </w:r>
      <w:r w:rsidRPr="0054718C">
        <w:rPr>
          <w:rFonts w:ascii="Times New Roman" w:hAnsi="Times New Roman" w:cs="Times New Roman"/>
        </w:rPr>
        <w:t xml:space="preserve"> 19 P.3d at 50</w:t>
      </w:r>
      <w:r>
        <w:rPr>
          <w:rFonts w:ascii="Times New Roman" w:hAnsi="Times New Roman" w:cs="Times New Roman"/>
        </w:rPr>
        <w:t>6-507</w:t>
      </w:r>
    </w:p>
  </w:footnote>
  <w:footnote w:id="449">
    <w:p w14:paraId="1D631B4A" w14:textId="4F57DD58" w:rsidR="00336EDF" w:rsidRDefault="00336EDF" w:rsidP="002774B3">
      <w:pPr>
        <w:pStyle w:val="FootnoteText"/>
        <w:jc w:val="both"/>
      </w:pPr>
      <w:r w:rsidRPr="00866700">
        <w:rPr>
          <w:rStyle w:val="FootnoteReference"/>
          <w:rFonts w:ascii="Times New Roman" w:hAnsi="Times New Roman" w:cs="Times New Roman"/>
        </w:rPr>
        <w:footnoteRef/>
      </w:r>
      <w:r>
        <w:t xml:space="preserve"> </w:t>
      </w:r>
      <w:bookmarkStart w:id="632" w:name="f427"/>
      <w:bookmarkEnd w:id="632"/>
      <w:r w:rsidRPr="002774B3">
        <w:rPr>
          <w:rFonts w:ascii="Times New Roman" w:hAnsi="Times New Roman" w:cs="Times New Roman"/>
        </w:rPr>
        <w:t xml:space="preserve">Baldwin v. Scullion, </w:t>
      </w:r>
      <w:hyperlink r:id="rId167" w:history="1">
        <w:r w:rsidRPr="002D24E0">
          <w:rPr>
            <w:rStyle w:val="Hyperlink"/>
            <w:rFonts w:ascii="Times New Roman" w:hAnsi="Times New Roman" w:cs="Times New Roman"/>
          </w:rPr>
          <w:t>62 P.2d 531</w:t>
        </w:r>
      </w:hyperlink>
      <w:r w:rsidRPr="002774B3">
        <w:rPr>
          <w:rFonts w:ascii="Times New Roman" w:hAnsi="Times New Roman" w:cs="Times New Roman"/>
        </w:rPr>
        <w:t xml:space="preserve">, 539 (Wyo. 1936); </w:t>
      </w:r>
      <w:bookmarkStart w:id="633" w:name="_Hlk521232442"/>
      <w:r w:rsidRPr="00866700">
        <w:rPr>
          <w:rFonts w:ascii="Times New Roman" w:hAnsi="Times New Roman" w:cs="Times New Roman"/>
        </w:rPr>
        <w:t xml:space="preserve">Logue v. Workers’ Safety </w:t>
      </w:r>
      <w:r>
        <w:rPr>
          <w:rFonts w:ascii="Times New Roman" w:hAnsi="Times New Roman" w:cs="Times New Roman"/>
        </w:rPr>
        <w:t>&amp;</w:t>
      </w:r>
      <w:r w:rsidRPr="00866700">
        <w:rPr>
          <w:rFonts w:ascii="Times New Roman" w:hAnsi="Times New Roman" w:cs="Times New Roman"/>
        </w:rPr>
        <w:t xml:space="preserve"> Compensation Div.,</w:t>
      </w:r>
      <w:r>
        <w:rPr>
          <w:rFonts w:ascii="Times New Roman" w:hAnsi="Times New Roman" w:cs="Times New Roman"/>
        </w:rPr>
        <w:t xml:space="preserve"> </w:t>
      </w:r>
      <w:r w:rsidRPr="00E72E43">
        <w:rPr>
          <w:rFonts w:ascii="Times New Roman" w:hAnsi="Times New Roman" w:cs="Times New Roman"/>
          <w:i/>
        </w:rPr>
        <w:t>supra</w:t>
      </w:r>
      <w:r>
        <w:rPr>
          <w:rFonts w:ascii="Times New Roman" w:hAnsi="Times New Roman" w:cs="Times New Roman"/>
        </w:rPr>
        <w:t>.,</w:t>
      </w:r>
      <w:r w:rsidRPr="00866700">
        <w:rPr>
          <w:rFonts w:ascii="Times New Roman" w:hAnsi="Times New Roman" w:cs="Times New Roman"/>
        </w:rPr>
        <w:t xml:space="preserve"> 44 P.3d </w:t>
      </w:r>
      <w:r>
        <w:rPr>
          <w:rFonts w:ascii="Times New Roman" w:hAnsi="Times New Roman" w:cs="Times New Roman"/>
        </w:rPr>
        <w:t>at 94</w:t>
      </w:r>
    </w:p>
    <w:bookmarkEnd w:id="633"/>
  </w:footnote>
  <w:footnote w:id="450">
    <w:p w14:paraId="57AC4417" w14:textId="0165C4D7" w:rsidR="00336EDF" w:rsidRDefault="00336EDF" w:rsidP="00DA7C19">
      <w:pPr>
        <w:pStyle w:val="FootnoteText"/>
        <w:jc w:val="both"/>
      </w:pPr>
      <w:r w:rsidRPr="004227AB">
        <w:rPr>
          <w:rStyle w:val="FootnoteReference"/>
          <w:rFonts w:ascii="Times New Roman" w:hAnsi="Times New Roman" w:cs="Times New Roman"/>
        </w:rPr>
        <w:footnoteRef/>
      </w:r>
      <w:r w:rsidRPr="00DA7C19">
        <w:rPr>
          <w:rStyle w:val="FootnoteReference"/>
        </w:rPr>
        <w:t xml:space="preserve"> </w:t>
      </w:r>
      <w:bookmarkStart w:id="634" w:name="f428"/>
      <w:bookmarkEnd w:id="634"/>
      <w:r w:rsidRPr="004227AB">
        <w:rPr>
          <w:rFonts w:ascii="Times New Roman" w:hAnsi="Times New Roman" w:cs="Times New Roman"/>
        </w:rPr>
        <w:t>Aanenson v. Workers</w:t>
      </w:r>
      <w:r>
        <w:rPr>
          <w:rFonts w:ascii="Times New Roman" w:hAnsi="Times New Roman" w:cs="Times New Roman"/>
        </w:rPr>
        <w:t>’</w:t>
      </w:r>
      <w:r w:rsidRPr="004227AB">
        <w:rPr>
          <w:rFonts w:ascii="Times New Roman" w:hAnsi="Times New Roman" w:cs="Times New Roman"/>
        </w:rPr>
        <w:t xml:space="preserve"> Compensation Div.</w:t>
      </w:r>
      <w:r>
        <w:rPr>
          <w:rFonts w:ascii="Times New Roman" w:hAnsi="Times New Roman" w:cs="Times New Roman"/>
        </w:rPr>
        <w:t xml:space="preserve">, </w:t>
      </w:r>
      <w:hyperlink r:id="rId168" w:history="1">
        <w:r w:rsidRPr="002D24E0">
          <w:rPr>
            <w:rStyle w:val="Hyperlink"/>
            <w:rFonts w:ascii="Times New Roman" w:hAnsi="Times New Roman" w:cs="Times New Roman"/>
          </w:rPr>
          <w:t>842 P.2d 1077</w:t>
        </w:r>
      </w:hyperlink>
      <w:r w:rsidRPr="00DA7C19">
        <w:rPr>
          <w:rFonts w:ascii="Times New Roman" w:hAnsi="Times New Roman" w:cs="Times New Roman"/>
        </w:rPr>
        <w:t>, 1082 (Wyo. 1992)</w:t>
      </w:r>
      <w:r>
        <w:rPr>
          <w:rFonts w:ascii="Times New Roman" w:hAnsi="Times New Roman" w:cs="Times New Roman"/>
        </w:rPr>
        <w:t xml:space="preserve">; </w:t>
      </w:r>
      <w:r w:rsidRPr="00DA7C19">
        <w:rPr>
          <w:rFonts w:ascii="Times New Roman" w:hAnsi="Times New Roman" w:cs="Times New Roman"/>
        </w:rPr>
        <w:t xml:space="preserve">Logue v. Workers’ Safety </w:t>
      </w:r>
      <w:r>
        <w:rPr>
          <w:rFonts w:ascii="Times New Roman" w:hAnsi="Times New Roman" w:cs="Times New Roman"/>
        </w:rPr>
        <w:t>&amp;</w:t>
      </w:r>
      <w:r w:rsidRPr="00DA7C19">
        <w:rPr>
          <w:rFonts w:ascii="Times New Roman" w:hAnsi="Times New Roman" w:cs="Times New Roman"/>
        </w:rPr>
        <w:t xml:space="preserve"> Compensation Div., </w:t>
      </w:r>
      <w:r w:rsidRPr="003C5B06">
        <w:rPr>
          <w:rFonts w:ascii="Times New Roman" w:hAnsi="Times New Roman" w:cs="Times New Roman"/>
          <w:i/>
        </w:rPr>
        <w:t>supra</w:t>
      </w:r>
      <w:r w:rsidRPr="00DA7C19">
        <w:rPr>
          <w:rFonts w:ascii="Times New Roman" w:hAnsi="Times New Roman" w:cs="Times New Roman"/>
        </w:rPr>
        <w:t>., 44 P.3d at 94</w:t>
      </w:r>
    </w:p>
  </w:footnote>
  <w:footnote w:id="451">
    <w:p w14:paraId="2EAEC38B" w14:textId="562FC8DF" w:rsidR="00336EDF" w:rsidRDefault="00336EDF">
      <w:pPr>
        <w:pStyle w:val="FootnoteText"/>
      </w:pPr>
      <w:r w:rsidRPr="006F77CF">
        <w:rPr>
          <w:rStyle w:val="FootnoteReference"/>
          <w:rFonts w:ascii="Times New Roman" w:hAnsi="Times New Roman" w:cs="Times New Roman"/>
        </w:rPr>
        <w:footnoteRef/>
      </w:r>
      <w:r>
        <w:t xml:space="preserve"> </w:t>
      </w:r>
      <w:bookmarkStart w:id="635" w:name="f429"/>
      <w:bookmarkEnd w:id="635"/>
      <w:r w:rsidRPr="006F77CF">
        <w:rPr>
          <w:rFonts w:ascii="Times New Roman" w:hAnsi="Times New Roman" w:cs="Times New Roman"/>
          <w:i/>
        </w:rPr>
        <w:t>See</w:t>
      </w:r>
      <w:r w:rsidRPr="006F77CF">
        <w:rPr>
          <w:rFonts w:ascii="Times New Roman" w:hAnsi="Times New Roman" w:cs="Times New Roman"/>
        </w:rPr>
        <w:t xml:space="preserve"> </w:t>
      </w:r>
      <w:r>
        <w:rPr>
          <w:rFonts w:ascii="Times New Roman" w:hAnsi="Times New Roman" w:cs="Times New Roman"/>
        </w:rPr>
        <w:t>11</w:t>
      </w:r>
      <w:r w:rsidRPr="006F77CF">
        <w:rPr>
          <w:rFonts w:ascii="Times New Roman" w:hAnsi="Times New Roman" w:cs="Times New Roman"/>
        </w:rPr>
        <w:t xml:space="preserve"> </w:t>
      </w:r>
      <w:r w:rsidRPr="006F77CF">
        <w:rPr>
          <w:rFonts w:ascii="Times New Roman" w:hAnsi="Times New Roman" w:cs="Times New Roman"/>
          <w:smallCaps/>
        </w:rPr>
        <w:t>Larson's Workers' Compensation</w:t>
      </w:r>
      <w:r w:rsidRPr="006F77CF">
        <w:rPr>
          <w:rFonts w:ascii="Times New Roman" w:hAnsi="Times New Roman" w:cs="Times New Roman"/>
        </w:rPr>
        <w:t xml:space="preserve"> § 126.06 n.1.1</w:t>
      </w:r>
      <w:r>
        <w:rPr>
          <w:rFonts w:ascii="Times New Roman" w:hAnsi="Times New Roman" w:cs="Times New Roman"/>
        </w:rPr>
        <w:t>,</w:t>
      </w:r>
      <w:r w:rsidRPr="006F77CF">
        <w:rPr>
          <w:rFonts w:ascii="Times New Roman" w:hAnsi="Times New Roman" w:cs="Times New Roman"/>
        </w:rPr>
        <w:t xml:space="preserve"> and accompanying text</w:t>
      </w:r>
    </w:p>
  </w:footnote>
  <w:footnote w:id="452">
    <w:p w14:paraId="259C3390" w14:textId="3258D913" w:rsidR="00336EDF" w:rsidRPr="00F10975" w:rsidRDefault="00336EDF">
      <w:pPr>
        <w:pStyle w:val="FootnoteText"/>
        <w:rPr>
          <w:rFonts w:ascii="Times New Roman" w:hAnsi="Times New Roman" w:cs="Times New Roman"/>
        </w:rPr>
      </w:pPr>
      <w:r w:rsidRPr="00F10975">
        <w:rPr>
          <w:rStyle w:val="FootnoteReference"/>
          <w:rFonts w:ascii="Times New Roman" w:hAnsi="Times New Roman" w:cs="Times New Roman"/>
        </w:rPr>
        <w:footnoteRef/>
      </w:r>
      <w:r>
        <w:t xml:space="preserve"> </w:t>
      </w:r>
      <w:bookmarkStart w:id="636" w:name="f430"/>
      <w:bookmarkEnd w:id="636"/>
      <w:r>
        <w:fldChar w:fldCharType="begin"/>
      </w:r>
      <w:r>
        <w:instrText xml:space="preserve"> HYPERLINK "https://law.justia.com/cases/wyoming/supreme-court/1998/123928.html" </w:instrText>
      </w:r>
      <w:r>
        <w:fldChar w:fldCharType="separate"/>
      </w:r>
      <w:r w:rsidRPr="002D24E0">
        <w:rPr>
          <w:rStyle w:val="Hyperlink"/>
          <w:rFonts w:ascii="Times New Roman" w:hAnsi="Times New Roman" w:cs="Times New Roman"/>
        </w:rPr>
        <w:t>959 P.2d 706</w:t>
      </w:r>
      <w:r>
        <w:rPr>
          <w:rStyle w:val="Hyperlink"/>
          <w:rFonts w:ascii="Times New Roman" w:hAnsi="Times New Roman" w:cs="Times New Roman"/>
        </w:rPr>
        <w:fldChar w:fldCharType="end"/>
      </w:r>
      <w:r w:rsidRPr="00F10975">
        <w:rPr>
          <w:rFonts w:ascii="Times New Roman" w:hAnsi="Times New Roman" w:cs="Times New Roman"/>
        </w:rPr>
        <w:t xml:space="preserve"> (Wyo. 1998)</w:t>
      </w:r>
    </w:p>
  </w:footnote>
  <w:footnote w:id="453">
    <w:p w14:paraId="51224CE7" w14:textId="2B7D1196" w:rsidR="00336EDF" w:rsidRPr="006F77CF" w:rsidRDefault="00336EDF">
      <w:pPr>
        <w:pStyle w:val="FootnoteText"/>
        <w:rPr>
          <w:rFonts w:ascii="Times New Roman" w:hAnsi="Times New Roman" w:cs="Times New Roman"/>
        </w:rPr>
      </w:pPr>
      <w:r w:rsidRPr="006F77CF">
        <w:rPr>
          <w:rStyle w:val="FootnoteReference"/>
          <w:rFonts w:ascii="Times New Roman" w:hAnsi="Times New Roman" w:cs="Times New Roman"/>
        </w:rPr>
        <w:footnoteRef/>
      </w:r>
      <w:r w:rsidRPr="006F77CF">
        <w:rPr>
          <w:rStyle w:val="FootnoteReference"/>
          <w:rFonts w:ascii="Times New Roman" w:hAnsi="Times New Roman" w:cs="Times New Roman"/>
        </w:rPr>
        <w:t xml:space="preserve"> </w:t>
      </w:r>
      <w:bookmarkStart w:id="637" w:name="f431"/>
      <w:bookmarkEnd w:id="637"/>
      <w:r w:rsidRPr="006F77CF">
        <w:rPr>
          <w:rFonts w:ascii="Times New Roman" w:hAnsi="Times New Roman" w:cs="Times New Roman"/>
          <w:i/>
        </w:rPr>
        <w:t>Id</w:t>
      </w:r>
      <w:r w:rsidRPr="006F77CF">
        <w:rPr>
          <w:rFonts w:ascii="Times New Roman" w:hAnsi="Times New Roman" w:cs="Times New Roman"/>
        </w:rPr>
        <w:t>. at 707</w:t>
      </w:r>
    </w:p>
  </w:footnote>
  <w:footnote w:id="454">
    <w:p w14:paraId="035F23A2" w14:textId="7BCDD639" w:rsidR="00336EDF" w:rsidRDefault="00336EDF">
      <w:pPr>
        <w:pStyle w:val="FootnoteText"/>
      </w:pPr>
      <w:r w:rsidRPr="006F77CF">
        <w:rPr>
          <w:rStyle w:val="FootnoteReference"/>
          <w:rFonts w:ascii="Times New Roman" w:hAnsi="Times New Roman" w:cs="Times New Roman"/>
        </w:rPr>
        <w:footnoteRef/>
      </w:r>
      <w:r w:rsidRPr="006F77CF">
        <w:rPr>
          <w:rStyle w:val="FootnoteReference"/>
          <w:rFonts w:ascii="Times New Roman" w:hAnsi="Times New Roman" w:cs="Times New Roman"/>
        </w:rPr>
        <w:t xml:space="preserve"> </w:t>
      </w:r>
      <w:bookmarkStart w:id="638" w:name="f432"/>
      <w:bookmarkEnd w:id="638"/>
      <w:r w:rsidRPr="006F77CF">
        <w:rPr>
          <w:rFonts w:ascii="Times New Roman" w:hAnsi="Times New Roman" w:cs="Times New Roman"/>
          <w:i/>
        </w:rPr>
        <w:t>Id</w:t>
      </w:r>
      <w:r w:rsidRPr="006F77CF">
        <w:rPr>
          <w:rFonts w:ascii="Times New Roman" w:hAnsi="Times New Roman" w:cs="Times New Roman"/>
        </w:rPr>
        <w:t>. at 708</w:t>
      </w:r>
    </w:p>
  </w:footnote>
  <w:footnote w:id="455">
    <w:p w14:paraId="0374CC8B" w14:textId="0E67AA00" w:rsidR="00336EDF" w:rsidRDefault="00336EDF">
      <w:pPr>
        <w:pStyle w:val="FootnoteText"/>
      </w:pPr>
      <w:r w:rsidRPr="006F77CF">
        <w:rPr>
          <w:rStyle w:val="FootnoteReference"/>
          <w:rFonts w:ascii="Times New Roman" w:hAnsi="Times New Roman" w:cs="Times New Roman"/>
        </w:rPr>
        <w:footnoteRef/>
      </w:r>
      <w:r>
        <w:t xml:space="preserve"> </w:t>
      </w:r>
      <w:bookmarkStart w:id="639" w:name="f433"/>
      <w:bookmarkEnd w:id="639"/>
      <w:r w:rsidRPr="006F77CF">
        <w:rPr>
          <w:rFonts w:ascii="Times New Roman" w:hAnsi="Times New Roman" w:cs="Times New Roman"/>
          <w:i/>
        </w:rPr>
        <w:t>Id</w:t>
      </w:r>
      <w:r w:rsidRPr="006F77CF">
        <w:rPr>
          <w:rFonts w:ascii="Times New Roman" w:hAnsi="Times New Roman" w:cs="Times New Roman"/>
        </w:rPr>
        <w:t>.</w:t>
      </w:r>
    </w:p>
  </w:footnote>
  <w:footnote w:id="456">
    <w:p w14:paraId="481B8F0A" w14:textId="70B13B5E" w:rsidR="00336EDF" w:rsidRDefault="00336EDF">
      <w:pPr>
        <w:pStyle w:val="FootnoteText"/>
      </w:pPr>
      <w:r w:rsidRPr="006F77CF">
        <w:rPr>
          <w:rStyle w:val="FootnoteReference"/>
          <w:rFonts w:ascii="Times New Roman" w:hAnsi="Times New Roman" w:cs="Times New Roman"/>
        </w:rPr>
        <w:footnoteRef/>
      </w:r>
      <w:r>
        <w:t xml:space="preserve"> </w:t>
      </w:r>
      <w:bookmarkStart w:id="640" w:name="f434"/>
      <w:bookmarkEnd w:id="640"/>
      <w:r w:rsidRPr="006F77CF">
        <w:rPr>
          <w:rFonts w:ascii="Times New Roman" w:hAnsi="Times New Roman" w:cs="Times New Roman"/>
          <w:i/>
        </w:rPr>
        <w:t>Id</w:t>
      </w:r>
      <w:r w:rsidRPr="006F77CF">
        <w:rPr>
          <w:rFonts w:ascii="Times New Roman" w:hAnsi="Times New Roman" w:cs="Times New Roman"/>
        </w:rPr>
        <w:t>.</w:t>
      </w:r>
      <w:r>
        <w:t xml:space="preserve"> </w:t>
      </w:r>
    </w:p>
  </w:footnote>
  <w:footnote w:id="457">
    <w:p w14:paraId="32CA8A9B" w14:textId="3B055811" w:rsidR="00336EDF" w:rsidRDefault="00336EDF">
      <w:pPr>
        <w:pStyle w:val="FootnoteText"/>
      </w:pPr>
      <w:r w:rsidRPr="006F77CF">
        <w:rPr>
          <w:rStyle w:val="FootnoteReference"/>
          <w:rFonts w:ascii="Times New Roman" w:hAnsi="Times New Roman" w:cs="Times New Roman"/>
        </w:rPr>
        <w:footnoteRef/>
      </w:r>
      <w:bookmarkStart w:id="641" w:name="f435"/>
      <w:bookmarkEnd w:id="641"/>
      <w:r w:rsidRPr="006F77CF">
        <w:rPr>
          <w:rFonts w:ascii="Times New Roman" w:hAnsi="Times New Roman" w:cs="Times New Roman"/>
          <w:i/>
        </w:rPr>
        <w:t xml:space="preserve"> Id</w:t>
      </w:r>
      <w:r w:rsidRPr="006F77CF">
        <w:rPr>
          <w:rFonts w:ascii="Times New Roman" w:hAnsi="Times New Roman" w:cs="Times New Roman"/>
        </w:rPr>
        <w:t>.</w:t>
      </w:r>
    </w:p>
  </w:footnote>
  <w:footnote w:id="458">
    <w:p w14:paraId="6DF9B935" w14:textId="5B2AC6F8" w:rsidR="00336EDF" w:rsidRDefault="00336EDF">
      <w:pPr>
        <w:pStyle w:val="FootnoteText"/>
      </w:pPr>
      <w:r w:rsidRPr="006F77CF">
        <w:rPr>
          <w:rStyle w:val="FootnoteReference"/>
          <w:rFonts w:ascii="Times New Roman" w:hAnsi="Times New Roman" w:cs="Times New Roman"/>
        </w:rPr>
        <w:footnoteRef/>
      </w:r>
      <w:r>
        <w:t xml:space="preserve"> </w:t>
      </w:r>
      <w:bookmarkStart w:id="642" w:name="f436"/>
      <w:bookmarkEnd w:id="642"/>
      <w:r w:rsidRPr="006F77CF">
        <w:rPr>
          <w:rFonts w:ascii="Times New Roman" w:hAnsi="Times New Roman" w:cs="Times New Roman"/>
          <w:i/>
        </w:rPr>
        <w:t>Id</w:t>
      </w:r>
      <w:r w:rsidRPr="006F77CF">
        <w:rPr>
          <w:rFonts w:ascii="Times New Roman" w:hAnsi="Times New Roman" w:cs="Times New Roman"/>
        </w:rPr>
        <w:t>.</w:t>
      </w:r>
    </w:p>
  </w:footnote>
  <w:footnote w:id="459">
    <w:p w14:paraId="13360148" w14:textId="3ADDE264" w:rsidR="00336EDF" w:rsidRDefault="00336EDF">
      <w:pPr>
        <w:pStyle w:val="FootnoteText"/>
      </w:pPr>
      <w:r w:rsidRPr="006F77CF">
        <w:rPr>
          <w:rStyle w:val="FootnoteReference"/>
          <w:rFonts w:ascii="Times New Roman" w:hAnsi="Times New Roman" w:cs="Times New Roman"/>
        </w:rPr>
        <w:footnoteRef/>
      </w:r>
      <w:r w:rsidRPr="006F77CF">
        <w:rPr>
          <w:rStyle w:val="FootnoteReference"/>
          <w:rFonts w:ascii="Times New Roman" w:hAnsi="Times New Roman" w:cs="Times New Roman"/>
        </w:rPr>
        <w:t xml:space="preserve"> </w:t>
      </w:r>
      <w:bookmarkStart w:id="643" w:name="f437"/>
      <w:bookmarkEnd w:id="643"/>
      <w:r w:rsidRPr="006F77CF">
        <w:rPr>
          <w:rFonts w:ascii="Times New Roman" w:hAnsi="Times New Roman" w:cs="Times New Roman"/>
          <w:i/>
        </w:rPr>
        <w:t>Id</w:t>
      </w:r>
      <w:r w:rsidRPr="006F77CF">
        <w:rPr>
          <w:rFonts w:ascii="Times New Roman" w:hAnsi="Times New Roman" w:cs="Times New Roman"/>
        </w:rPr>
        <w:t>. at 709</w:t>
      </w:r>
    </w:p>
  </w:footnote>
  <w:footnote w:id="460">
    <w:p w14:paraId="7B8454DA" w14:textId="10DE8ABA" w:rsidR="00336EDF" w:rsidRDefault="00336EDF">
      <w:pPr>
        <w:pStyle w:val="FootnoteText"/>
      </w:pPr>
      <w:r w:rsidRPr="006F77CF">
        <w:rPr>
          <w:rStyle w:val="FootnoteReference"/>
          <w:rFonts w:ascii="Times New Roman" w:hAnsi="Times New Roman" w:cs="Times New Roman"/>
        </w:rPr>
        <w:footnoteRef/>
      </w:r>
      <w:bookmarkStart w:id="644" w:name="f438"/>
      <w:bookmarkEnd w:id="644"/>
      <w:r w:rsidRPr="006F77CF">
        <w:rPr>
          <w:rFonts w:ascii="Times New Roman" w:hAnsi="Times New Roman" w:cs="Times New Roman"/>
          <w:i/>
        </w:rPr>
        <w:t xml:space="preserve"> Id.</w:t>
      </w:r>
    </w:p>
  </w:footnote>
  <w:footnote w:id="461">
    <w:p w14:paraId="09B728D8" w14:textId="70575FFF" w:rsidR="00336EDF" w:rsidRDefault="00336EDF">
      <w:pPr>
        <w:pStyle w:val="FootnoteText"/>
      </w:pPr>
      <w:r w:rsidRPr="006F77CF">
        <w:rPr>
          <w:rStyle w:val="FootnoteReference"/>
          <w:rFonts w:ascii="Times New Roman" w:hAnsi="Times New Roman" w:cs="Times New Roman"/>
        </w:rPr>
        <w:footnoteRef/>
      </w:r>
      <w:r>
        <w:t xml:space="preserve"> </w:t>
      </w:r>
      <w:bookmarkStart w:id="645" w:name="f439"/>
      <w:bookmarkEnd w:id="645"/>
      <w:r w:rsidRPr="006F77CF">
        <w:rPr>
          <w:rFonts w:ascii="Times New Roman" w:hAnsi="Times New Roman" w:cs="Times New Roman"/>
          <w:i/>
        </w:rPr>
        <w:t>Id.</w:t>
      </w:r>
    </w:p>
  </w:footnote>
  <w:footnote w:id="462">
    <w:p w14:paraId="2EFD605B" w14:textId="0969E81B" w:rsidR="00336EDF" w:rsidRDefault="00336EDF">
      <w:pPr>
        <w:pStyle w:val="FootnoteText"/>
      </w:pPr>
      <w:r w:rsidRPr="006F77CF">
        <w:rPr>
          <w:rStyle w:val="FootnoteReference"/>
          <w:rFonts w:ascii="Times New Roman" w:hAnsi="Times New Roman" w:cs="Times New Roman"/>
        </w:rPr>
        <w:footnoteRef/>
      </w:r>
      <w:r>
        <w:t xml:space="preserve"> </w:t>
      </w:r>
      <w:bookmarkStart w:id="646" w:name="f440"/>
      <w:bookmarkEnd w:id="646"/>
      <w:r w:rsidRPr="006F77CF">
        <w:rPr>
          <w:rFonts w:ascii="Times New Roman" w:hAnsi="Times New Roman" w:cs="Times New Roman"/>
          <w:i/>
        </w:rPr>
        <w:t>Id.</w:t>
      </w:r>
    </w:p>
  </w:footnote>
  <w:footnote w:id="463">
    <w:p w14:paraId="0DDCED19" w14:textId="70DBDC20" w:rsidR="00336EDF" w:rsidRDefault="00336EDF">
      <w:pPr>
        <w:pStyle w:val="FootnoteText"/>
      </w:pPr>
      <w:r w:rsidRPr="006F77CF">
        <w:rPr>
          <w:rStyle w:val="FootnoteReference"/>
          <w:rFonts w:ascii="Times New Roman" w:hAnsi="Times New Roman" w:cs="Times New Roman"/>
        </w:rPr>
        <w:footnoteRef/>
      </w:r>
      <w:r>
        <w:t xml:space="preserve"> </w:t>
      </w:r>
      <w:bookmarkStart w:id="647" w:name="f441"/>
      <w:bookmarkEnd w:id="647"/>
      <w:r w:rsidRPr="006F77CF">
        <w:rPr>
          <w:rFonts w:ascii="Times New Roman" w:hAnsi="Times New Roman" w:cs="Times New Roman"/>
          <w:i/>
        </w:rPr>
        <w:t>Id.</w:t>
      </w:r>
    </w:p>
  </w:footnote>
  <w:footnote w:id="464">
    <w:p w14:paraId="1322787B" w14:textId="429993A8" w:rsidR="00336EDF" w:rsidRDefault="00336EDF">
      <w:pPr>
        <w:pStyle w:val="FootnoteText"/>
      </w:pPr>
      <w:r w:rsidRPr="006F77CF">
        <w:rPr>
          <w:rStyle w:val="FootnoteReference"/>
          <w:rFonts w:ascii="Times New Roman" w:hAnsi="Times New Roman" w:cs="Times New Roman"/>
        </w:rPr>
        <w:footnoteRef/>
      </w:r>
      <w:r>
        <w:t xml:space="preserve"> </w:t>
      </w:r>
      <w:bookmarkStart w:id="648" w:name="f442"/>
      <w:bookmarkEnd w:id="648"/>
      <w:r w:rsidRPr="006F77CF">
        <w:rPr>
          <w:rFonts w:ascii="Times New Roman" w:hAnsi="Times New Roman" w:cs="Times New Roman"/>
          <w:i/>
        </w:rPr>
        <w:t>Id</w:t>
      </w:r>
      <w:r w:rsidRPr="006F77CF">
        <w:rPr>
          <w:rFonts w:ascii="Times New Roman" w:hAnsi="Times New Roman" w:cs="Times New Roman"/>
        </w:rPr>
        <w:t>. at 510</w:t>
      </w:r>
    </w:p>
  </w:footnote>
  <w:footnote w:id="465">
    <w:p w14:paraId="29142A4D" w14:textId="2C7127AE" w:rsidR="00336EDF" w:rsidRDefault="00336EDF">
      <w:pPr>
        <w:pStyle w:val="FootnoteText"/>
      </w:pPr>
      <w:r w:rsidRPr="003C5B06">
        <w:rPr>
          <w:rStyle w:val="FootnoteReference"/>
          <w:rFonts w:ascii="Times New Roman" w:hAnsi="Times New Roman" w:cs="Times New Roman"/>
        </w:rPr>
        <w:footnoteRef/>
      </w:r>
      <w:r>
        <w:t xml:space="preserve"> </w:t>
      </w:r>
      <w:bookmarkStart w:id="649" w:name="f443"/>
      <w:bookmarkEnd w:id="649"/>
      <w:r w:rsidRPr="003C5B06">
        <w:rPr>
          <w:rFonts w:ascii="Times New Roman" w:hAnsi="Times New Roman" w:cs="Times New Roman"/>
          <w:i/>
        </w:rPr>
        <w:t>Id.</w:t>
      </w:r>
    </w:p>
  </w:footnote>
  <w:footnote w:id="466">
    <w:p w14:paraId="63E692C4" w14:textId="09DE4B10" w:rsidR="00336EDF" w:rsidRDefault="00336EDF">
      <w:pPr>
        <w:pStyle w:val="FootnoteText"/>
      </w:pPr>
      <w:r w:rsidRPr="003C5B06">
        <w:rPr>
          <w:rStyle w:val="FootnoteReference"/>
          <w:rFonts w:ascii="Times New Roman" w:hAnsi="Times New Roman" w:cs="Times New Roman"/>
        </w:rPr>
        <w:footnoteRef/>
      </w:r>
      <w:bookmarkStart w:id="650" w:name="f444"/>
      <w:bookmarkEnd w:id="650"/>
      <w:r w:rsidRPr="003C5B06">
        <w:rPr>
          <w:rStyle w:val="FootnoteReference"/>
          <w:rFonts w:ascii="Times New Roman" w:hAnsi="Times New Roman" w:cs="Times New Roman"/>
        </w:rPr>
        <w:t xml:space="preserve"> </w:t>
      </w:r>
      <w:r w:rsidRPr="003C5B06">
        <w:rPr>
          <w:rFonts w:ascii="Times New Roman" w:hAnsi="Times New Roman" w:cs="Times New Roman"/>
          <w:i/>
        </w:rPr>
        <w:t>Id.</w:t>
      </w:r>
    </w:p>
  </w:footnote>
  <w:footnote w:id="467">
    <w:p w14:paraId="597B0A3C" w14:textId="3E0BD4E9" w:rsidR="00336EDF" w:rsidRDefault="00336EDF">
      <w:pPr>
        <w:pStyle w:val="FootnoteText"/>
      </w:pPr>
      <w:r w:rsidRPr="003C5B06">
        <w:rPr>
          <w:rStyle w:val="FootnoteReference"/>
          <w:rFonts w:ascii="Times New Roman" w:hAnsi="Times New Roman" w:cs="Times New Roman"/>
        </w:rPr>
        <w:footnoteRef/>
      </w:r>
      <w:r>
        <w:t xml:space="preserve"> </w:t>
      </w:r>
      <w:bookmarkStart w:id="652" w:name="f445"/>
      <w:bookmarkEnd w:id="652"/>
      <w:r>
        <w:fldChar w:fldCharType="begin"/>
      </w:r>
      <w:r>
        <w:instrText xml:space="preserve"> HYPERLINK "https://www.leagle.com/decision/20051133120p3d101311121" </w:instrText>
      </w:r>
      <w:r>
        <w:fldChar w:fldCharType="separate"/>
      </w:r>
      <w:r w:rsidRPr="002D24E0">
        <w:rPr>
          <w:rStyle w:val="Hyperlink"/>
          <w:rFonts w:ascii="Times New Roman" w:hAnsi="Times New Roman" w:cs="Times New Roman"/>
        </w:rPr>
        <w:t>120 P.3d 1013</w:t>
      </w:r>
      <w:r>
        <w:rPr>
          <w:rStyle w:val="Hyperlink"/>
          <w:rFonts w:ascii="Times New Roman" w:hAnsi="Times New Roman" w:cs="Times New Roman"/>
        </w:rPr>
        <w:fldChar w:fldCharType="end"/>
      </w:r>
      <w:r w:rsidRPr="003C5B06">
        <w:rPr>
          <w:rFonts w:ascii="Times New Roman" w:hAnsi="Times New Roman" w:cs="Times New Roman"/>
        </w:rPr>
        <w:t xml:space="preserve"> (Wyo. 2005)</w:t>
      </w:r>
    </w:p>
  </w:footnote>
  <w:footnote w:id="468">
    <w:p w14:paraId="354E49B9" w14:textId="7BC86ED1" w:rsidR="00336EDF" w:rsidRPr="003C5B06" w:rsidRDefault="00336EDF" w:rsidP="003C5B06">
      <w:pPr>
        <w:pStyle w:val="FootnoteText"/>
        <w:jc w:val="both"/>
        <w:rPr>
          <w:rFonts w:ascii="Times New Roman" w:hAnsi="Times New Roman" w:cs="Times New Roman"/>
        </w:rPr>
      </w:pPr>
      <w:r w:rsidRPr="003C5B06">
        <w:rPr>
          <w:rStyle w:val="FootnoteReference"/>
          <w:rFonts w:ascii="Times New Roman" w:hAnsi="Times New Roman" w:cs="Times New Roman"/>
        </w:rPr>
        <w:footnoteRef/>
      </w:r>
      <w:bookmarkStart w:id="653" w:name="f446"/>
      <w:bookmarkEnd w:id="653"/>
      <w:r>
        <w:t xml:space="preserve"> </w:t>
      </w:r>
      <w:r w:rsidRPr="003C5B06">
        <w:rPr>
          <w:rFonts w:ascii="Times New Roman" w:hAnsi="Times New Roman" w:cs="Times New Roman"/>
          <w:i/>
        </w:rPr>
        <w:t>Id</w:t>
      </w:r>
      <w:r w:rsidRPr="003C5B06">
        <w:rPr>
          <w:rFonts w:ascii="Times New Roman" w:hAnsi="Times New Roman" w:cs="Times New Roman"/>
        </w:rPr>
        <w:t>. at 1014.</w:t>
      </w:r>
      <w:r>
        <w:t xml:space="preserve"> </w:t>
      </w:r>
      <w:r w:rsidRPr="003C5B06">
        <w:rPr>
          <w:rFonts w:ascii="Times New Roman" w:hAnsi="Times New Roman" w:cs="Times New Roman"/>
        </w:rPr>
        <w:t>According to the employer, Blommel said she hurt her shoulder while working for her second employer, Wal–Mart.</w:t>
      </w:r>
      <w:r>
        <w:rPr>
          <w:rFonts w:ascii="Times New Roman" w:hAnsi="Times New Roman" w:cs="Times New Roman"/>
        </w:rPr>
        <w:t xml:space="preserve"> </w:t>
      </w:r>
      <w:r w:rsidRPr="003C5B06">
        <w:rPr>
          <w:rFonts w:ascii="Times New Roman" w:hAnsi="Times New Roman" w:cs="Times New Roman"/>
          <w:i/>
        </w:rPr>
        <w:t>Id</w:t>
      </w:r>
      <w:r>
        <w:rPr>
          <w:rFonts w:ascii="Times New Roman" w:hAnsi="Times New Roman" w:cs="Times New Roman"/>
        </w:rPr>
        <w:t>.</w:t>
      </w:r>
    </w:p>
  </w:footnote>
  <w:footnote w:id="469">
    <w:p w14:paraId="3789B269" w14:textId="4280C3E9" w:rsidR="00336EDF" w:rsidRDefault="00336EDF">
      <w:pPr>
        <w:pStyle w:val="FootnoteText"/>
      </w:pPr>
      <w:r w:rsidRPr="003C5B06">
        <w:rPr>
          <w:rStyle w:val="FootnoteReference"/>
          <w:rFonts w:ascii="Times New Roman" w:hAnsi="Times New Roman" w:cs="Times New Roman"/>
        </w:rPr>
        <w:footnoteRef/>
      </w:r>
      <w:r>
        <w:t xml:space="preserve"> </w:t>
      </w:r>
      <w:bookmarkStart w:id="654" w:name="f447"/>
      <w:bookmarkEnd w:id="654"/>
      <w:r w:rsidRPr="003C5B06">
        <w:rPr>
          <w:rFonts w:ascii="Times New Roman" w:hAnsi="Times New Roman" w:cs="Times New Roman"/>
          <w:i/>
        </w:rPr>
        <w:t>Id</w:t>
      </w:r>
      <w:r w:rsidRPr="003C5B06">
        <w:rPr>
          <w:rFonts w:ascii="Times New Roman" w:hAnsi="Times New Roman" w:cs="Times New Roman"/>
        </w:rPr>
        <w:t>. Again there was record testimony that she did not relate her shoulder pain to work with the employer.</w:t>
      </w:r>
      <w:r>
        <w:rPr>
          <w:rFonts w:ascii="Times New Roman" w:hAnsi="Times New Roman" w:cs="Times New Roman"/>
        </w:rPr>
        <w:t xml:space="preserve"> </w:t>
      </w:r>
      <w:r w:rsidRPr="003C5B06">
        <w:rPr>
          <w:rFonts w:ascii="Times New Roman" w:hAnsi="Times New Roman" w:cs="Times New Roman"/>
          <w:i/>
        </w:rPr>
        <w:t>Id.</w:t>
      </w:r>
    </w:p>
  </w:footnote>
  <w:footnote w:id="470">
    <w:p w14:paraId="0227847A" w14:textId="10DE89A4" w:rsidR="00336EDF" w:rsidRDefault="00336EDF">
      <w:pPr>
        <w:pStyle w:val="FootnoteText"/>
      </w:pPr>
      <w:r w:rsidRPr="003C5B06">
        <w:rPr>
          <w:rStyle w:val="FootnoteReference"/>
          <w:rFonts w:ascii="Times New Roman" w:hAnsi="Times New Roman" w:cs="Times New Roman"/>
        </w:rPr>
        <w:footnoteRef/>
      </w:r>
      <w:r>
        <w:t xml:space="preserve"> </w:t>
      </w:r>
      <w:bookmarkStart w:id="655" w:name="f448"/>
      <w:bookmarkEnd w:id="655"/>
      <w:r w:rsidRPr="003C5B06">
        <w:rPr>
          <w:rFonts w:ascii="Times New Roman" w:hAnsi="Times New Roman" w:cs="Times New Roman"/>
          <w:i/>
        </w:rPr>
        <w:t>Id.</w:t>
      </w:r>
    </w:p>
  </w:footnote>
  <w:footnote w:id="471">
    <w:p w14:paraId="02B607B8" w14:textId="7ABDA27C" w:rsidR="00336EDF" w:rsidRDefault="00336EDF">
      <w:pPr>
        <w:pStyle w:val="FootnoteText"/>
      </w:pPr>
      <w:r w:rsidRPr="003C5B06">
        <w:rPr>
          <w:rStyle w:val="FootnoteReference"/>
          <w:rFonts w:ascii="Times New Roman" w:hAnsi="Times New Roman" w:cs="Times New Roman"/>
        </w:rPr>
        <w:footnoteRef/>
      </w:r>
      <w:r>
        <w:t xml:space="preserve"> </w:t>
      </w:r>
      <w:bookmarkStart w:id="656" w:name="f449"/>
      <w:bookmarkEnd w:id="656"/>
      <w:r w:rsidRPr="003C5B06">
        <w:rPr>
          <w:rFonts w:ascii="Times New Roman" w:hAnsi="Times New Roman" w:cs="Times New Roman"/>
          <w:i/>
        </w:rPr>
        <w:t>Id.</w:t>
      </w:r>
    </w:p>
  </w:footnote>
  <w:footnote w:id="472">
    <w:p w14:paraId="70545A00" w14:textId="10E11F04" w:rsidR="00336EDF" w:rsidRDefault="00336EDF">
      <w:pPr>
        <w:pStyle w:val="FootnoteText"/>
      </w:pPr>
      <w:r w:rsidRPr="003C5B06">
        <w:rPr>
          <w:rStyle w:val="FootnoteReference"/>
          <w:rFonts w:ascii="Times New Roman" w:hAnsi="Times New Roman" w:cs="Times New Roman"/>
        </w:rPr>
        <w:footnoteRef/>
      </w:r>
      <w:bookmarkStart w:id="657" w:name="f450"/>
      <w:bookmarkEnd w:id="657"/>
      <w:r w:rsidRPr="003C5B06">
        <w:rPr>
          <w:i/>
        </w:rPr>
        <w:t xml:space="preserve"> </w:t>
      </w:r>
      <w:r w:rsidRPr="003C5B06">
        <w:rPr>
          <w:rFonts w:ascii="Times New Roman" w:hAnsi="Times New Roman" w:cs="Times New Roman"/>
          <w:i/>
        </w:rPr>
        <w:t>Id</w:t>
      </w:r>
      <w:r w:rsidRPr="003C5B06">
        <w:rPr>
          <w:rFonts w:ascii="Times New Roman" w:hAnsi="Times New Roman" w:cs="Times New Roman"/>
        </w:rPr>
        <w:t>. at 1015</w:t>
      </w:r>
    </w:p>
  </w:footnote>
  <w:footnote w:id="473">
    <w:p w14:paraId="1146E41C" w14:textId="06795140" w:rsidR="00336EDF" w:rsidRDefault="00336EDF">
      <w:pPr>
        <w:pStyle w:val="FootnoteText"/>
      </w:pPr>
      <w:r w:rsidRPr="003C5B06">
        <w:rPr>
          <w:rStyle w:val="FootnoteReference"/>
          <w:rFonts w:ascii="Times New Roman" w:hAnsi="Times New Roman" w:cs="Times New Roman"/>
        </w:rPr>
        <w:footnoteRef/>
      </w:r>
      <w:r>
        <w:t xml:space="preserve"> </w:t>
      </w:r>
      <w:bookmarkStart w:id="658" w:name="f451"/>
      <w:bookmarkEnd w:id="658"/>
      <w:r w:rsidRPr="003C5B06">
        <w:rPr>
          <w:rFonts w:ascii="Times New Roman" w:hAnsi="Times New Roman" w:cs="Times New Roman"/>
          <w:i/>
        </w:rPr>
        <w:t>Id.</w:t>
      </w:r>
    </w:p>
  </w:footnote>
  <w:footnote w:id="474">
    <w:p w14:paraId="371367C4" w14:textId="304C1AB1" w:rsidR="00336EDF" w:rsidRDefault="00336EDF">
      <w:pPr>
        <w:pStyle w:val="FootnoteText"/>
      </w:pPr>
      <w:r w:rsidRPr="003C5B06">
        <w:rPr>
          <w:rStyle w:val="FootnoteReference"/>
          <w:rFonts w:ascii="Times New Roman" w:hAnsi="Times New Roman" w:cs="Times New Roman"/>
        </w:rPr>
        <w:footnoteRef/>
      </w:r>
      <w:r w:rsidRPr="003C5B06">
        <w:rPr>
          <w:rFonts w:ascii="Times New Roman" w:hAnsi="Times New Roman" w:cs="Times New Roman"/>
        </w:rPr>
        <w:t xml:space="preserve"> </w:t>
      </w:r>
      <w:bookmarkStart w:id="659" w:name="f452"/>
      <w:bookmarkEnd w:id="659"/>
      <w:r w:rsidRPr="003C5B06">
        <w:rPr>
          <w:rFonts w:ascii="Times New Roman" w:hAnsi="Times New Roman" w:cs="Times New Roman"/>
          <w:i/>
        </w:rPr>
        <w:t>Id</w:t>
      </w:r>
    </w:p>
  </w:footnote>
  <w:footnote w:id="475">
    <w:p w14:paraId="4F92D7C5" w14:textId="51533244" w:rsidR="00336EDF" w:rsidRDefault="00336EDF">
      <w:pPr>
        <w:pStyle w:val="FootnoteText"/>
      </w:pPr>
      <w:r w:rsidRPr="003C5B06">
        <w:rPr>
          <w:rStyle w:val="FootnoteReference"/>
          <w:rFonts w:ascii="Times New Roman" w:hAnsi="Times New Roman" w:cs="Times New Roman"/>
        </w:rPr>
        <w:footnoteRef/>
      </w:r>
      <w:r>
        <w:t xml:space="preserve"> </w:t>
      </w:r>
      <w:bookmarkStart w:id="660" w:name="f453"/>
      <w:bookmarkEnd w:id="660"/>
      <w:r w:rsidRPr="003C5B06">
        <w:rPr>
          <w:rFonts w:ascii="Times New Roman" w:hAnsi="Times New Roman" w:cs="Times New Roman"/>
          <w:i/>
        </w:rPr>
        <w:t>Id.</w:t>
      </w:r>
    </w:p>
  </w:footnote>
  <w:footnote w:id="476">
    <w:p w14:paraId="7A920FD2" w14:textId="49538AED" w:rsidR="00336EDF" w:rsidRDefault="00336EDF">
      <w:pPr>
        <w:pStyle w:val="FootnoteText"/>
      </w:pPr>
      <w:r w:rsidRPr="003C5B06">
        <w:rPr>
          <w:rStyle w:val="FootnoteReference"/>
          <w:rFonts w:ascii="Times New Roman" w:hAnsi="Times New Roman" w:cs="Times New Roman"/>
        </w:rPr>
        <w:footnoteRef/>
      </w:r>
      <w:r w:rsidRPr="003C5B06">
        <w:rPr>
          <w:rFonts w:ascii="Times New Roman" w:hAnsi="Times New Roman" w:cs="Times New Roman"/>
        </w:rPr>
        <w:t xml:space="preserve"> </w:t>
      </w:r>
      <w:bookmarkStart w:id="661" w:name="f454"/>
      <w:bookmarkEnd w:id="661"/>
      <w:r>
        <w:fldChar w:fldCharType="begin"/>
      </w:r>
      <w:r>
        <w:instrText xml:space="preserve"> HYPERLINK "https://www.leagle.com/decision/200327181p3d1901268" </w:instrText>
      </w:r>
      <w:r>
        <w:fldChar w:fldCharType="separate"/>
      </w:r>
      <w:r w:rsidRPr="002D24E0">
        <w:rPr>
          <w:rStyle w:val="Hyperlink"/>
          <w:rFonts w:ascii="Times New Roman" w:hAnsi="Times New Roman" w:cs="Times New Roman"/>
        </w:rPr>
        <w:t>81 P.3d 190</w:t>
      </w:r>
      <w:r>
        <w:rPr>
          <w:rStyle w:val="Hyperlink"/>
          <w:rFonts w:ascii="Times New Roman" w:hAnsi="Times New Roman" w:cs="Times New Roman"/>
        </w:rPr>
        <w:fldChar w:fldCharType="end"/>
      </w:r>
      <w:r w:rsidRPr="003C5B06">
        <w:rPr>
          <w:rFonts w:ascii="Times New Roman" w:hAnsi="Times New Roman" w:cs="Times New Roman"/>
        </w:rPr>
        <w:t xml:space="preserve"> (Wyo. 2003)</w:t>
      </w:r>
    </w:p>
  </w:footnote>
  <w:footnote w:id="477">
    <w:p w14:paraId="13B5EA43" w14:textId="2421DD85" w:rsidR="00336EDF" w:rsidRPr="003C5B06" w:rsidRDefault="00336EDF" w:rsidP="003C5B06">
      <w:pPr>
        <w:pStyle w:val="FootnoteText"/>
        <w:jc w:val="both"/>
        <w:rPr>
          <w:rFonts w:ascii="Times New Roman" w:hAnsi="Times New Roman" w:cs="Times New Roman"/>
        </w:rPr>
      </w:pPr>
      <w:r w:rsidRPr="003C5B06">
        <w:rPr>
          <w:rStyle w:val="FootnoteReference"/>
          <w:rFonts w:ascii="Times New Roman" w:hAnsi="Times New Roman" w:cs="Times New Roman"/>
        </w:rPr>
        <w:footnoteRef/>
      </w:r>
      <w:r>
        <w:t xml:space="preserve"> </w:t>
      </w:r>
      <w:bookmarkStart w:id="662" w:name="f455"/>
      <w:bookmarkEnd w:id="662"/>
      <w:r w:rsidRPr="003C5B06">
        <w:rPr>
          <w:rFonts w:ascii="Times New Roman" w:hAnsi="Times New Roman" w:cs="Times New Roman"/>
        </w:rPr>
        <w:t>Blommel v. Wyoming Dep</w:t>
      </w:r>
      <w:r>
        <w:rPr>
          <w:rFonts w:ascii="Times New Roman" w:hAnsi="Times New Roman" w:cs="Times New Roman"/>
        </w:rPr>
        <w:t>t.</w:t>
      </w:r>
      <w:r w:rsidRPr="003C5B06">
        <w:rPr>
          <w:rFonts w:ascii="Times New Roman" w:hAnsi="Times New Roman" w:cs="Times New Roman"/>
        </w:rPr>
        <w:t xml:space="preserve"> </w:t>
      </w:r>
      <w:r>
        <w:rPr>
          <w:rFonts w:ascii="Times New Roman" w:hAnsi="Times New Roman" w:cs="Times New Roman"/>
        </w:rPr>
        <w:t>o</w:t>
      </w:r>
      <w:r w:rsidRPr="003C5B06">
        <w:rPr>
          <w:rFonts w:ascii="Times New Roman" w:hAnsi="Times New Roman" w:cs="Times New Roman"/>
        </w:rPr>
        <w:t>f Employment, Div</w:t>
      </w:r>
      <w:r>
        <w:rPr>
          <w:rFonts w:ascii="Times New Roman" w:hAnsi="Times New Roman" w:cs="Times New Roman"/>
        </w:rPr>
        <w:t>.</w:t>
      </w:r>
      <w:r w:rsidRPr="003C5B06">
        <w:rPr>
          <w:rFonts w:ascii="Times New Roman" w:hAnsi="Times New Roman" w:cs="Times New Roman"/>
        </w:rPr>
        <w:t xml:space="preserve"> </w:t>
      </w:r>
      <w:r>
        <w:rPr>
          <w:rFonts w:ascii="Times New Roman" w:hAnsi="Times New Roman" w:cs="Times New Roman"/>
        </w:rPr>
        <w:t>o</w:t>
      </w:r>
      <w:r w:rsidRPr="003C5B06">
        <w:rPr>
          <w:rFonts w:ascii="Times New Roman" w:hAnsi="Times New Roman" w:cs="Times New Roman"/>
        </w:rPr>
        <w:t xml:space="preserve">f Workers’ Safety </w:t>
      </w:r>
      <w:r>
        <w:rPr>
          <w:rFonts w:ascii="Times New Roman" w:hAnsi="Times New Roman" w:cs="Times New Roman"/>
        </w:rPr>
        <w:t xml:space="preserve">&amp; </w:t>
      </w:r>
      <w:r w:rsidRPr="003C5B06">
        <w:rPr>
          <w:rFonts w:ascii="Times New Roman" w:hAnsi="Times New Roman" w:cs="Times New Roman"/>
        </w:rPr>
        <w:t xml:space="preserve">Compensation, </w:t>
      </w:r>
      <w:r w:rsidRPr="003C5B06">
        <w:rPr>
          <w:rFonts w:ascii="Times New Roman" w:hAnsi="Times New Roman" w:cs="Times New Roman"/>
          <w:i/>
        </w:rPr>
        <w:t>supra</w:t>
      </w:r>
      <w:r w:rsidRPr="003C5B06">
        <w:rPr>
          <w:rFonts w:ascii="Times New Roman" w:hAnsi="Times New Roman" w:cs="Times New Roman"/>
        </w:rPr>
        <w:t xml:space="preserve">., 120 P.3d at 1016 </w:t>
      </w:r>
      <w:r w:rsidRPr="003C5B06">
        <w:rPr>
          <w:rFonts w:ascii="Times New Roman" w:hAnsi="Times New Roman" w:cs="Times New Roman"/>
          <w:i/>
        </w:rPr>
        <w:t>quoting</w:t>
      </w:r>
      <w:r w:rsidRPr="003C5B06">
        <w:rPr>
          <w:rFonts w:ascii="Times New Roman" w:hAnsi="Times New Roman" w:cs="Times New Roman"/>
        </w:rPr>
        <w:t xml:space="preserve"> Iverson v. Frost Constr., </w:t>
      </w:r>
      <w:r w:rsidRPr="003C5B06">
        <w:rPr>
          <w:rFonts w:ascii="Times New Roman" w:hAnsi="Times New Roman" w:cs="Times New Roman"/>
          <w:i/>
        </w:rPr>
        <w:t>supra</w:t>
      </w:r>
      <w:r w:rsidRPr="003C5B06">
        <w:rPr>
          <w:rFonts w:ascii="Times New Roman" w:hAnsi="Times New Roman" w:cs="Times New Roman"/>
        </w:rPr>
        <w:t>.,</w:t>
      </w:r>
      <w:r>
        <w:rPr>
          <w:rFonts w:ascii="Times New Roman" w:hAnsi="Times New Roman" w:cs="Times New Roman"/>
        </w:rPr>
        <w:t xml:space="preserve"> 81 P.3d </w:t>
      </w:r>
      <w:r w:rsidRPr="003C5B06">
        <w:rPr>
          <w:rFonts w:ascii="Times New Roman" w:hAnsi="Times New Roman" w:cs="Times New Roman"/>
        </w:rPr>
        <w:t>at 195</w:t>
      </w:r>
    </w:p>
  </w:footnote>
  <w:footnote w:id="478">
    <w:p w14:paraId="27BC9F1F" w14:textId="6E692D02" w:rsidR="00336EDF" w:rsidRDefault="00336EDF" w:rsidP="002D24E0">
      <w:pPr>
        <w:pStyle w:val="FootnoteText"/>
        <w:jc w:val="both"/>
      </w:pPr>
      <w:r w:rsidRPr="003C5B06">
        <w:rPr>
          <w:rStyle w:val="FootnoteReference"/>
          <w:rFonts w:ascii="Times New Roman" w:hAnsi="Times New Roman" w:cs="Times New Roman"/>
        </w:rPr>
        <w:footnoteRef/>
      </w:r>
      <w:r>
        <w:t xml:space="preserve"> </w:t>
      </w:r>
      <w:bookmarkStart w:id="663" w:name="f456"/>
      <w:bookmarkEnd w:id="663"/>
      <w:r w:rsidRPr="003C5B06">
        <w:rPr>
          <w:rFonts w:ascii="Times New Roman" w:hAnsi="Times New Roman" w:cs="Times New Roman"/>
        </w:rPr>
        <w:t>Blommel v. Wyoming Dep</w:t>
      </w:r>
      <w:r>
        <w:rPr>
          <w:rFonts w:ascii="Times New Roman" w:hAnsi="Times New Roman" w:cs="Times New Roman"/>
        </w:rPr>
        <w:t>t.</w:t>
      </w:r>
      <w:r w:rsidRPr="003C5B06">
        <w:rPr>
          <w:rFonts w:ascii="Times New Roman" w:hAnsi="Times New Roman" w:cs="Times New Roman"/>
        </w:rPr>
        <w:t xml:space="preserve"> </w:t>
      </w:r>
      <w:r>
        <w:rPr>
          <w:rFonts w:ascii="Times New Roman" w:hAnsi="Times New Roman" w:cs="Times New Roman"/>
        </w:rPr>
        <w:t>o</w:t>
      </w:r>
      <w:r w:rsidRPr="003C5B06">
        <w:rPr>
          <w:rFonts w:ascii="Times New Roman" w:hAnsi="Times New Roman" w:cs="Times New Roman"/>
        </w:rPr>
        <w:t>f Employment, Div</w:t>
      </w:r>
      <w:r>
        <w:rPr>
          <w:rFonts w:ascii="Times New Roman" w:hAnsi="Times New Roman" w:cs="Times New Roman"/>
        </w:rPr>
        <w:t>.</w:t>
      </w:r>
      <w:r w:rsidRPr="003C5B06">
        <w:rPr>
          <w:rFonts w:ascii="Times New Roman" w:hAnsi="Times New Roman" w:cs="Times New Roman"/>
        </w:rPr>
        <w:t xml:space="preserve"> </w:t>
      </w:r>
      <w:r>
        <w:rPr>
          <w:rFonts w:ascii="Times New Roman" w:hAnsi="Times New Roman" w:cs="Times New Roman"/>
        </w:rPr>
        <w:t>o</w:t>
      </w:r>
      <w:r w:rsidRPr="003C5B06">
        <w:rPr>
          <w:rFonts w:ascii="Times New Roman" w:hAnsi="Times New Roman" w:cs="Times New Roman"/>
        </w:rPr>
        <w:t xml:space="preserve">f Workers’ Safety </w:t>
      </w:r>
      <w:r>
        <w:rPr>
          <w:rFonts w:ascii="Times New Roman" w:hAnsi="Times New Roman" w:cs="Times New Roman"/>
        </w:rPr>
        <w:t>&amp;</w:t>
      </w:r>
      <w:r w:rsidRPr="003C5B06">
        <w:rPr>
          <w:rFonts w:ascii="Times New Roman" w:hAnsi="Times New Roman" w:cs="Times New Roman"/>
        </w:rPr>
        <w:t xml:space="preserve"> Compensation, </w:t>
      </w:r>
      <w:r w:rsidRPr="003C5B06">
        <w:rPr>
          <w:rFonts w:ascii="Times New Roman" w:hAnsi="Times New Roman" w:cs="Times New Roman"/>
          <w:i/>
        </w:rPr>
        <w:t>supra</w:t>
      </w:r>
      <w:r w:rsidRPr="003C5B06">
        <w:rPr>
          <w:rFonts w:ascii="Times New Roman" w:hAnsi="Times New Roman" w:cs="Times New Roman"/>
        </w:rPr>
        <w:t xml:space="preserve">., 120 P.3d at 1019 </w:t>
      </w:r>
      <w:r w:rsidRPr="003C5B06">
        <w:rPr>
          <w:rFonts w:ascii="Times New Roman" w:hAnsi="Times New Roman" w:cs="Times New Roman"/>
          <w:i/>
        </w:rPr>
        <w:t>quoting</w:t>
      </w:r>
      <w:r w:rsidRPr="003C5B06">
        <w:rPr>
          <w:rFonts w:ascii="Times New Roman" w:hAnsi="Times New Roman" w:cs="Times New Roman"/>
        </w:rPr>
        <w:t xml:space="preserve"> Torres v. Workers</w:t>
      </w:r>
      <w:r>
        <w:rPr>
          <w:rFonts w:ascii="Times New Roman" w:hAnsi="Times New Roman" w:cs="Times New Roman"/>
        </w:rPr>
        <w:t>’</w:t>
      </w:r>
      <w:r w:rsidRPr="003C5B06">
        <w:rPr>
          <w:rFonts w:ascii="Times New Roman" w:hAnsi="Times New Roman" w:cs="Times New Roman"/>
        </w:rPr>
        <w:t xml:space="preserve"> Safety </w:t>
      </w:r>
      <w:r>
        <w:rPr>
          <w:rFonts w:ascii="Times New Roman" w:hAnsi="Times New Roman" w:cs="Times New Roman"/>
        </w:rPr>
        <w:t>&amp;</w:t>
      </w:r>
      <w:r w:rsidRPr="003C5B06">
        <w:rPr>
          <w:rFonts w:ascii="Times New Roman" w:hAnsi="Times New Roman" w:cs="Times New Roman"/>
        </w:rPr>
        <w:t xml:space="preserve"> Compensation Div., </w:t>
      </w:r>
      <w:hyperlink r:id="rId169" w:history="1">
        <w:r w:rsidRPr="002D24E0">
          <w:rPr>
            <w:rStyle w:val="Hyperlink"/>
            <w:rFonts w:ascii="Times New Roman" w:hAnsi="Times New Roman" w:cs="Times New Roman"/>
          </w:rPr>
          <w:t>105 P.3d 101</w:t>
        </w:r>
      </w:hyperlink>
      <w:r w:rsidRPr="003C5B06">
        <w:rPr>
          <w:rFonts w:ascii="Times New Roman" w:hAnsi="Times New Roman" w:cs="Times New Roman"/>
        </w:rPr>
        <w:t>, 110 (Wyo. 2005)</w:t>
      </w:r>
    </w:p>
  </w:footnote>
  <w:footnote w:id="479">
    <w:p w14:paraId="487A1F78" w14:textId="11428F56" w:rsidR="00336EDF" w:rsidRDefault="00336EDF">
      <w:pPr>
        <w:pStyle w:val="FootnoteText"/>
      </w:pPr>
      <w:r w:rsidRPr="003C5B06">
        <w:rPr>
          <w:rStyle w:val="FootnoteReference"/>
          <w:rFonts w:ascii="Times New Roman" w:hAnsi="Times New Roman" w:cs="Times New Roman"/>
        </w:rPr>
        <w:footnoteRef/>
      </w:r>
      <w:r>
        <w:t xml:space="preserve"> </w:t>
      </w:r>
      <w:bookmarkStart w:id="664" w:name="f457"/>
      <w:bookmarkStart w:id="665" w:name="_Hlk521267600"/>
      <w:bookmarkEnd w:id="664"/>
      <w:r w:rsidRPr="003C5B06">
        <w:rPr>
          <w:rFonts w:ascii="Times New Roman" w:hAnsi="Times New Roman" w:cs="Times New Roman"/>
        </w:rPr>
        <w:t>11</w:t>
      </w:r>
      <w:r w:rsidRPr="003C5B06">
        <w:t xml:space="preserve"> </w:t>
      </w:r>
      <w:r w:rsidRPr="003C5B06">
        <w:rPr>
          <w:rFonts w:ascii="Times New Roman" w:hAnsi="Times New Roman" w:cs="Times New Roman"/>
          <w:smallCaps/>
        </w:rPr>
        <w:t>Larson's Workers' Compensation</w:t>
      </w:r>
      <w:r w:rsidRPr="003C5B06">
        <w:t xml:space="preserve"> </w:t>
      </w:r>
      <w:r w:rsidRPr="003C5B06">
        <w:rPr>
          <w:rFonts w:ascii="Times New Roman" w:hAnsi="Times New Roman" w:cs="Times New Roman"/>
        </w:rPr>
        <w:t>§ 126.05 n.20</w:t>
      </w:r>
      <w:r>
        <w:rPr>
          <w:rFonts w:ascii="Times New Roman" w:hAnsi="Times New Roman" w:cs="Times New Roman"/>
        </w:rPr>
        <w:t xml:space="preserve"> </w:t>
      </w:r>
      <w:r w:rsidRPr="003C5B06">
        <w:rPr>
          <w:rFonts w:ascii="Times New Roman" w:hAnsi="Times New Roman" w:cs="Times New Roman"/>
        </w:rPr>
        <w:t>and accompanying text</w:t>
      </w:r>
      <w:bookmarkEnd w:id="665"/>
    </w:p>
  </w:footnote>
  <w:footnote w:id="480">
    <w:p w14:paraId="4DC99782" w14:textId="7F8FB267" w:rsidR="00336EDF" w:rsidRDefault="00336EDF" w:rsidP="00B636C8">
      <w:pPr>
        <w:pStyle w:val="FootnoteText"/>
        <w:jc w:val="both"/>
      </w:pPr>
      <w:r w:rsidRPr="003C5B06">
        <w:rPr>
          <w:rStyle w:val="FootnoteReference"/>
          <w:rFonts w:ascii="Times New Roman" w:hAnsi="Times New Roman" w:cs="Times New Roman"/>
        </w:rPr>
        <w:footnoteRef/>
      </w:r>
      <w:r>
        <w:t xml:space="preserve"> </w:t>
      </w:r>
      <w:bookmarkStart w:id="667" w:name="f458"/>
      <w:bookmarkEnd w:id="667"/>
      <w:r w:rsidRPr="003C5B06">
        <w:rPr>
          <w:rFonts w:ascii="Times New Roman" w:hAnsi="Times New Roman" w:cs="Times New Roman"/>
        </w:rPr>
        <w:t xml:space="preserve">Borelson v. Holiday Inn, </w:t>
      </w:r>
      <w:hyperlink r:id="rId170" w:history="1">
        <w:r w:rsidRPr="00E05771">
          <w:rPr>
            <w:rStyle w:val="Hyperlink"/>
            <w:rFonts w:ascii="Times New Roman" w:hAnsi="Times New Roman" w:cs="Times New Roman"/>
          </w:rPr>
          <w:t>911 P.2d 426</w:t>
        </w:r>
      </w:hyperlink>
      <w:r w:rsidRPr="003C5B06">
        <w:rPr>
          <w:rFonts w:ascii="Times New Roman" w:hAnsi="Times New Roman" w:cs="Times New Roman"/>
        </w:rPr>
        <w:t xml:space="preserve"> (Wyo. 1996)</w:t>
      </w:r>
      <w:r>
        <w:rPr>
          <w:rFonts w:ascii="Times New Roman" w:hAnsi="Times New Roman" w:cs="Times New Roman"/>
        </w:rPr>
        <w:t xml:space="preserve">. Under Wyoming law, </w:t>
      </w:r>
      <w:r>
        <w:t xml:space="preserve"> </w:t>
      </w:r>
      <w:r>
        <w:rPr>
          <w:rFonts w:ascii="Times" w:hAnsi="Times" w:cs="Times New Roman"/>
          <w:color w:val="000000" w:themeColor="text1"/>
        </w:rPr>
        <w:t>“Clear and convincing evidence has been defined as ‘that kind of proof which would persuade a trier of fact that the truth of the contention is highly probable.’” </w:t>
      </w:r>
      <w:r>
        <w:rPr>
          <w:rFonts w:ascii="Times" w:hAnsi="Times" w:cs="Times New Roman"/>
          <w:i/>
          <w:iCs/>
          <w:color w:val="000000" w:themeColor="text1"/>
        </w:rPr>
        <w:t>W.N. McMurry Const. Co.. v. Community First Ins., Inc. Wyo</w:t>
      </w:r>
      <w:r>
        <w:rPr>
          <w:rFonts w:ascii="Times" w:hAnsi="Times" w:cs="Times New Roman"/>
          <w:color w:val="000000" w:themeColor="text1"/>
        </w:rPr>
        <w:t xml:space="preserve">., </w:t>
      </w:r>
      <w:hyperlink r:id="rId171" w:history="1">
        <w:r w:rsidRPr="00B636C8">
          <w:rPr>
            <w:rStyle w:val="Hyperlink"/>
            <w:rFonts w:ascii="Times" w:hAnsi="Times" w:cs="Times New Roman"/>
          </w:rPr>
          <w:t>160 P.3d 71</w:t>
        </w:r>
      </w:hyperlink>
      <w:r>
        <w:rPr>
          <w:rFonts w:ascii="Times" w:hAnsi="Times" w:cs="Times New Roman"/>
          <w:color w:val="000000" w:themeColor="text1"/>
        </w:rPr>
        <w:t>, 77 (Wyo. 2007).</w:t>
      </w:r>
    </w:p>
  </w:footnote>
  <w:footnote w:id="481">
    <w:p w14:paraId="69C8D33A" w14:textId="08A9FB5E" w:rsidR="00336EDF" w:rsidRDefault="00336EDF">
      <w:pPr>
        <w:pStyle w:val="FootnoteText"/>
      </w:pPr>
      <w:r w:rsidRPr="003C5B06">
        <w:rPr>
          <w:rStyle w:val="FootnoteReference"/>
          <w:rFonts w:ascii="Times New Roman" w:hAnsi="Times New Roman" w:cs="Times New Roman"/>
        </w:rPr>
        <w:footnoteRef/>
      </w:r>
      <w:r>
        <w:t xml:space="preserve"> </w:t>
      </w:r>
      <w:bookmarkStart w:id="668" w:name="f459"/>
      <w:bookmarkEnd w:id="668"/>
      <w:r w:rsidRPr="003C5B06">
        <w:rPr>
          <w:rFonts w:ascii="Times New Roman" w:hAnsi="Times New Roman" w:cs="Times New Roman"/>
        </w:rPr>
        <w:t xml:space="preserve">Matter of Zielinske, </w:t>
      </w:r>
      <w:r w:rsidRPr="003C5B06">
        <w:rPr>
          <w:rFonts w:ascii="Times New Roman" w:hAnsi="Times New Roman" w:cs="Times New Roman"/>
          <w:i/>
        </w:rPr>
        <w:t>supra</w:t>
      </w:r>
      <w:r w:rsidRPr="003C5B06">
        <w:rPr>
          <w:rFonts w:ascii="Times New Roman" w:hAnsi="Times New Roman" w:cs="Times New Roman"/>
        </w:rPr>
        <w:t>. 959 P.2d at 710</w:t>
      </w:r>
      <w:bookmarkStart w:id="669" w:name="_Hlk521269121"/>
    </w:p>
    <w:bookmarkEnd w:id="669"/>
  </w:footnote>
  <w:footnote w:id="482">
    <w:p w14:paraId="0E98201A" w14:textId="4C56A45C" w:rsidR="00336EDF" w:rsidRDefault="00336EDF">
      <w:pPr>
        <w:pStyle w:val="FootnoteText"/>
      </w:pPr>
      <w:r w:rsidRPr="003C5B06">
        <w:rPr>
          <w:rStyle w:val="FootnoteReference"/>
          <w:rFonts w:ascii="Times New Roman" w:hAnsi="Times New Roman" w:cs="Times New Roman"/>
        </w:rPr>
        <w:footnoteRef/>
      </w:r>
      <w:r>
        <w:t xml:space="preserve"> </w:t>
      </w:r>
      <w:bookmarkStart w:id="670" w:name="f460"/>
      <w:bookmarkEnd w:id="670"/>
      <w:r w:rsidRPr="003C5B06">
        <w:rPr>
          <w:rFonts w:ascii="Times New Roman" w:hAnsi="Times New Roman" w:cs="Times New Roman"/>
        </w:rPr>
        <w:t xml:space="preserve">Sherwin-Williams Co. v. Borchert, </w:t>
      </w:r>
      <w:hyperlink r:id="rId172" w:history="1">
        <w:r w:rsidRPr="00E05771">
          <w:rPr>
            <w:rStyle w:val="Hyperlink"/>
            <w:rFonts w:ascii="Times New Roman" w:hAnsi="Times New Roman" w:cs="Times New Roman"/>
          </w:rPr>
          <w:t>994 P.2d 959</w:t>
        </w:r>
      </w:hyperlink>
      <w:r w:rsidRPr="003C5B06">
        <w:rPr>
          <w:rFonts w:ascii="Times New Roman" w:hAnsi="Times New Roman" w:cs="Times New Roman"/>
        </w:rPr>
        <w:t>, 964</w:t>
      </w:r>
      <w:r>
        <w:rPr>
          <w:rFonts w:ascii="Times New Roman" w:hAnsi="Times New Roman" w:cs="Times New Roman"/>
        </w:rPr>
        <w:t xml:space="preserve"> (Wyo. 2000)</w:t>
      </w:r>
    </w:p>
  </w:footnote>
  <w:footnote w:id="483">
    <w:p w14:paraId="3B83D326" w14:textId="5030D1CC" w:rsidR="00336EDF" w:rsidRDefault="00336EDF" w:rsidP="003375C7">
      <w:pPr>
        <w:pStyle w:val="FootnoteText"/>
        <w:jc w:val="both"/>
      </w:pPr>
      <w:r w:rsidRPr="003C5B06">
        <w:rPr>
          <w:rStyle w:val="FootnoteReference"/>
          <w:rFonts w:ascii="Times New Roman" w:hAnsi="Times New Roman" w:cs="Times New Roman"/>
        </w:rPr>
        <w:footnoteRef/>
      </w:r>
      <w:r>
        <w:t xml:space="preserve"> </w:t>
      </w:r>
      <w:bookmarkStart w:id="671" w:name="f461"/>
      <w:bookmarkEnd w:id="671"/>
      <w:r w:rsidRPr="003C5B06">
        <w:rPr>
          <w:rFonts w:ascii="Times New Roman" w:hAnsi="Times New Roman" w:cs="Times New Roman"/>
        </w:rPr>
        <w:t xml:space="preserve">In re Horn-Dalton, </w:t>
      </w:r>
      <w:hyperlink r:id="rId173" w:history="1">
        <w:r w:rsidRPr="00E05771">
          <w:rPr>
            <w:rStyle w:val="Hyperlink"/>
            <w:rFonts w:ascii="Times New Roman" w:hAnsi="Times New Roman" w:cs="Times New Roman"/>
          </w:rPr>
          <w:t>200 P.3d 810</w:t>
        </w:r>
      </w:hyperlink>
      <w:r w:rsidRPr="003C5B06">
        <w:rPr>
          <w:rFonts w:ascii="Times New Roman" w:hAnsi="Times New Roman" w:cs="Times New Roman"/>
        </w:rPr>
        <w:t xml:space="preserve">, 814 (Wyo. 2009) </w:t>
      </w:r>
      <w:r w:rsidRPr="003C5B06">
        <w:rPr>
          <w:rFonts w:ascii="Times New Roman" w:hAnsi="Times New Roman" w:cs="Times New Roman"/>
          <w:i/>
        </w:rPr>
        <w:t>citing</w:t>
      </w:r>
      <w:r w:rsidRPr="003C5B06">
        <w:rPr>
          <w:rFonts w:ascii="Times New Roman" w:hAnsi="Times New Roman" w:cs="Times New Roman"/>
        </w:rPr>
        <w:t xml:space="preserve"> Beitel v. Workers</w:t>
      </w:r>
      <w:r>
        <w:rPr>
          <w:rFonts w:ascii="Times New Roman" w:hAnsi="Times New Roman" w:cs="Times New Roman"/>
        </w:rPr>
        <w:t>’</w:t>
      </w:r>
      <w:r w:rsidRPr="003C5B06">
        <w:rPr>
          <w:rFonts w:ascii="Times New Roman" w:hAnsi="Times New Roman" w:cs="Times New Roman"/>
        </w:rPr>
        <w:t xml:space="preserve"> Comp. Div., </w:t>
      </w:r>
      <w:hyperlink r:id="rId174" w:history="1">
        <w:r w:rsidRPr="00537E4A">
          <w:rPr>
            <w:rStyle w:val="Hyperlink"/>
            <w:rFonts w:ascii="Times New Roman" w:hAnsi="Times New Roman" w:cs="Times New Roman"/>
          </w:rPr>
          <w:t>991 P.2d 1242</w:t>
        </w:r>
      </w:hyperlink>
      <w:r w:rsidRPr="003C5B06">
        <w:rPr>
          <w:rFonts w:ascii="Times New Roman" w:hAnsi="Times New Roman" w:cs="Times New Roman"/>
        </w:rPr>
        <w:t>, 1247–</w:t>
      </w:r>
      <w:r>
        <w:rPr>
          <w:rFonts w:ascii="Times New Roman" w:hAnsi="Times New Roman" w:cs="Times New Roman"/>
        </w:rPr>
        <w:t>12</w:t>
      </w:r>
      <w:r w:rsidRPr="003C5B06">
        <w:rPr>
          <w:rFonts w:ascii="Times New Roman" w:hAnsi="Times New Roman" w:cs="Times New Roman"/>
        </w:rPr>
        <w:t>48 (Wyo.1999).</w:t>
      </w:r>
    </w:p>
  </w:footnote>
  <w:footnote w:id="484">
    <w:p w14:paraId="28486EC3" w14:textId="1CCC2239" w:rsidR="00336EDF" w:rsidRPr="003375C7" w:rsidRDefault="00336EDF" w:rsidP="003375C7">
      <w:pPr>
        <w:pStyle w:val="FootnoteText"/>
        <w:jc w:val="both"/>
        <w:rPr>
          <w:rFonts w:ascii="Times New Roman" w:hAnsi="Times New Roman" w:cs="Times New Roman"/>
        </w:rPr>
      </w:pPr>
      <w:r w:rsidRPr="003375C7">
        <w:rPr>
          <w:rStyle w:val="FootnoteReference"/>
          <w:rFonts w:ascii="Times New Roman" w:hAnsi="Times New Roman" w:cs="Times New Roman"/>
        </w:rPr>
        <w:footnoteRef/>
      </w:r>
      <w:r w:rsidRPr="003375C7">
        <w:rPr>
          <w:rFonts w:ascii="Times New Roman" w:hAnsi="Times New Roman" w:cs="Times New Roman"/>
        </w:rPr>
        <w:t xml:space="preserve"> </w:t>
      </w:r>
      <w:bookmarkStart w:id="672" w:name="f462"/>
      <w:bookmarkEnd w:id="672"/>
      <w:r>
        <w:rPr>
          <w:rFonts w:ascii="Times New Roman" w:hAnsi="Times New Roman" w:cs="Times New Roman"/>
        </w:rPr>
        <w:t xml:space="preserve">Horn-Dalton, </w:t>
      </w:r>
      <w:r w:rsidRPr="007E196B">
        <w:rPr>
          <w:rFonts w:ascii="Times New Roman" w:hAnsi="Times New Roman" w:cs="Times New Roman"/>
          <w:i/>
        </w:rPr>
        <w:t>supra</w:t>
      </w:r>
      <w:r>
        <w:rPr>
          <w:rFonts w:ascii="Times New Roman" w:hAnsi="Times New Roman" w:cs="Times New Roman"/>
        </w:rPr>
        <w:t xml:space="preserve">., 200 P.3d at 814 </w:t>
      </w:r>
      <w:r w:rsidRPr="007E196B">
        <w:rPr>
          <w:rFonts w:ascii="Times New Roman" w:hAnsi="Times New Roman" w:cs="Times New Roman"/>
          <w:i/>
        </w:rPr>
        <w:t>citing</w:t>
      </w:r>
      <w:r>
        <w:rPr>
          <w:rFonts w:ascii="Times New Roman" w:hAnsi="Times New Roman" w:cs="Times New Roman"/>
        </w:rPr>
        <w:t xml:space="preserve"> </w:t>
      </w:r>
      <w:r w:rsidRPr="003375C7">
        <w:rPr>
          <w:rFonts w:ascii="Times New Roman" w:hAnsi="Times New Roman" w:cs="Times New Roman"/>
        </w:rPr>
        <w:t xml:space="preserve">In re Worker's Compensation Claim of Payne, </w:t>
      </w:r>
      <w:hyperlink r:id="rId175" w:history="1">
        <w:r w:rsidRPr="00537E4A">
          <w:rPr>
            <w:rStyle w:val="Hyperlink"/>
            <w:rFonts w:ascii="Times New Roman" w:hAnsi="Times New Roman" w:cs="Times New Roman"/>
          </w:rPr>
          <w:t>993 P.2d 313</w:t>
        </w:r>
      </w:hyperlink>
      <w:r w:rsidRPr="003375C7">
        <w:rPr>
          <w:rFonts w:ascii="Times New Roman" w:hAnsi="Times New Roman" w:cs="Times New Roman"/>
        </w:rPr>
        <w:t>, 318 (Wyo.1999); Workers</w:t>
      </w:r>
      <w:r>
        <w:rPr>
          <w:rFonts w:ascii="Times New Roman" w:hAnsi="Times New Roman" w:cs="Times New Roman"/>
        </w:rPr>
        <w:t>’</w:t>
      </w:r>
      <w:r w:rsidRPr="003375C7">
        <w:rPr>
          <w:rFonts w:ascii="Times New Roman" w:hAnsi="Times New Roman" w:cs="Times New Roman"/>
        </w:rPr>
        <w:t xml:space="preserve"> Safety &amp; Comp. Div. v. Garl, </w:t>
      </w:r>
      <w:hyperlink r:id="rId176" w:history="1">
        <w:r w:rsidRPr="00537E4A">
          <w:rPr>
            <w:rStyle w:val="Hyperlink"/>
            <w:rFonts w:ascii="Times New Roman" w:hAnsi="Times New Roman" w:cs="Times New Roman"/>
          </w:rPr>
          <w:t>26 P.3d 1029</w:t>
        </w:r>
      </w:hyperlink>
      <w:r w:rsidRPr="003375C7">
        <w:rPr>
          <w:rFonts w:ascii="Times New Roman" w:hAnsi="Times New Roman" w:cs="Times New Roman"/>
        </w:rPr>
        <w:t>, 1034 (Wyo.2001).</w:t>
      </w:r>
    </w:p>
  </w:footnote>
  <w:footnote w:id="485">
    <w:p w14:paraId="39DE1A5E" w14:textId="584E081B" w:rsidR="00336EDF" w:rsidRPr="00115189" w:rsidRDefault="00336EDF">
      <w:pPr>
        <w:pStyle w:val="FootnoteText"/>
        <w:rPr>
          <w:rFonts w:ascii="Times New Roman" w:hAnsi="Times New Roman" w:cs="Times New Roman"/>
          <w:smallCaps/>
        </w:rPr>
      </w:pPr>
      <w:r w:rsidRPr="00115189">
        <w:rPr>
          <w:rStyle w:val="FootnoteReference"/>
          <w:rFonts w:ascii="Times New Roman" w:hAnsi="Times New Roman" w:cs="Times New Roman"/>
        </w:rPr>
        <w:footnoteRef/>
      </w:r>
      <w:r>
        <w:t xml:space="preserve"> </w:t>
      </w:r>
      <w:bookmarkStart w:id="673" w:name="f463"/>
      <w:bookmarkStart w:id="674" w:name="_Hlk522214179"/>
      <w:bookmarkEnd w:id="673"/>
      <w:r w:rsidRPr="00115189">
        <w:rPr>
          <w:rFonts w:ascii="Times New Roman" w:hAnsi="Times New Roman" w:cs="Times New Roman"/>
          <w:smallCaps/>
        </w:rPr>
        <w:t>11 Larson's Workers' Compensation Law § 126.04 [3]</w:t>
      </w:r>
      <w:bookmarkEnd w:id="674"/>
    </w:p>
  </w:footnote>
  <w:footnote w:id="486">
    <w:p w14:paraId="65D81D8D" w14:textId="0C240411" w:rsidR="00336EDF" w:rsidRDefault="00336EDF" w:rsidP="00605E5A">
      <w:pPr>
        <w:pStyle w:val="FootnoteText"/>
        <w:jc w:val="both"/>
      </w:pPr>
      <w:r w:rsidRPr="005939F9">
        <w:rPr>
          <w:rStyle w:val="FootnoteReference"/>
          <w:rFonts w:ascii="Times New Roman" w:hAnsi="Times New Roman" w:cs="Times New Roman"/>
        </w:rPr>
        <w:footnoteRef/>
      </w:r>
      <w:r w:rsidRPr="005939F9">
        <w:rPr>
          <w:rFonts w:ascii="Times New Roman" w:hAnsi="Times New Roman" w:cs="Times New Roman"/>
        </w:rPr>
        <w:t xml:space="preserve"> </w:t>
      </w:r>
      <w:bookmarkStart w:id="680" w:name="f464"/>
      <w:bookmarkEnd w:id="680"/>
      <w:r w:rsidRPr="00866700">
        <w:rPr>
          <w:rFonts w:ascii="Times New Roman" w:hAnsi="Times New Roman" w:cs="Times New Roman"/>
        </w:rPr>
        <w:t xml:space="preserve">Logue v. Wyoming Workers’ Safety </w:t>
      </w:r>
      <w:r>
        <w:rPr>
          <w:rFonts w:ascii="Times New Roman" w:hAnsi="Times New Roman" w:cs="Times New Roman"/>
        </w:rPr>
        <w:t>&amp;</w:t>
      </w:r>
      <w:r w:rsidRPr="00866700">
        <w:rPr>
          <w:rFonts w:ascii="Times New Roman" w:hAnsi="Times New Roman" w:cs="Times New Roman"/>
        </w:rPr>
        <w:t xml:space="preserve"> Compensation Div., </w:t>
      </w:r>
      <w:hyperlink r:id="rId177" w:history="1">
        <w:r w:rsidRPr="00537E4A">
          <w:rPr>
            <w:rStyle w:val="Hyperlink"/>
            <w:rFonts w:ascii="Times New Roman" w:hAnsi="Times New Roman" w:cs="Times New Roman"/>
          </w:rPr>
          <w:t>44 P.3d 90</w:t>
        </w:r>
      </w:hyperlink>
      <w:r>
        <w:rPr>
          <w:rFonts w:ascii="Times New Roman" w:hAnsi="Times New Roman" w:cs="Times New Roman"/>
        </w:rPr>
        <w:t xml:space="preserve">, 96 </w:t>
      </w:r>
      <w:r w:rsidRPr="00866700">
        <w:rPr>
          <w:rFonts w:ascii="Times New Roman" w:hAnsi="Times New Roman" w:cs="Times New Roman"/>
        </w:rPr>
        <w:t>(Wyo. 2002)</w:t>
      </w:r>
      <w:r>
        <w:rPr>
          <w:rFonts w:ascii="Times New Roman" w:hAnsi="Times New Roman" w:cs="Times New Roman"/>
        </w:rPr>
        <w:t xml:space="preserve">; </w:t>
      </w:r>
      <w:r w:rsidRPr="00657A7E">
        <w:rPr>
          <w:rFonts w:ascii="Times New Roman" w:hAnsi="Times New Roman" w:cs="Times New Roman"/>
        </w:rPr>
        <w:t>Aanenson v</w:t>
      </w:r>
      <w:r>
        <w:rPr>
          <w:rFonts w:ascii="Times New Roman" w:hAnsi="Times New Roman" w:cs="Times New Roman"/>
        </w:rPr>
        <w:t>.</w:t>
      </w:r>
      <w:r w:rsidRPr="00657A7E">
        <w:rPr>
          <w:rFonts w:ascii="Times New Roman" w:hAnsi="Times New Roman" w:cs="Times New Roman"/>
        </w:rPr>
        <w:t>Workers</w:t>
      </w:r>
      <w:r>
        <w:rPr>
          <w:rFonts w:ascii="Times New Roman" w:hAnsi="Times New Roman" w:cs="Times New Roman"/>
        </w:rPr>
        <w:t>’</w:t>
      </w:r>
      <w:r w:rsidRPr="00657A7E">
        <w:rPr>
          <w:rFonts w:ascii="Times New Roman" w:hAnsi="Times New Roman" w:cs="Times New Roman"/>
        </w:rPr>
        <w:t xml:space="preserve"> Compensation Div.</w:t>
      </w:r>
      <w:r>
        <w:rPr>
          <w:rFonts w:ascii="Times New Roman" w:hAnsi="Times New Roman" w:cs="Times New Roman"/>
        </w:rPr>
        <w:t xml:space="preserve">, </w:t>
      </w:r>
      <w:hyperlink r:id="rId178" w:history="1">
        <w:r w:rsidRPr="00537E4A">
          <w:rPr>
            <w:rStyle w:val="Hyperlink"/>
            <w:rFonts w:ascii="Times New Roman" w:hAnsi="Times New Roman" w:cs="Times New Roman"/>
          </w:rPr>
          <w:t>842 P.2d 1077</w:t>
        </w:r>
      </w:hyperlink>
      <w:r>
        <w:rPr>
          <w:rFonts w:ascii="Times New Roman" w:hAnsi="Times New Roman" w:cs="Times New Roman"/>
        </w:rPr>
        <w:t>, 1081 (Wyo, 1992)</w:t>
      </w:r>
    </w:p>
  </w:footnote>
  <w:footnote w:id="487">
    <w:p w14:paraId="14B1C6F9" w14:textId="5095ABB3" w:rsidR="00336EDF" w:rsidRPr="002E5E8C" w:rsidRDefault="00336EDF" w:rsidP="002E5E8C">
      <w:pPr>
        <w:pStyle w:val="FootnoteText"/>
        <w:jc w:val="both"/>
        <w:rPr>
          <w:rFonts w:ascii="Times New Roman" w:hAnsi="Times New Roman" w:cs="Times New Roman"/>
        </w:rPr>
      </w:pPr>
      <w:r w:rsidRPr="002E5E8C">
        <w:rPr>
          <w:rStyle w:val="FootnoteReference"/>
          <w:rFonts w:ascii="Times New Roman" w:hAnsi="Times New Roman" w:cs="Times New Roman"/>
        </w:rPr>
        <w:footnoteRef/>
      </w:r>
      <w:r>
        <w:t xml:space="preserve"> </w:t>
      </w:r>
      <w:bookmarkStart w:id="681" w:name="f465"/>
      <w:bookmarkEnd w:id="681"/>
      <w:r w:rsidRPr="002E5E8C">
        <w:rPr>
          <w:rFonts w:ascii="Times New Roman" w:hAnsi="Times New Roman" w:cs="Times New Roman"/>
        </w:rPr>
        <w:t>Popick v. Workers</w:t>
      </w:r>
      <w:r>
        <w:rPr>
          <w:rFonts w:ascii="Times New Roman" w:hAnsi="Times New Roman" w:cs="Times New Roman"/>
        </w:rPr>
        <w:t>’</w:t>
      </w:r>
      <w:r w:rsidRPr="002E5E8C">
        <w:rPr>
          <w:rFonts w:ascii="Times New Roman" w:hAnsi="Times New Roman" w:cs="Times New Roman"/>
        </w:rPr>
        <w:t xml:space="preserve"> Safety </w:t>
      </w:r>
      <w:r>
        <w:rPr>
          <w:rFonts w:ascii="Times New Roman" w:hAnsi="Times New Roman" w:cs="Times New Roman"/>
        </w:rPr>
        <w:t>&amp;</w:t>
      </w:r>
      <w:r w:rsidRPr="002E5E8C">
        <w:rPr>
          <w:rFonts w:ascii="Times New Roman" w:hAnsi="Times New Roman" w:cs="Times New Roman"/>
        </w:rPr>
        <w:t xml:space="preserve"> Compensation Div., </w:t>
      </w:r>
      <w:hyperlink r:id="rId179" w:history="1">
        <w:r w:rsidRPr="00537E4A">
          <w:rPr>
            <w:rStyle w:val="Hyperlink"/>
            <w:rFonts w:ascii="Times New Roman" w:hAnsi="Times New Roman" w:cs="Times New Roman"/>
          </w:rPr>
          <w:t>118 P.3d 993</w:t>
        </w:r>
      </w:hyperlink>
      <w:r>
        <w:rPr>
          <w:rFonts w:ascii="Times New Roman" w:hAnsi="Times New Roman" w:cs="Times New Roman"/>
        </w:rPr>
        <w:t>, 996</w:t>
      </w:r>
      <w:r w:rsidRPr="002E5E8C">
        <w:rPr>
          <w:rFonts w:ascii="Times New Roman" w:hAnsi="Times New Roman" w:cs="Times New Roman"/>
        </w:rPr>
        <w:t xml:space="preserve"> (Wyo. 2005)</w:t>
      </w:r>
    </w:p>
  </w:footnote>
  <w:footnote w:id="488">
    <w:p w14:paraId="7DD8D10F" w14:textId="6392F094" w:rsidR="00336EDF" w:rsidRDefault="00336EDF">
      <w:pPr>
        <w:pStyle w:val="FootnoteText"/>
      </w:pPr>
      <w:r w:rsidRPr="00FF3BF3">
        <w:rPr>
          <w:rStyle w:val="FootnoteReference"/>
          <w:rFonts w:ascii="Times New Roman" w:hAnsi="Times New Roman" w:cs="Times New Roman"/>
        </w:rPr>
        <w:footnoteRef/>
      </w:r>
      <w:r w:rsidRPr="00FF3BF3">
        <w:rPr>
          <w:rStyle w:val="FootnoteReference"/>
          <w:rFonts w:ascii="Times New Roman" w:hAnsi="Times New Roman" w:cs="Times New Roman"/>
        </w:rPr>
        <w:t xml:space="preserve"> </w:t>
      </w:r>
      <w:bookmarkStart w:id="682" w:name="f466"/>
      <w:bookmarkEnd w:id="682"/>
      <w:r w:rsidRPr="00FF3BF3">
        <w:rPr>
          <w:rFonts w:ascii="Times New Roman" w:hAnsi="Times New Roman" w:cs="Times New Roman"/>
          <w:i/>
        </w:rPr>
        <w:t>Id.</w:t>
      </w:r>
    </w:p>
  </w:footnote>
  <w:footnote w:id="489">
    <w:p w14:paraId="3FA0A257" w14:textId="1EAB2D18" w:rsidR="00336EDF" w:rsidRDefault="00336EDF">
      <w:pPr>
        <w:pStyle w:val="FootnoteText"/>
      </w:pPr>
      <w:r w:rsidRPr="00657A7E">
        <w:rPr>
          <w:rStyle w:val="FootnoteReference"/>
          <w:rFonts w:ascii="Times New Roman" w:hAnsi="Times New Roman" w:cs="Times New Roman"/>
        </w:rPr>
        <w:footnoteRef/>
      </w:r>
      <w:r w:rsidRPr="00657A7E">
        <w:rPr>
          <w:rFonts w:ascii="Times New Roman" w:hAnsi="Times New Roman" w:cs="Times New Roman"/>
        </w:rPr>
        <w:t xml:space="preserve"> </w:t>
      </w:r>
      <w:bookmarkStart w:id="685" w:name="f467"/>
      <w:bookmarkStart w:id="686" w:name="_Hlk523770294"/>
      <w:bookmarkEnd w:id="685"/>
      <w:r w:rsidRPr="00115189">
        <w:rPr>
          <w:rFonts w:ascii="Times New Roman" w:hAnsi="Times New Roman" w:cs="Times New Roman"/>
          <w:smallCaps/>
        </w:rPr>
        <w:t>11 Larson's Workers' Compensation Law § 126.0</w:t>
      </w:r>
      <w:r>
        <w:rPr>
          <w:rFonts w:ascii="Times New Roman" w:hAnsi="Times New Roman" w:cs="Times New Roman"/>
          <w:smallCaps/>
        </w:rPr>
        <w:t>6 [1]</w:t>
      </w:r>
    </w:p>
    <w:bookmarkEnd w:id="686"/>
  </w:footnote>
  <w:footnote w:id="490">
    <w:p w14:paraId="6067D14C" w14:textId="078331D7" w:rsidR="00336EDF" w:rsidRDefault="00336EDF">
      <w:pPr>
        <w:pStyle w:val="FootnoteText"/>
      </w:pPr>
      <w:r w:rsidRPr="005C13A9">
        <w:rPr>
          <w:rStyle w:val="FootnoteReference"/>
          <w:rFonts w:ascii="Times New Roman" w:hAnsi="Times New Roman" w:cs="Times New Roman"/>
        </w:rPr>
        <w:footnoteRef/>
      </w:r>
      <w:r>
        <w:t xml:space="preserve"> </w:t>
      </w:r>
      <w:bookmarkStart w:id="688" w:name="f468"/>
      <w:bookmarkEnd w:id="688"/>
      <w:r>
        <w:fldChar w:fldCharType="begin"/>
      </w:r>
      <w:r>
        <w:instrText xml:space="preserve"> HYPERLINK "https://www.leagle.com/decision/1978801587p2d2141799" </w:instrText>
      </w:r>
      <w:r>
        <w:fldChar w:fldCharType="separate"/>
      </w:r>
      <w:r w:rsidRPr="00537E4A">
        <w:rPr>
          <w:rStyle w:val="Hyperlink"/>
          <w:rFonts w:ascii="Times New Roman" w:hAnsi="Times New Roman" w:cs="Times New Roman"/>
          <w:smallCaps/>
        </w:rPr>
        <w:t>587 P.2</w:t>
      </w:r>
      <w:r w:rsidRPr="00537E4A">
        <w:rPr>
          <w:rStyle w:val="Hyperlink"/>
          <w:rFonts w:ascii="Times New Roman" w:hAnsi="Times New Roman" w:cs="Times New Roman"/>
        </w:rPr>
        <w:t xml:space="preserve">d </w:t>
      </w:r>
      <w:r w:rsidRPr="00537E4A">
        <w:rPr>
          <w:rStyle w:val="Hyperlink"/>
          <w:rFonts w:ascii="Times New Roman" w:hAnsi="Times New Roman" w:cs="Times New Roman"/>
          <w:smallCaps/>
        </w:rPr>
        <w:t>214</w:t>
      </w:r>
      <w:r>
        <w:rPr>
          <w:rStyle w:val="Hyperlink"/>
          <w:rFonts w:ascii="Times New Roman" w:hAnsi="Times New Roman" w:cs="Times New Roman"/>
          <w:smallCaps/>
        </w:rPr>
        <w:fldChar w:fldCharType="end"/>
      </w:r>
      <w:r w:rsidRPr="005C13A9">
        <w:rPr>
          <w:rFonts w:ascii="Times New Roman" w:hAnsi="Times New Roman" w:cs="Times New Roman"/>
          <w:smallCaps/>
        </w:rPr>
        <w:t xml:space="preserve"> (1978)</w:t>
      </w:r>
    </w:p>
  </w:footnote>
  <w:footnote w:id="491">
    <w:p w14:paraId="6B243597" w14:textId="338F9E39" w:rsidR="00336EDF" w:rsidRDefault="00336EDF">
      <w:pPr>
        <w:pStyle w:val="FootnoteText"/>
      </w:pPr>
      <w:r w:rsidRPr="008E11CD">
        <w:rPr>
          <w:rStyle w:val="FootnoteReference"/>
          <w:rFonts w:ascii="Times New Roman" w:hAnsi="Times New Roman" w:cs="Times New Roman"/>
        </w:rPr>
        <w:footnoteRef/>
      </w:r>
      <w:r>
        <w:t xml:space="preserve"> </w:t>
      </w:r>
      <w:bookmarkStart w:id="689" w:name="f469"/>
      <w:bookmarkEnd w:id="689"/>
      <w:r w:rsidRPr="000003D1">
        <w:rPr>
          <w:rFonts w:ascii="Times New Roman" w:hAnsi="Times New Roman" w:cs="Times New Roman"/>
          <w:i/>
          <w:iCs/>
        </w:rPr>
        <w:t>Id</w:t>
      </w:r>
      <w:r w:rsidRPr="000003D1">
        <w:rPr>
          <w:rFonts w:ascii="Times New Roman" w:hAnsi="Times New Roman" w:cs="Times New Roman"/>
        </w:rPr>
        <w:t>. at 216</w:t>
      </w:r>
    </w:p>
  </w:footnote>
  <w:footnote w:id="492">
    <w:p w14:paraId="026AA295" w14:textId="44C23469" w:rsidR="00336EDF" w:rsidRDefault="00336EDF">
      <w:pPr>
        <w:pStyle w:val="FootnoteText"/>
      </w:pPr>
      <w:r w:rsidRPr="00D94D25">
        <w:rPr>
          <w:rStyle w:val="FootnoteReference"/>
          <w:rFonts w:ascii="Times New Roman" w:hAnsi="Times New Roman" w:cs="Times New Roman"/>
        </w:rPr>
        <w:footnoteRef/>
      </w:r>
      <w:bookmarkStart w:id="690" w:name="f470"/>
      <w:bookmarkEnd w:id="690"/>
      <w:r>
        <w:t xml:space="preserve"> </w:t>
      </w:r>
      <w:r w:rsidRPr="00D94D25">
        <w:rPr>
          <w:rFonts w:ascii="Times New Roman" w:hAnsi="Times New Roman" w:cs="Times New Roman"/>
          <w:i/>
        </w:rPr>
        <w:t>Id.</w:t>
      </w:r>
    </w:p>
  </w:footnote>
  <w:footnote w:id="493">
    <w:p w14:paraId="5B946A17" w14:textId="553BE047" w:rsidR="00336EDF" w:rsidRDefault="00336EDF">
      <w:pPr>
        <w:pStyle w:val="FootnoteText"/>
      </w:pPr>
      <w:r w:rsidRPr="00D94D25">
        <w:rPr>
          <w:rStyle w:val="FootnoteReference"/>
          <w:rFonts w:ascii="Times New Roman" w:hAnsi="Times New Roman" w:cs="Times New Roman"/>
        </w:rPr>
        <w:footnoteRef/>
      </w:r>
      <w:r>
        <w:t xml:space="preserve"> </w:t>
      </w:r>
      <w:bookmarkStart w:id="691" w:name="f471"/>
      <w:bookmarkEnd w:id="691"/>
      <w:r w:rsidRPr="00D94D25">
        <w:rPr>
          <w:rFonts w:ascii="Times New Roman" w:hAnsi="Times New Roman" w:cs="Times New Roman"/>
          <w:i/>
        </w:rPr>
        <w:t>Id.</w:t>
      </w:r>
    </w:p>
  </w:footnote>
  <w:footnote w:id="494">
    <w:p w14:paraId="2F1467BB" w14:textId="649DECE6" w:rsidR="00336EDF" w:rsidRDefault="00336EDF">
      <w:pPr>
        <w:pStyle w:val="FootnoteText"/>
      </w:pPr>
      <w:r w:rsidRPr="00D94D25">
        <w:rPr>
          <w:rStyle w:val="FootnoteReference"/>
          <w:rFonts w:ascii="Times New Roman" w:hAnsi="Times New Roman" w:cs="Times New Roman"/>
        </w:rPr>
        <w:footnoteRef/>
      </w:r>
      <w:r>
        <w:t xml:space="preserve"> </w:t>
      </w:r>
      <w:bookmarkStart w:id="692" w:name="f472"/>
      <w:bookmarkEnd w:id="692"/>
      <w:r w:rsidRPr="00D94D25">
        <w:rPr>
          <w:rFonts w:ascii="Times New Roman" w:hAnsi="Times New Roman" w:cs="Times New Roman"/>
          <w:i/>
        </w:rPr>
        <w:t>Id</w:t>
      </w:r>
      <w:r w:rsidRPr="00D94D25">
        <w:rPr>
          <w:rFonts w:ascii="Times New Roman" w:hAnsi="Times New Roman" w:cs="Times New Roman"/>
        </w:rPr>
        <w:t>. at 218</w:t>
      </w:r>
    </w:p>
  </w:footnote>
  <w:footnote w:id="495">
    <w:p w14:paraId="42645935" w14:textId="6F3B79E7" w:rsidR="00336EDF" w:rsidRDefault="00336EDF">
      <w:pPr>
        <w:pStyle w:val="FootnoteText"/>
      </w:pPr>
      <w:r w:rsidRPr="00D937BF">
        <w:rPr>
          <w:rStyle w:val="FootnoteReference"/>
          <w:rFonts w:ascii="Times New Roman" w:hAnsi="Times New Roman" w:cs="Times New Roman"/>
        </w:rPr>
        <w:footnoteRef/>
      </w:r>
      <w:r>
        <w:t xml:space="preserve"> </w:t>
      </w:r>
      <w:bookmarkStart w:id="696" w:name="f473"/>
      <w:bookmarkEnd w:id="696"/>
      <w:r>
        <w:fldChar w:fldCharType="begin"/>
      </w:r>
      <w:r>
        <w:instrText xml:space="preserve"> HYPERLINK "https://www.courtlistener.com/opinion/2625091/in-re-collicott/" </w:instrText>
      </w:r>
      <w:r>
        <w:fldChar w:fldCharType="separate"/>
      </w:r>
      <w:r w:rsidRPr="00537E4A">
        <w:rPr>
          <w:rStyle w:val="Hyperlink"/>
          <w:rFonts w:ascii="Times New Roman" w:hAnsi="Times New Roman" w:cs="Times New Roman"/>
        </w:rPr>
        <w:t>20 P.3d 1077</w:t>
      </w:r>
      <w:r>
        <w:rPr>
          <w:rStyle w:val="Hyperlink"/>
          <w:rFonts w:ascii="Times New Roman" w:hAnsi="Times New Roman" w:cs="Times New Roman"/>
        </w:rPr>
        <w:fldChar w:fldCharType="end"/>
      </w:r>
      <w:r w:rsidRPr="00D937BF">
        <w:rPr>
          <w:rFonts w:ascii="Times New Roman" w:hAnsi="Times New Roman" w:cs="Times New Roman"/>
        </w:rPr>
        <w:t xml:space="preserve"> (Wyo. 2001)</w:t>
      </w:r>
    </w:p>
  </w:footnote>
  <w:footnote w:id="496">
    <w:p w14:paraId="5EC5100E" w14:textId="304FC137" w:rsidR="00336EDF" w:rsidRDefault="00336EDF">
      <w:pPr>
        <w:pStyle w:val="FootnoteText"/>
      </w:pPr>
      <w:r w:rsidRPr="00F40975">
        <w:rPr>
          <w:rStyle w:val="FootnoteReference"/>
          <w:rFonts w:ascii="Times New Roman" w:hAnsi="Times New Roman" w:cs="Times New Roman"/>
        </w:rPr>
        <w:footnoteRef/>
      </w:r>
      <w:r>
        <w:t xml:space="preserve"> </w:t>
      </w:r>
      <w:bookmarkStart w:id="697" w:name="f474"/>
      <w:bookmarkEnd w:id="697"/>
      <w:r w:rsidRPr="00F40975">
        <w:rPr>
          <w:rFonts w:ascii="Times New Roman" w:hAnsi="Times New Roman" w:cs="Times New Roman"/>
          <w:i/>
        </w:rPr>
        <w:t>Id</w:t>
      </w:r>
      <w:r w:rsidRPr="00F40975">
        <w:rPr>
          <w:rFonts w:ascii="Times New Roman" w:hAnsi="Times New Roman" w:cs="Times New Roman"/>
        </w:rPr>
        <w:t>. at 1078</w:t>
      </w:r>
      <w:r>
        <w:rPr>
          <w:rFonts w:ascii="Times New Roman" w:hAnsi="Times New Roman" w:cs="Times New Roman"/>
        </w:rPr>
        <w:t xml:space="preserve">. An injury report is not a claim for benefits. </w:t>
      </w:r>
      <w:r w:rsidRPr="003046AD">
        <w:rPr>
          <w:rFonts w:ascii="Times New Roman" w:hAnsi="Times New Roman" w:cs="Times New Roman"/>
        </w:rPr>
        <w:t xml:space="preserve">W.S. § </w:t>
      </w:r>
      <w:hyperlink r:id="rId180" w:history="1">
        <w:r w:rsidRPr="003046AD">
          <w:rPr>
            <w:rStyle w:val="Hyperlink"/>
            <w:rFonts w:ascii="Times New Roman" w:hAnsi="Times New Roman" w:cs="Times New Roman"/>
          </w:rPr>
          <w:t>27-14-503</w:t>
        </w:r>
      </w:hyperlink>
      <w:r>
        <w:rPr>
          <w:rFonts w:ascii="Times New Roman" w:hAnsi="Times New Roman" w:cs="Times New Roman"/>
        </w:rPr>
        <w:t>(a)</w:t>
      </w:r>
    </w:p>
  </w:footnote>
  <w:footnote w:id="497">
    <w:p w14:paraId="37C08ECF" w14:textId="486C3320" w:rsidR="00336EDF" w:rsidRDefault="00336EDF">
      <w:pPr>
        <w:pStyle w:val="FootnoteText"/>
      </w:pPr>
      <w:r w:rsidRPr="00F40975">
        <w:rPr>
          <w:rStyle w:val="FootnoteReference"/>
          <w:rFonts w:ascii="Times New Roman" w:hAnsi="Times New Roman" w:cs="Times New Roman"/>
        </w:rPr>
        <w:footnoteRef/>
      </w:r>
      <w:r>
        <w:t xml:space="preserve"> </w:t>
      </w:r>
      <w:bookmarkStart w:id="698" w:name="f475"/>
      <w:bookmarkEnd w:id="698"/>
      <w:r w:rsidRPr="00F40975">
        <w:rPr>
          <w:rFonts w:ascii="Times New Roman" w:hAnsi="Times New Roman" w:cs="Times New Roman"/>
          <w:i/>
        </w:rPr>
        <w:t>Id.</w:t>
      </w:r>
    </w:p>
  </w:footnote>
  <w:footnote w:id="498">
    <w:p w14:paraId="3197A776" w14:textId="532320C5" w:rsidR="00336EDF" w:rsidRDefault="00336EDF">
      <w:pPr>
        <w:pStyle w:val="FootnoteText"/>
      </w:pPr>
      <w:r w:rsidRPr="00F40975">
        <w:rPr>
          <w:rStyle w:val="FootnoteReference"/>
          <w:rFonts w:ascii="Times New Roman" w:hAnsi="Times New Roman" w:cs="Times New Roman"/>
        </w:rPr>
        <w:footnoteRef/>
      </w:r>
      <w:r>
        <w:t xml:space="preserve"> </w:t>
      </w:r>
      <w:bookmarkStart w:id="699" w:name="f476"/>
      <w:bookmarkEnd w:id="699"/>
      <w:r w:rsidRPr="00F40975">
        <w:rPr>
          <w:rFonts w:ascii="Times New Roman" w:hAnsi="Times New Roman" w:cs="Times New Roman"/>
          <w:i/>
        </w:rPr>
        <w:t>Id</w:t>
      </w:r>
      <w:r w:rsidRPr="00F40975">
        <w:rPr>
          <w:rFonts w:ascii="Times New Roman" w:hAnsi="Times New Roman" w:cs="Times New Roman"/>
        </w:rPr>
        <w:t>.</w:t>
      </w:r>
    </w:p>
  </w:footnote>
  <w:footnote w:id="499">
    <w:p w14:paraId="2322CB40" w14:textId="128BF490" w:rsidR="00336EDF" w:rsidRDefault="00336EDF">
      <w:pPr>
        <w:pStyle w:val="FootnoteText"/>
      </w:pPr>
      <w:r w:rsidRPr="00F40975">
        <w:rPr>
          <w:rStyle w:val="FootnoteReference"/>
          <w:rFonts w:ascii="Times New Roman" w:hAnsi="Times New Roman" w:cs="Times New Roman"/>
        </w:rPr>
        <w:footnoteRef/>
      </w:r>
      <w:r>
        <w:t xml:space="preserve"> </w:t>
      </w:r>
      <w:bookmarkStart w:id="700" w:name="f477"/>
      <w:bookmarkEnd w:id="700"/>
      <w:r w:rsidRPr="00F40975">
        <w:rPr>
          <w:rFonts w:ascii="Times New Roman" w:hAnsi="Times New Roman" w:cs="Times New Roman"/>
          <w:i/>
        </w:rPr>
        <w:t>Id.</w:t>
      </w:r>
    </w:p>
  </w:footnote>
  <w:footnote w:id="500">
    <w:p w14:paraId="7E5A3D17" w14:textId="7776AD2F" w:rsidR="00336EDF" w:rsidRDefault="00336EDF">
      <w:pPr>
        <w:pStyle w:val="FootnoteText"/>
      </w:pPr>
      <w:r w:rsidRPr="00F40975">
        <w:rPr>
          <w:rStyle w:val="FootnoteReference"/>
          <w:rFonts w:ascii="Times New Roman" w:hAnsi="Times New Roman" w:cs="Times New Roman"/>
        </w:rPr>
        <w:footnoteRef/>
      </w:r>
      <w:r>
        <w:t xml:space="preserve"> </w:t>
      </w:r>
      <w:bookmarkStart w:id="701" w:name="f478"/>
      <w:bookmarkEnd w:id="701"/>
      <w:r w:rsidRPr="00F40975">
        <w:rPr>
          <w:rFonts w:ascii="Times New Roman" w:hAnsi="Times New Roman" w:cs="Times New Roman"/>
          <w:i/>
        </w:rPr>
        <w:t>Id.</w:t>
      </w:r>
    </w:p>
  </w:footnote>
  <w:footnote w:id="501">
    <w:p w14:paraId="19F99C9D" w14:textId="2F822E8C" w:rsidR="00336EDF" w:rsidRDefault="00336EDF">
      <w:pPr>
        <w:pStyle w:val="FootnoteText"/>
      </w:pPr>
      <w:r w:rsidRPr="00F40975">
        <w:rPr>
          <w:rStyle w:val="FootnoteReference"/>
          <w:rFonts w:ascii="Times New Roman" w:hAnsi="Times New Roman" w:cs="Times New Roman"/>
        </w:rPr>
        <w:footnoteRef/>
      </w:r>
      <w:bookmarkStart w:id="702" w:name="f479"/>
      <w:bookmarkEnd w:id="702"/>
      <w:r>
        <w:t xml:space="preserve"> </w:t>
      </w:r>
      <w:r w:rsidRPr="00F40975">
        <w:rPr>
          <w:rFonts w:ascii="Times New Roman" w:hAnsi="Times New Roman" w:cs="Times New Roman"/>
          <w:i/>
        </w:rPr>
        <w:t>Id.</w:t>
      </w:r>
    </w:p>
  </w:footnote>
  <w:footnote w:id="502">
    <w:p w14:paraId="3407E9E0" w14:textId="3FC4D9B7" w:rsidR="00336EDF" w:rsidRDefault="00336EDF">
      <w:pPr>
        <w:pStyle w:val="FootnoteText"/>
      </w:pPr>
      <w:r w:rsidRPr="00F40975">
        <w:rPr>
          <w:rStyle w:val="FootnoteReference"/>
          <w:rFonts w:ascii="Times New Roman" w:hAnsi="Times New Roman" w:cs="Times New Roman"/>
        </w:rPr>
        <w:footnoteRef/>
      </w:r>
      <w:r>
        <w:t xml:space="preserve"> </w:t>
      </w:r>
      <w:bookmarkStart w:id="703" w:name="f480"/>
      <w:bookmarkEnd w:id="703"/>
      <w:r w:rsidRPr="00F40975">
        <w:rPr>
          <w:rFonts w:ascii="Times New Roman" w:hAnsi="Times New Roman" w:cs="Times New Roman"/>
          <w:i/>
        </w:rPr>
        <w:t>Id.</w:t>
      </w:r>
    </w:p>
  </w:footnote>
  <w:footnote w:id="503">
    <w:p w14:paraId="3E2FDDFD" w14:textId="4EE9A6FD" w:rsidR="00336EDF" w:rsidRDefault="00336EDF">
      <w:pPr>
        <w:pStyle w:val="FootnoteText"/>
      </w:pPr>
      <w:r w:rsidRPr="00F40975">
        <w:rPr>
          <w:rStyle w:val="FootnoteReference"/>
          <w:rFonts w:ascii="Times New Roman" w:hAnsi="Times New Roman" w:cs="Times New Roman"/>
        </w:rPr>
        <w:footnoteRef/>
      </w:r>
      <w:r>
        <w:t xml:space="preserve"> </w:t>
      </w:r>
      <w:bookmarkStart w:id="704" w:name="f481"/>
      <w:bookmarkEnd w:id="704"/>
      <w:r w:rsidRPr="00F40975">
        <w:rPr>
          <w:rFonts w:ascii="Times New Roman" w:hAnsi="Times New Roman" w:cs="Times New Roman"/>
          <w:i/>
        </w:rPr>
        <w:t>Id</w:t>
      </w:r>
      <w:r w:rsidRPr="00F40975">
        <w:rPr>
          <w:rFonts w:ascii="Times New Roman" w:hAnsi="Times New Roman" w:cs="Times New Roman"/>
        </w:rPr>
        <w:t>. at 1078-79</w:t>
      </w:r>
    </w:p>
  </w:footnote>
  <w:footnote w:id="504">
    <w:p w14:paraId="2057ABB1" w14:textId="7E7B8DD9" w:rsidR="00336EDF" w:rsidRDefault="00336EDF">
      <w:pPr>
        <w:pStyle w:val="FootnoteText"/>
      </w:pPr>
      <w:r w:rsidRPr="00E12C4D">
        <w:rPr>
          <w:rStyle w:val="FootnoteReference"/>
          <w:rFonts w:ascii="Times New Roman" w:hAnsi="Times New Roman" w:cs="Times New Roman"/>
        </w:rPr>
        <w:footnoteRef/>
      </w:r>
      <w:r>
        <w:t xml:space="preserve"> </w:t>
      </w:r>
      <w:bookmarkStart w:id="705" w:name="f482"/>
      <w:bookmarkEnd w:id="705"/>
      <w:r w:rsidRPr="00E12C4D">
        <w:rPr>
          <w:rFonts w:ascii="Times New Roman" w:hAnsi="Times New Roman" w:cs="Times New Roman"/>
          <w:i/>
        </w:rPr>
        <w:t>Id.</w:t>
      </w:r>
      <w:r w:rsidRPr="00E12C4D">
        <w:rPr>
          <w:rFonts w:ascii="Times New Roman" w:hAnsi="Times New Roman" w:cs="Times New Roman"/>
        </w:rPr>
        <w:t xml:space="preserve"> at 1079</w:t>
      </w:r>
    </w:p>
  </w:footnote>
  <w:footnote w:id="505">
    <w:p w14:paraId="03263D8C" w14:textId="1B97E3E5" w:rsidR="00336EDF" w:rsidRDefault="00336EDF">
      <w:pPr>
        <w:pStyle w:val="FootnoteText"/>
      </w:pPr>
      <w:r w:rsidRPr="00E12C4D">
        <w:rPr>
          <w:rStyle w:val="FootnoteReference"/>
          <w:rFonts w:ascii="Times New Roman" w:hAnsi="Times New Roman" w:cs="Times New Roman"/>
        </w:rPr>
        <w:footnoteRef/>
      </w:r>
      <w:bookmarkStart w:id="706" w:name="f483"/>
      <w:bookmarkEnd w:id="706"/>
      <w:r>
        <w:t xml:space="preserve"> </w:t>
      </w:r>
      <w:r w:rsidRPr="00E12C4D">
        <w:rPr>
          <w:rFonts w:ascii="Times New Roman" w:hAnsi="Times New Roman" w:cs="Times New Roman"/>
          <w:i/>
        </w:rPr>
        <w:t>Id.</w:t>
      </w:r>
    </w:p>
  </w:footnote>
  <w:footnote w:id="506">
    <w:p w14:paraId="03B7ED28" w14:textId="1E022E56" w:rsidR="00336EDF" w:rsidRDefault="00336EDF">
      <w:pPr>
        <w:pStyle w:val="FootnoteText"/>
      </w:pPr>
      <w:r w:rsidRPr="00E12C4D">
        <w:rPr>
          <w:rStyle w:val="FootnoteReference"/>
          <w:rFonts w:ascii="Times New Roman" w:hAnsi="Times New Roman" w:cs="Times New Roman"/>
        </w:rPr>
        <w:footnoteRef/>
      </w:r>
      <w:bookmarkStart w:id="707" w:name="f484"/>
      <w:bookmarkEnd w:id="707"/>
      <w:r>
        <w:t xml:space="preserve"> </w:t>
      </w:r>
      <w:r w:rsidRPr="00E12C4D">
        <w:rPr>
          <w:rFonts w:ascii="Times New Roman" w:hAnsi="Times New Roman" w:cs="Times New Roman"/>
          <w:i/>
        </w:rPr>
        <w:t>Id.</w:t>
      </w:r>
    </w:p>
  </w:footnote>
  <w:footnote w:id="507">
    <w:p w14:paraId="5099CC6A" w14:textId="49BE795F" w:rsidR="00336EDF" w:rsidRDefault="00336EDF">
      <w:pPr>
        <w:pStyle w:val="FootnoteText"/>
      </w:pPr>
      <w:r w:rsidRPr="00E12C4D">
        <w:rPr>
          <w:rStyle w:val="FootnoteReference"/>
          <w:rFonts w:ascii="Times New Roman" w:hAnsi="Times New Roman" w:cs="Times New Roman"/>
        </w:rPr>
        <w:footnoteRef/>
      </w:r>
      <w:r>
        <w:t xml:space="preserve"> </w:t>
      </w:r>
      <w:bookmarkStart w:id="708" w:name="f485"/>
      <w:bookmarkEnd w:id="708"/>
      <w:r w:rsidRPr="00E12C4D">
        <w:rPr>
          <w:rFonts w:ascii="Times New Roman" w:hAnsi="Times New Roman" w:cs="Times New Roman"/>
          <w:i/>
        </w:rPr>
        <w:t>Id</w:t>
      </w:r>
      <w:r w:rsidRPr="00E12C4D">
        <w:rPr>
          <w:rFonts w:ascii="Times New Roman" w:hAnsi="Times New Roman" w:cs="Times New Roman"/>
        </w:rPr>
        <w:t>. 1080-81</w:t>
      </w:r>
      <w:r>
        <w:rPr>
          <w:rFonts w:ascii="Times New Roman" w:hAnsi="Times New Roman" w:cs="Times New Roman"/>
        </w:rPr>
        <w:t>(Emphasis supplied)</w:t>
      </w:r>
    </w:p>
  </w:footnote>
  <w:footnote w:id="508">
    <w:p w14:paraId="524F4E4E" w14:textId="2EE97E7E" w:rsidR="00336EDF" w:rsidRDefault="00336EDF">
      <w:pPr>
        <w:pStyle w:val="FootnoteText"/>
      </w:pPr>
      <w:r w:rsidRPr="006351ED">
        <w:rPr>
          <w:rStyle w:val="FootnoteReference"/>
          <w:rFonts w:ascii="Times New Roman" w:hAnsi="Times New Roman" w:cs="Times New Roman"/>
        </w:rPr>
        <w:footnoteRef/>
      </w:r>
      <w:r>
        <w:t xml:space="preserve"> </w:t>
      </w:r>
      <w:bookmarkStart w:id="709" w:name="f486"/>
      <w:bookmarkEnd w:id="709"/>
      <w:r w:rsidRPr="006351ED">
        <w:rPr>
          <w:rFonts w:ascii="Times New Roman" w:hAnsi="Times New Roman" w:cs="Times New Roman"/>
          <w:i/>
        </w:rPr>
        <w:t>Id</w:t>
      </w:r>
      <w:r w:rsidRPr="006351ED">
        <w:rPr>
          <w:rFonts w:ascii="Times New Roman" w:hAnsi="Times New Roman" w:cs="Times New Roman"/>
        </w:rPr>
        <w:t>. at 1081</w:t>
      </w:r>
      <w:r>
        <w:rPr>
          <w:rFonts w:ascii="Times New Roman" w:hAnsi="Times New Roman" w:cs="Times New Roman"/>
        </w:rPr>
        <w:t>(Emphasis supplied)</w:t>
      </w:r>
    </w:p>
  </w:footnote>
  <w:footnote w:id="509">
    <w:p w14:paraId="2F7BAFD1" w14:textId="40D87A0C" w:rsidR="00336EDF" w:rsidRDefault="00336EDF">
      <w:pPr>
        <w:pStyle w:val="FootnoteText"/>
      </w:pPr>
      <w:r w:rsidRPr="002C4352">
        <w:rPr>
          <w:rStyle w:val="FootnoteReference"/>
          <w:rFonts w:ascii="Times New Roman" w:hAnsi="Times New Roman" w:cs="Times New Roman"/>
        </w:rPr>
        <w:footnoteRef/>
      </w:r>
      <w:r>
        <w:t xml:space="preserve"> </w:t>
      </w:r>
      <w:bookmarkStart w:id="710" w:name="f487"/>
      <w:bookmarkEnd w:id="710"/>
      <w:r w:rsidRPr="002C4352">
        <w:rPr>
          <w:rFonts w:ascii="Times New Roman" w:hAnsi="Times New Roman" w:cs="Times New Roman"/>
          <w:i/>
        </w:rPr>
        <w:t>Id.</w:t>
      </w:r>
    </w:p>
  </w:footnote>
  <w:footnote w:id="510">
    <w:p w14:paraId="4452A380" w14:textId="107CA8EB" w:rsidR="00336EDF" w:rsidRDefault="00336EDF" w:rsidP="009331FC">
      <w:pPr>
        <w:pStyle w:val="FootnoteText"/>
        <w:jc w:val="both"/>
      </w:pPr>
      <w:r w:rsidRPr="009331FC">
        <w:rPr>
          <w:rStyle w:val="FootnoteReference"/>
          <w:rFonts w:ascii="Times New Roman" w:hAnsi="Times New Roman" w:cs="Times New Roman"/>
        </w:rPr>
        <w:footnoteRef/>
      </w:r>
      <w:r>
        <w:t xml:space="preserve"> </w:t>
      </w:r>
      <w:bookmarkStart w:id="711" w:name="f488"/>
      <w:bookmarkEnd w:id="711"/>
      <w:r w:rsidRPr="009331FC">
        <w:rPr>
          <w:rFonts w:ascii="Times New Roman" w:hAnsi="Times New Roman" w:cs="Times New Roman"/>
          <w:i/>
        </w:rPr>
        <w:t>See</w:t>
      </w:r>
      <w:r w:rsidRPr="009331FC">
        <w:rPr>
          <w:rFonts w:ascii="Times New Roman" w:hAnsi="Times New Roman" w:cs="Times New Roman"/>
        </w:rPr>
        <w:t xml:space="preserve"> Mitchell v. State Recreation Com’n Snowmobile Trails, </w:t>
      </w:r>
      <w:hyperlink r:id="rId181" w:history="1">
        <w:r w:rsidRPr="00537E4A">
          <w:rPr>
            <w:rStyle w:val="Hyperlink"/>
            <w:rFonts w:ascii="Times New Roman" w:hAnsi="Times New Roman" w:cs="Times New Roman"/>
          </w:rPr>
          <w:t>968 P.2d 37</w:t>
        </w:r>
      </w:hyperlink>
      <w:r w:rsidRPr="009331FC">
        <w:rPr>
          <w:rFonts w:ascii="Times New Roman" w:hAnsi="Times New Roman" w:cs="Times New Roman"/>
        </w:rPr>
        <w:t>, 41 (Wyo. 1998)</w:t>
      </w:r>
      <w:r>
        <w:rPr>
          <w:rFonts w:ascii="Times New Roman" w:hAnsi="Times New Roman" w:cs="Times New Roman"/>
        </w:rPr>
        <w:t xml:space="preserve"> (“[T]</w:t>
      </w:r>
      <w:r w:rsidRPr="009331FC">
        <w:rPr>
          <w:rFonts w:ascii="Times New Roman" w:hAnsi="Times New Roman" w:cs="Times New Roman"/>
        </w:rPr>
        <w:t>he statute of limitations contains no provision for tolling because of excusable neglect or to relieve hardship in particular circumstances</w:t>
      </w:r>
      <w:r>
        <w:rPr>
          <w:rFonts w:ascii="Times New Roman" w:hAnsi="Times New Roman" w:cs="Times New Roman"/>
        </w:rPr>
        <w:t xml:space="preserve"> . . . </w:t>
      </w:r>
      <w:r w:rsidRPr="009331FC">
        <w:rPr>
          <w:rFonts w:ascii="Times New Roman" w:hAnsi="Times New Roman" w:cs="Times New Roman"/>
        </w:rPr>
        <w:t>Thus, the statute of limitations is a bar to Mitchell's claim unless the doctrine of equitable estoppel prevents the employer or the Division from raising the statute of limitations as a defense</w:t>
      </w:r>
      <w:r>
        <w:rPr>
          <w:rFonts w:ascii="Times New Roman" w:hAnsi="Times New Roman" w:cs="Times New Roman"/>
        </w:rPr>
        <w:t xml:space="preserve">.”); see also </w:t>
      </w:r>
    </w:p>
  </w:footnote>
  <w:footnote w:id="511">
    <w:p w14:paraId="3DC83BEA" w14:textId="7F62B2F4" w:rsidR="00336EDF" w:rsidRDefault="00336EDF">
      <w:pPr>
        <w:pStyle w:val="FootnoteText"/>
      </w:pPr>
      <w:r w:rsidRPr="00F05D5D">
        <w:rPr>
          <w:rStyle w:val="FootnoteReference"/>
          <w:rFonts w:ascii="Times New Roman" w:hAnsi="Times New Roman" w:cs="Times New Roman"/>
        </w:rPr>
        <w:footnoteRef/>
      </w:r>
      <w:r w:rsidRPr="00F05D5D">
        <w:rPr>
          <w:rStyle w:val="FootnoteReference"/>
          <w:rFonts w:ascii="Times New Roman" w:hAnsi="Times New Roman" w:cs="Times New Roman"/>
        </w:rPr>
        <w:t xml:space="preserve"> </w:t>
      </w:r>
      <w:bookmarkStart w:id="712" w:name="f489"/>
      <w:bookmarkEnd w:id="712"/>
      <w:r>
        <w:fldChar w:fldCharType="begin"/>
      </w:r>
      <w:r>
        <w:instrText xml:space="preserve"> HYPERLINK "https://casetext.com/case/wyoming-workers-comp-v-halstead" </w:instrText>
      </w:r>
      <w:r>
        <w:fldChar w:fldCharType="separate"/>
      </w:r>
      <w:r w:rsidRPr="00071087">
        <w:rPr>
          <w:rStyle w:val="Hyperlink"/>
          <w:rFonts w:ascii="Times New Roman" w:hAnsi="Times New Roman" w:cs="Times New Roman"/>
        </w:rPr>
        <w:t>795 P.2d 760</w:t>
      </w:r>
      <w:r>
        <w:rPr>
          <w:rStyle w:val="Hyperlink"/>
          <w:rFonts w:ascii="Times New Roman" w:hAnsi="Times New Roman" w:cs="Times New Roman"/>
        </w:rPr>
        <w:fldChar w:fldCharType="end"/>
      </w:r>
      <w:r w:rsidRPr="00F05D5D">
        <w:rPr>
          <w:rFonts w:ascii="Times New Roman" w:hAnsi="Times New Roman" w:cs="Times New Roman"/>
        </w:rPr>
        <w:t xml:space="preserve"> (Wyo. 1990)</w:t>
      </w:r>
    </w:p>
  </w:footnote>
  <w:footnote w:id="512">
    <w:p w14:paraId="09815A9A" w14:textId="2D74B11E" w:rsidR="00336EDF" w:rsidRDefault="00336EDF">
      <w:pPr>
        <w:pStyle w:val="FootnoteText"/>
      </w:pPr>
      <w:r w:rsidRPr="00714497">
        <w:rPr>
          <w:rStyle w:val="FootnoteReference"/>
          <w:rFonts w:ascii="Times New Roman" w:hAnsi="Times New Roman" w:cs="Times New Roman"/>
        </w:rPr>
        <w:footnoteRef/>
      </w:r>
      <w:r>
        <w:t xml:space="preserve"> </w:t>
      </w:r>
      <w:bookmarkStart w:id="713" w:name="f490"/>
      <w:bookmarkEnd w:id="713"/>
      <w:r w:rsidRPr="00714497">
        <w:rPr>
          <w:rFonts w:ascii="Times New Roman" w:hAnsi="Times New Roman" w:cs="Times New Roman"/>
          <w:i/>
        </w:rPr>
        <w:t>Id</w:t>
      </w:r>
      <w:r w:rsidRPr="00714497">
        <w:rPr>
          <w:rFonts w:ascii="Times New Roman" w:hAnsi="Times New Roman" w:cs="Times New Roman"/>
        </w:rPr>
        <w:t>. at 764-765</w:t>
      </w:r>
    </w:p>
  </w:footnote>
  <w:footnote w:id="513">
    <w:p w14:paraId="0DF2C0C8" w14:textId="1F86F0B7" w:rsidR="00336EDF" w:rsidRDefault="00336EDF">
      <w:pPr>
        <w:pStyle w:val="FootnoteText"/>
      </w:pPr>
      <w:r w:rsidRPr="00714497">
        <w:rPr>
          <w:rStyle w:val="FootnoteReference"/>
          <w:rFonts w:ascii="Times New Roman" w:hAnsi="Times New Roman" w:cs="Times New Roman"/>
        </w:rPr>
        <w:footnoteRef/>
      </w:r>
      <w:r w:rsidRPr="00714497">
        <w:rPr>
          <w:i/>
        </w:rPr>
        <w:t xml:space="preserve"> </w:t>
      </w:r>
      <w:bookmarkStart w:id="714" w:name="f491"/>
      <w:bookmarkEnd w:id="714"/>
      <w:r w:rsidRPr="00714497">
        <w:rPr>
          <w:rFonts w:ascii="Times New Roman" w:hAnsi="Times New Roman" w:cs="Times New Roman"/>
          <w:i/>
        </w:rPr>
        <w:t>Id</w:t>
      </w:r>
      <w:r w:rsidRPr="00714497">
        <w:rPr>
          <w:rFonts w:ascii="Times New Roman" w:hAnsi="Times New Roman" w:cs="Times New Roman"/>
        </w:rPr>
        <w:t>. at 763</w:t>
      </w:r>
      <w:r>
        <w:rPr>
          <w:rFonts w:ascii="Times New Roman" w:hAnsi="Times New Roman" w:cs="Times New Roman"/>
        </w:rPr>
        <w:t xml:space="preserve"> (Emphasis supplied)</w:t>
      </w:r>
    </w:p>
  </w:footnote>
  <w:footnote w:id="514">
    <w:p w14:paraId="61965397" w14:textId="22B06761" w:rsidR="00336EDF" w:rsidRDefault="00336EDF">
      <w:pPr>
        <w:pStyle w:val="FootnoteText"/>
      </w:pPr>
      <w:r w:rsidRPr="00B571F7">
        <w:rPr>
          <w:rStyle w:val="FootnoteReference"/>
          <w:rFonts w:ascii="Times New Roman" w:hAnsi="Times New Roman" w:cs="Times New Roman"/>
        </w:rPr>
        <w:footnoteRef/>
      </w:r>
      <w:r>
        <w:t xml:space="preserve"> </w:t>
      </w:r>
      <w:bookmarkStart w:id="715" w:name="f492"/>
      <w:bookmarkEnd w:id="715"/>
      <w:r>
        <w:fldChar w:fldCharType="begin"/>
      </w:r>
      <w:r>
        <w:instrText xml:space="preserve"> HYPERLINK "https://www.courtlistener.com/opinion/1169327/bauer-v-state-ex-rel-workers-comp-div/" </w:instrText>
      </w:r>
      <w:r>
        <w:fldChar w:fldCharType="separate"/>
      </w:r>
      <w:r w:rsidRPr="00071087">
        <w:rPr>
          <w:rStyle w:val="Hyperlink"/>
          <w:rFonts w:ascii="Times New Roman" w:hAnsi="Times New Roman" w:cs="Times New Roman"/>
        </w:rPr>
        <w:t>695 P.2d 1048</w:t>
      </w:r>
      <w:r>
        <w:rPr>
          <w:rStyle w:val="Hyperlink"/>
          <w:rFonts w:ascii="Times New Roman" w:hAnsi="Times New Roman" w:cs="Times New Roman"/>
        </w:rPr>
        <w:fldChar w:fldCharType="end"/>
      </w:r>
      <w:r w:rsidRPr="00B571F7">
        <w:rPr>
          <w:rFonts w:ascii="Times New Roman" w:hAnsi="Times New Roman" w:cs="Times New Roman"/>
        </w:rPr>
        <w:t xml:space="preserve"> (Wyo. 1985)</w:t>
      </w:r>
    </w:p>
  </w:footnote>
  <w:footnote w:id="515">
    <w:p w14:paraId="0FA82257" w14:textId="28688F1D" w:rsidR="00336EDF" w:rsidRDefault="00336EDF">
      <w:pPr>
        <w:pStyle w:val="FootnoteText"/>
      </w:pPr>
      <w:r w:rsidRPr="00A95D27">
        <w:rPr>
          <w:rStyle w:val="FootnoteReference"/>
          <w:rFonts w:ascii="Times New Roman" w:hAnsi="Times New Roman" w:cs="Times New Roman"/>
        </w:rPr>
        <w:footnoteRef/>
      </w:r>
      <w:bookmarkStart w:id="716" w:name="f493"/>
      <w:bookmarkEnd w:id="716"/>
      <w:r w:rsidRPr="00A95D27">
        <w:rPr>
          <w:rStyle w:val="FootnoteReference"/>
          <w:rFonts w:ascii="Times New Roman" w:hAnsi="Times New Roman" w:cs="Times New Roman"/>
        </w:rPr>
        <w:t xml:space="preserve"> </w:t>
      </w:r>
      <w:r w:rsidRPr="00A95D27">
        <w:rPr>
          <w:rFonts w:ascii="Times New Roman" w:hAnsi="Times New Roman" w:cs="Times New Roman"/>
          <w:i/>
        </w:rPr>
        <w:t>Id</w:t>
      </w:r>
      <w:r w:rsidRPr="00A95D27">
        <w:rPr>
          <w:rFonts w:ascii="Times New Roman" w:hAnsi="Times New Roman" w:cs="Times New Roman"/>
        </w:rPr>
        <w:t>. at 1049</w:t>
      </w:r>
    </w:p>
  </w:footnote>
  <w:footnote w:id="516">
    <w:p w14:paraId="18E21787" w14:textId="6AE165EB" w:rsidR="00336EDF" w:rsidRDefault="00336EDF">
      <w:pPr>
        <w:pStyle w:val="FootnoteText"/>
      </w:pPr>
      <w:r w:rsidRPr="00A95D27">
        <w:rPr>
          <w:rStyle w:val="FootnoteReference"/>
          <w:rFonts w:ascii="Times New Roman" w:hAnsi="Times New Roman" w:cs="Times New Roman"/>
        </w:rPr>
        <w:footnoteRef/>
      </w:r>
      <w:r>
        <w:t xml:space="preserve"> </w:t>
      </w:r>
      <w:bookmarkStart w:id="717" w:name="f494"/>
      <w:bookmarkEnd w:id="717"/>
      <w:r w:rsidRPr="00A95D27">
        <w:rPr>
          <w:rFonts w:ascii="Times New Roman" w:hAnsi="Times New Roman" w:cs="Times New Roman"/>
          <w:i/>
        </w:rPr>
        <w:t>Id</w:t>
      </w:r>
      <w:r w:rsidRPr="00A95D27">
        <w:rPr>
          <w:rFonts w:ascii="Times New Roman" w:hAnsi="Times New Roman" w:cs="Times New Roman"/>
        </w:rPr>
        <w:t>.</w:t>
      </w:r>
      <w:r>
        <w:t xml:space="preserve"> </w:t>
      </w:r>
    </w:p>
  </w:footnote>
  <w:footnote w:id="517">
    <w:p w14:paraId="5190BEC4" w14:textId="0A0DF75A" w:rsidR="00336EDF" w:rsidRDefault="00336EDF">
      <w:pPr>
        <w:pStyle w:val="FootnoteText"/>
      </w:pPr>
      <w:r w:rsidRPr="00A95D27">
        <w:rPr>
          <w:rStyle w:val="FootnoteReference"/>
          <w:rFonts w:ascii="Times New Roman" w:hAnsi="Times New Roman" w:cs="Times New Roman"/>
        </w:rPr>
        <w:footnoteRef/>
      </w:r>
      <w:r>
        <w:t xml:space="preserve"> </w:t>
      </w:r>
      <w:bookmarkStart w:id="718" w:name="f495"/>
      <w:bookmarkEnd w:id="718"/>
      <w:r w:rsidRPr="00A95D27">
        <w:rPr>
          <w:rFonts w:ascii="Times New Roman" w:hAnsi="Times New Roman" w:cs="Times New Roman"/>
          <w:i/>
        </w:rPr>
        <w:t>Id</w:t>
      </w:r>
      <w:r w:rsidRPr="00A95D27">
        <w:rPr>
          <w:rFonts w:ascii="Times New Roman" w:hAnsi="Times New Roman" w:cs="Times New Roman"/>
        </w:rPr>
        <w:t>.</w:t>
      </w:r>
    </w:p>
  </w:footnote>
  <w:footnote w:id="518">
    <w:p w14:paraId="55678FDF" w14:textId="70614AA2" w:rsidR="00336EDF" w:rsidRDefault="00336EDF">
      <w:pPr>
        <w:pStyle w:val="FootnoteText"/>
      </w:pPr>
      <w:r w:rsidRPr="00A95D27">
        <w:rPr>
          <w:rStyle w:val="FootnoteReference"/>
          <w:rFonts w:ascii="Times New Roman" w:hAnsi="Times New Roman" w:cs="Times New Roman"/>
        </w:rPr>
        <w:footnoteRef/>
      </w:r>
      <w:r>
        <w:t xml:space="preserve"> </w:t>
      </w:r>
      <w:bookmarkStart w:id="719" w:name="f496"/>
      <w:bookmarkEnd w:id="719"/>
      <w:r w:rsidRPr="00A95D27">
        <w:rPr>
          <w:rFonts w:ascii="Times New Roman" w:hAnsi="Times New Roman" w:cs="Times New Roman"/>
          <w:i/>
        </w:rPr>
        <w:t>Id</w:t>
      </w:r>
      <w:r w:rsidRPr="00A95D27">
        <w:rPr>
          <w:rFonts w:ascii="Times New Roman" w:hAnsi="Times New Roman" w:cs="Times New Roman"/>
        </w:rPr>
        <w:t>. at 1050</w:t>
      </w:r>
    </w:p>
  </w:footnote>
  <w:footnote w:id="519">
    <w:p w14:paraId="45205BBB" w14:textId="6E7E265B" w:rsidR="00336EDF" w:rsidRDefault="00336EDF">
      <w:pPr>
        <w:pStyle w:val="FootnoteText"/>
      </w:pPr>
      <w:r w:rsidRPr="00A95D27">
        <w:rPr>
          <w:rStyle w:val="FootnoteReference"/>
          <w:rFonts w:ascii="Times New Roman" w:hAnsi="Times New Roman" w:cs="Times New Roman"/>
        </w:rPr>
        <w:footnoteRef/>
      </w:r>
      <w:r>
        <w:t xml:space="preserve"> </w:t>
      </w:r>
      <w:bookmarkStart w:id="720" w:name="f497"/>
      <w:bookmarkEnd w:id="720"/>
      <w:r w:rsidRPr="00A95D27">
        <w:rPr>
          <w:rFonts w:ascii="Times New Roman" w:hAnsi="Times New Roman" w:cs="Times New Roman"/>
          <w:i/>
        </w:rPr>
        <w:t>Id</w:t>
      </w:r>
      <w:r w:rsidRPr="00A95D27">
        <w:rPr>
          <w:rFonts w:ascii="Times New Roman" w:hAnsi="Times New Roman" w:cs="Times New Roman"/>
        </w:rPr>
        <w:t>. at 1053</w:t>
      </w:r>
      <w:r>
        <w:rPr>
          <w:rFonts w:ascii="Times New Roman" w:hAnsi="Times New Roman" w:cs="Times New Roman"/>
        </w:rPr>
        <w:t xml:space="preserve"> (Emphases supplied)</w:t>
      </w:r>
    </w:p>
  </w:footnote>
  <w:footnote w:id="520">
    <w:p w14:paraId="65006117" w14:textId="4A60EA4E" w:rsidR="00336EDF" w:rsidRDefault="00336EDF">
      <w:pPr>
        <w:pStyle w:val="FootnoteText"/>
      </w:pPr>
      <w:r w:rsidRPr="00E70DE9">
        <w:rPr>
          <w:rStyle w:val="FootnoteReference"/>
          <w:rFonts w:ascii="Times New Roman" w:hAnsi="Times New Roman" w:cs="Times New Roman"/>
        </w:rPr>
        <w:footnoteRef/>
      </w:r>
      <w:r>
        <w:t xml:space="preserve"> </w:t>
      </w:r>
      <w:bookmarkStart w:id="722" w:name="f499"/>
      <w:bookmarkEnd w:id="722"/>
      <w:r>
        <w:rPr>
          <w:rFonts w:ascii="Times New Roman" w:hAnsi="Times New Roman" w:cs="Times New Roman"/>
        </w:rPr>
        <w:fldChar w:fldCharType="begin"/>
      </w:r>
      <w:r>
        <w:rPr>
          <w:rFonts w:ascii="Times New Roman" w:hAnsi="Times New Roman" w:cs="Times New Roman"/>
        </w:rPr>
        <w:instrText xml:space="preserve"> HYPERLINK "https://law.justia.com/cases/wyoming/supreme-court/2019/s-18-0293.html" </w:instrText>
      </w:r>
      <w:r>
        <w:rPr>
          <w:rFonts w:ascii="Times New Roman" w:hAnsi="Times New Roman" w:cs="Times New Roman"/>
        </w:rPr>
        <w:fldChar w:fldCharType="separate"/>
      </w:r>
      <w:r w:rsidRPr="00E70DE9">
        <w:rPr>
          <w:rStyle w:val="Hyperlink"/>
          <w:rFonts w:ascii="Times New Roman" w:hAnsi="Times New Roman" w:cs="Times New Roman"/>
        </w:rPr>
        <w:t>448 P.3d 825</w:t>
      </w:r>
      <w:r>
        <w:rPr>
          <w:rFonts w:ascii="Times New Roman" w:hAnsi="Times New Roman" w:cs="Times New Roman"/>
        </w:rPr>
        <w:fldChar w:fldCharType="end"/>
      </w:r>
      <w:r w:rsidRPr="00E70DE9">
        <w:rPr>
          <w:rFonts w:ascii="Times New Roman" w:hAnsi="Times New Roman" w:cs="Times New Roman"/>
        </w:rPr>
        <w:t xml:space="preserve"> (Wyo. 2019)</w:t>
      </w:r>
    </w:p>
  </w:footnote>
  <w:footnote w:id="521">
    <w:p w14:paraId="3E00B939" w14:textId="132A0446" w:rsidR="00336EDF" w:rsidRPr="008B6103" w:rsidRDefault="00336EDF">
      <w:pPr>
        <w:pStyle w:val="FootnoteText"/>
        <w:rPr>
          <w:rFonts w:ascii="Times New Roman" w:hAnsi="Times New Roman" w:cs="Times New Roman"/>
        </w:rPr>
      </w:pPr>
      <w:r w:rsidRPr="008B6103">
        <w:rPr>
          <w:rStyle w:val="FootnoteReference"/>
          <w:rFonts w:ascii="Times New Roman" w:hAnsi="Times New Roman" w:cs="Times New Roman"/>
        </w:rPr>
        <w:footnoteRef/>
      </w:r>
      <w:r w:rsidRPr="008B6103">
        <w:rPr>
          <w:rFonts w:ascii="Times New Roman" w:hAnsi="Times New Roman" w:cs="Times New Roman"/>
        </w:rPr>
        <w:t xml:space="preserve"> </w:t>
      </w:r>
      <w:bookmarkStart w:id="723" w:name="f500"/>
      <w:bookmarkEnd w:id="723"/>
      <w:r w:rsidRPr="008B6103">
        <w:rPr>
          <w:rFonts w:ascii="Times New Roman" w:hAnsi="Times New Roman" w:cs="Times New Roman"/>
          <w:i/>
          <w:iCs/>
        </w:rPr>
        <w:t>Id</w:t>
      </w:r>
      <w:r w:rsidRPr="008B6103">
        <w:rPr>
          <w:rFonts w:ascii="Times New Roman" w:hAnsi="Times New Roman" w:cs="Times New Roman"/>
        </w:rPr>
        <w:t xml:space="preserve">. at 831 </w:t>
      </w:r>
      <w:r w:rsidRPr="008B6103">
        <w:rPr>
          <w:rFonts w:ascii="Times New Roman" w:hAnsi="Times New Roman" w:cs="Times New Roman"/>
          <w:i/>
          <w:iCs/>
        </w:rPr>
        <w:t xml:space="preserve">quoting </w:t>
      </w:r>
      <w:r w:rsidRPr="008B6103">
        <w:rPr>
          <w:rFonts w:ascii="Times New Roman" w:hAnsi="Times New Roman" w:cs="Times New Roman"/>
        </w:rPr>
        <w:t xml:space="preserve">llan E. Korpela, LL.B., Annotation, </w:t>
      </w:r>
      <w:r w:rsidRPr="008B6103">
        <w:rPr>
          <w:rFonts w:ascii="Times New Roman" w:hAnsi="Times New Roman" w:cs="Times New Roman"/>
          <w:i/>
          <w:iCs/>
        </w:rPr>
        <w:t>Plaintiff’s diligence as affecting his right to have defendant estopped from pleading the statute of limitations</w:t>
      </w:r>
      <w:r w:rsidRPr="008B6103">
        <w:rPr>
          <w:rFonts w:ascii="Times New Roman" w:hAnsi="Times New Roman" w:cs="Times New Roman"/>
        </w:rPr>
        <w:t>, 44 A.L.R.3d 760 § 2[a]</w:t>
      </w:r>
    </w:p>
  </w:footnote>
  <w:footnote w:id="522">
    <w:p w14:paraId="696D325F" w14:textId="390CEB5C" w:rsidR="00336EDF" w:rsidRDefault="00336EDF">
      <w:pPr>
        <w:pStyle w:val="FootnoteText"/>
      </w:pPr>
      <w:r w:rsidRPr="008B6103">
        <w:rPr>
          <w:rStyle w:val="FootnoteReference"/>
          <w:rFonts w:ascii="Times New Roman" w:hAnsi="Times New Roman" w:cs="Times New Roman"/>
        </w:rPr>
        <w:footnoteRef/>
      </w:r>
      <w:r w:rsidRPr="008B6103">
        <w:rPr>
          <w:rFonts w:ascii="Times New Roman" w:hAnsi="Times New Roman" w:cs="Times New Roman"/>
        </w:rPr>
        <w:t xml:space="preserve"> </w:t>
      </w:r>
      <w:bookmarkStart w:id="724" w:name="f501"/>
      <w:bookmarkEnd w:id="724"/>
      <w:r w:rsidRPr="008B6103">
        <w:rPr>
          <w:rFonts w:ascii="Times New Roman" w:hAnsi="Times New Roman" w:cs="Times New Roman"/>
          <w:i/>
          <w:iCs/>
        </w:rPr>
        <w:t>Id</w:t>
      </w:r>
      <w:r w:rsidRPr="008B6103">
        <w:rPr>
          <w:rFonts w:ascii="Times New Roman" w:hAnsi="Times New Roman" w:cs="Times New Roman"/>
        </w:rPr>
        <w:t>. at 832</w:t>
      </w:r>
    </w:p>
  </w:footnote>
  <w:footnote w:id="523">
    <w:p w14:paraId="63AC4F6C" w14:textId="02429CE5" w:rsidR="00336EDF" w:rsidRDefault="00336EDF">
      <w:pPr>
        <w:pStyle w:val="FootnoteText"/>
      </w:pPr>
      <w:r w:rsidRPr="00E70DE9">
        <w:rPr>
          <w:rStyle w:val="FootnoteReference"/>
          <w:rFonts w:ascii="Times New Roman" w:hAnsi="Times New Roman" w:cs="Times New Roman"/>
        </w:rPr>
        <w:footnoteRef/>
      </w:r>
      <w:r>
        <w:t xml:space="preserve"> </w:t>
      </w:r>
      <w:bookmarkStart w:id="725" w:name="f502"/>
      <w:bookmarkEnd w:id="725"/>
      <w:r w:rsidRPr="00E70DE9">
        <w:rPr>
          <w:rFonts w:ascii="Times New Roman" w:hAnsi="Times New Roman" w:cs="Times New Roman"/>
        </w:rPr>
        <w:t xml:space="preserve">Sweetalla, </w:t>
      </w:r>
      <w:r w:rsidRPr="00E70DE9">
        <w:rPr>
          <w:rFonts w:ascii="Times New Roman" w:hAnsi="Times New Roman" w:cs="Times New Roman"/>
          <w:i/>
          <w:iCs/>
        </w:rPr>
        <w:t>supra</w:t>
      </w:r>
      <w:r w:rsidRPr="00E70DE9">
        <w:rPr>
          <w:rFonts w:ascii="Times New Roman" w:hAnsi="Times New Roman" w:cs="Times New Roman"/>
        </w:rPr>
        <w:t>., 448 P.3d 825 at 834</w:t>
      </w:r>
    </w:p>
  </w:footnote>
  <w:footnote w:id="524">
    <w:p w14:paraId="163AF4DA" w14:textId="12D79BFD" w:rsidR="00336EDF" w:rsidRDefault="00336EDF">
      <w:pPr>
        <w:pStyle w:val="FootnoteText"/>
      </w:pPr>
      <w:r w:rsidRPr="00E70DE9">
        <w:rPr>
          <w:rStyle w:val="FootnoteReference"/>
          <w:rFonts w:ascii="Times New Roman" w:hAnsi="Times New Roman" w:cs="Times New Roman"/>
        </w:rPr>
        <w:footnoteRef/>
      </w:r>
      <w:r>
        <w:t xml:space="preserve"> </w:t>
      </w:r>
      <w:bookmarkStart w:id="726" w:name="f503"/>
      <w:bookmarkEnd w:id="726"/>
      <w:r w:rsidRPr="00E70DE9">
        <w:rPr>
          <w:rFonts w:ascii="Times New Roman" w:hAnsi="Times New Roman" w:cs="Times New Roman"/>
          <w:i/>
          <w:iCs/>
        </w:rPr>
        <w:t>See</w:t>
      </w:r>
      <w:r w:rsidRPr="00E70DE9">
        <w:rPr>
          <w:rFonts w:ascii="Times New Roman" w:hAnsi="Times New Roman" w:cs="Times New Roman"/>
        </w:rPr>
        <w:t xml:space="preserve"> Appleby v. Workers</w:t>
      </w:r>
      <w:r>
        <w:rPr>
          <w:rFonts w:ascii="Times New Roman" w:hAnsi="Times New Roman" w:cs="Times New Roman"/>
        </w:rPr>
        <w:t>’</w:t>
      </w:r>
      <w:r w:rsidRPr="00E70DE9">
        <w:rPr>
          <w:rFonts w:ascii="Times New Roman" w:hAnsi="Times New Roman" w:cs="Times New Roman"/>
        </w:rPr>
        <w:t xml:space="preserve"> Safety &amp; Comp. Div., </w:t>
      </w:r>
      <w:hyperlink r:id="rId182" w:history="1">
        <w:r w:rsidRPr="00E70DE9">
          <w:rPr>
            <w:rStyle w:val="Hyperlink"/>
            <w:rFonts w:ascii="Times New Roman" w:hAnsi="Times New Roman" w:cs="Times New Roman"/>
          </w:rPr>
          <w:t>47 P.3d 613</w:t>
        </w:r>
      </w:hyperlink>
      <w:r w:rsidRPr="00E70DE9">
        <w:rPr>
          <w:rFonts w:ascii="Times New Roman" w:hAnsi="Times New Roman" w:cs="Times New Roman"/>
        </w:rPr>
        <w:t>, 619 (Wyo.2002)</w:t>
      </w:r>
    </w:p>
  </w:footnote>
  <w:footnote w:id="525">
    <w:p w14:paraId="3FCF7EB0" w14:textId="7F762752" w:rsidR="00336EDF" w:rsidRDefault="00336EDF">
      <w:pPr>
        <w:pStyle w:val="FootnoteText"/>
      </w:pPr>
      <w:r w:rsidRPr="00F117F6">
        <w:rPr>
          <w:rStyle w:val="FootnoteReference"/>
          <w:rFonts w:ascii="Times New Roman" w:hAnsi="Times New Roman" w:cs="Times New Roman"/>
        </w:rPr>
        <w:footnoteRef/>
      </w:r>
      <w:r>
        <w:t xml:space="preserve"> </w:t>
      </w:r>
      <w:bookmarkStart w:id="729" w:name="f498"/>
      <w:bookmarkStart w:id="730" w:name="f504"/>
      <w:bookmarkEnd w:id="729"/>
      <w:bookmarkEnd w:id="730"/>
      <w:r w:rsidRPr="00F117F6">
        <w:rPr>
          <w:rFonts w:ascii="Times New Roman" w:hAnsi="Times New Roman" w:cs="Times New Roman"/>
        </w:rPr>
        <w:t xml:space="preserve">In re Collicott, </w:t>
      </w:r>
      <w:hyperlink r:id="rId183" w:history="1">
        <w:r w:rsidRPr="00071087">
          <w:rPr>
            <w:rStyle w:val="Hyperlink"/>
            <w:rFonts w:ascii="Times New Roman" w:hAnsi="Times New Roman" w:cs="Times New Roman"/>
          </w:rPr>
          <w:t>20 P.3d 1077</w:t>
        </w:r>
      </w:hyperlink>
      <w:r w:rsidRPr="00F117F6">
        <w:rPr>
          <w:rFonts w:ascii="Times New Roman" w:hAnsi="Times New Roman" w:cs="Times New Roman"/>
        </w:rPr>
        <w:t>, 1082 (Wyo. 2001)</w:t>
      </w:r>
    </w:p>
  </w:footnote>
  <w:footnote w:id="526">
    <w:p w14:paraId="228E00E2" w14:textId="0CEC0A95" w:rsidR="00336EDF" w:rsidRDefault="00336EDF">
      <w:pPr>
        <w:pStyle w:val="FootnoteText"/>
      </w:pPr>
      <w:r w:rsidRPr="002E7A4E">
        <w:rPr>
          <w:rStyle w:val="FootnoteReference"/>
          <w:rFonts w:ascii="Times New Roman" w:hAnsi="Times New Roman" w:cs="Times New Roman"/>
        </w:rPr>
        <w:footnoteRef/>
      </w:r>
      <w:r>
        <w:t xml:space="preserve"> </w:t>
      </w:r>
      <w:bookmarkStart w:id="731" w:name="f505"/>
      <w:bookmarkEnd w:id="731"/>
      <w:r w:rsidRPr="002E7A4E">
        <w:rPr>
          <w:rFonts w:ascii="Times New Roman" w:hAnsi="Times New Roman" w:cs="Times New Roman"/>
        </w:rPr>
        <w:t>Workers</w:t>
      </w:r>
      <w:r>
        <w:rPr>
          <w:rFonts w:ascii="Times New Roman" w:hAnsi="Times New Roman" w:cs="Times New Roman"/>
        </w:rPr>
        <w:t>’</w:t>
      </w:r>
      <w:r w:rsidRPr="002E7A4E">
        <w:rPr>
          <w:rFonts w:ascii="Times New Roman" w:hAnsi="Times New Roman" w:cs="Times New Roman"/>
        </w:rPr>
        <w:t xml:space="preserve"> Compensation Division v. Tallman, </w:t>
      </w:r>
      <w:hyperlink r:id="rId184" w:history="1">
        <w:r w:rsidRPr="00071087">
          <w:rPr>
            <w:rStyle w:val="Hyperlink"/>
            <w:rFonts w:ascii="Times New Roman" w:hAnsi="Times New Roman" w:cs="Times New Roman"/>
          </w:rPr>
          <w:t>589 P.2d 835</w:t>
        </w:r>
      </w:hyperlink>
      <w:r>
        <w:rPr>
          <w:rFonts w:ascii="Times New Roman" w:hAnsi="Times New Roman" w:cs="Times New Roman"/>
        </w:rPr>
        <w:t>, 838</w:t>
      </w:r>
      <w:r w:rsidRPr="002E7A4E">
        <w:rPr>
          <w:rFonts w:ascii="Times New Roman" w:hAnsi="Times New Roman" w:cs="Times New Roman"/>
        </w:rPr>
        <w:t xml:space="preserve"> (Wyo. 1979)</w:t>
      </w:r>
    </w:p>
  </w:footnote>
  <w:footnote w:id="527">
    <w:p w14:paraId="7D6819BE" w14:textId="4E865A33" w:rsidR="00336EDF" w:rsidRPr="00D62D52" w:rsidRDefault="00336EDF" w:rsidP="00D62D52">
      <w:pPr>
        <w:pStyle w:val="FootnoteText"/>
        <w:jc w:val="both"/>
        <w:rPr>
          <w:rFonts w:ascii="Times New Roman" w:hAnsi="Times New Roman" w:cs="Times New Roman"/>
        </w:rPr>
      </w:pPr>
      <w:r w:rsidRPr="00D62D52">
        <w:rPr>
          <w:rStyle w:val="FootnoteReference"/>
          <w:rFonts w:ascii="Times New Roman" w:hAnsi="Times New Roman" w:cs="Times New Roman"/>
        </w:rPr>
        <w:footnoteRef/>
      </w:r>
      <w:r>
        <w:t xml:space="preserve"> </w:t>
      </w:r>
      <w:bookmarkStart w:id="732" w:name="f506"/>
      <w:bookmarkEnd w:id="732"/>
      <w:r w:rsidRPr="00D62D52">
        <w:rPr>
          <w:rFonts w:ascii="Times New Roman" w:hAnsi="Times New Roman" w:cs="Times New Roman"/>
        </w:rPr>
        <w:t xml:space="preserve">DeLauter v. Workers’ Compensation Div., </w:t>
      </w:r>
      <w:hyperlink r:id="rId185" w:history="1">
        <w:r w:rsidRPr="008101A3">
          <w:rPr>
            <w:rStyle w:val="Hyperlink"/>
            <w:rFonts w:ascii="Times New Roman" w:hAnsi="Times New Roman" w:cs="Times New Roman"/>
          </w:rPr>
          <w:t>994 P.2d 934</w:t>
        </w:r>
      </w:hyperlink>
      <w:r w:rsidRPr="00D62D52">
        <w:rPr>
          <w:rFonts w:ascii="Times New Roman" w:hAnsi="Times New Roman" w:cs="Times New Roman"/>
        </w:rPr>
        <w:t xml:space="preserve">, 937 (Wyo. 2000) </w:t>
      </w:r>
      <w:r w:rsidRPr="001B41BE">
        <w:rPr>
          <w:rFonts w:ascii="Times New Roman" w:hAnsi="Times New Roman" w:cs="Times New Roman"/>
          <w:i/>
          <w:iCs/>
        </w:rPr>
        <w:t>citing</w:t>
      </w:r>
      <w:r w:rsidRPr="00D62D52">
        <w:rPr>
          <w:rFonts w:ascii="Times New Roman" w:hAnsi="Times New Roman" w:cs="Times New Roman"/>
        </w:rPr>
        <w:t xml:space="preserve"> </w:t>
      </w:r>
      <w:bookmarkStart w:id="733" w:name="_Hlk12465199"/>
      <w:r w:rsidRPr="00D62D52">
        <w:rPr>
          <w:rFonts w:ascii="Times New Roman" w:hAnsi="Times New Roman" w:cs="Times New Roman"/>
        </w:rPr>
        <w:t xml:space="preserve">Rodgers v. Workers’ Compensation Div., </w:t>
      </w:r>
      <w:hyperlink r:id="rId186" w:history="1">
        <w:r w:rsidRPr="008101A3">
          <w:rPr>
            <w:rStyle w:val="Hyperlink"/>
            <w:rFonts w:ascii="Times New Roman" w:hAnsi="Times New Roman" w:cs="Times New Roman"/>
          </w:rPr>
          <w:t>939 P.2d 246</w:t>
        </w:r>
      </w:hyperlink>
      <w:r w:rsidRPr="00D62D52">
        <w:rPr>
          <w:rFonts w:ascii="Times New Roman" w:hAnsi="Times New Roman" w:cs="Times New Roman"/>
        </w:rPr>
        <w:t>, 249 (Wyo. 1997)</w:t>
      </w:r>
    </w:p>
    <w:bookmarkEnd w:id="733"/>
  </w:footnote>
  <w:footnote w:id="528">
    <w:p w14:paraId="0680AAF2" w14:textId="596FD96F" w:rsidR="00336EDF" w:rsidRDefault="00336EDF" w:rsidP="00314035">
      <w:pPr>
        <w:pStyle w:val="FootnoteText"/>
        <w:jc w:val="both"/>
      </w:pPr>
      <w:r w:rsidRPr="00314035">
        <w:rPr>
          <w:rStyle w:val="FootnoteReference"/>
          <w:rFonts w:ascii="Times New Roman" w:hAnsi="Times New Roman" w:cs="Times New Roman"/>
        </w:rPr>
        <w:footnoteRef/>
      </w:r>
      <w:r>
        <w:t xml:space="preserve"> </w:t>
      </w:r>
      <w:bookmarkStart w:id="734" w:name="f507"/>
      <w:bookmarkEnd w:id="734"/>
      <w:r w:rsidRPr="00D62D52">
        <w:rPr>
          <w:rFonts w:ascii="Times New Roman" w:hAnsi="Times New Roman" w:cs="Times New Roman"/>
        </w:rPr>
        <w:t>Rodgers v. Workers’ Compensation Div.,</w:t>
      </w:r>
      <w:r>
        <w:rPr>
          <w:rFonts w:ascii="Times New Roman" w:hAnsi="Times New Roman" w:cs="Times New Roman"/>
        </w:rPr>
        <w:t xml:space="preserve"> </w:t>
      </w:r>
      <w:r w:rsidRPr="001B41BE">
        <w:rPr>
          <w:rFonts w:ascii="Times New Roman" w:hAnsi="Times New Roman" w:cs="Times New Roman"/>
          <w:i/>
          <w:iCs/>
        </w:rPr>
        <w:t>supra</w:t>
      </w:r>
      <w:r>
        <w:rPr>
          <w:rFonts w:ascii="Times New Roman" w:hAnsi="Times New Roman" w:cs="Times New Roman"/>
        </w:rPr>
        <w:t>.,</w:t>
      </w:r>
      <w:r w:rsidRPr="00D62D52">
        <w:rPr>
          <w:rFonts w:ascii="Times New Roman" w:hAnsi="Times New Roman" w:cs="Times New Roman"/>
        </w:rPr>
        <w:t xml:space="preserve"> 939 P.2d </w:t>
      </w:r>
      <w:r>
        <w:rPr>
          <w:rFonts w:ascii="Times New Roman" w:hAnsi="Times New Roman" w:cs="Times New Roman"/>
        </w:rPr>
        <w:t xml:space="preserve">at </w:t>
      </w:r>
      <w:r w:rsidRPr="00D62D52">
        <w:rPr>
          <w:rFonts w:ascii="Times New Roman" w:hAnsi="Times New Roman" w:cs="Times New Roman"/>
        </w:rPr>
        <w:t>249</w:t>
      </w:r>
      <w:r>
        <w:rPr>
          <w:rFonts w:ascii="Times New Roman" w:hAnsi="Times New Roman" w:cs="Times New Roman"/>
        </w:rPr>
        <w:t xml:space="preserve">; </w:t>
      </w:r>
      <w:bookmarkStart w:id="735" w:name="_Hlk12466389"/>
      <w:r>
        <w:rPr>
          <w:rFonts w:ascii="Times New Roman" w:hAnsi="Times New Roman" w:cs="Times New Roman"/>
        </w:rPr>
        <w:t xml:space="preserve">Claim of Nielson, </w:t>
      </w:r>
      <w:hyperlink r:id="rId187" w:history="1">
        <w:r w:rsidRPr="002D6DF8">
          <w:rPr>
            <w:rStyle w:val="Hyperlink"/>
            <w:rFonts w:ascii="Times New Roman" w:hAnsi="Times New Roman" w:cs="Times New Roman"/>
          </w:rPr>
          <w:t>806 P.2d 297</w:t>
        </w:r>
        <w:bookmarkEnd w:id="735"/>
      </w:hyperlink>
      <w:r>
        <w:rPr>
          <w:rFonts w:ascii="Times New Roman" w:hAnsi="Times New Roman" w:cs="Times New Roman"/>
        </w:rPr>
        <w:t>, 300 (Wyo. 1991)</w:t>
      </w:r>
    </w:p>
  </w:footnote>
  <w:footnote w:id="529">
    <w:p w14:paraId="5552219D" w14:textId="7B3C38E7" w:rsidR="00336EDF" w:rsidRDefault="00336EDF">
      <w:pPr>
        <w:pStyle w:val="FootnoteText"/>
      </w:pPr>
      <w:r w:rsidRPr="00314035">
        <w:rPr>
          <w:rStyle w:val="FootnoteReference"/>
          <w:rFonts w:ascii="Times New Roman" w:hAnsi="Times New Roman" w:cs="Times New Roman"/>
        </w:rPr>
        <w:footnoteRef/>
      </w:r>
      <w:r>
        <w:t xml:space="preserve"> </w:t>
      </w:r>
      <w:bookmarkStart w:id="736" w:name="f508"/>
      <w:bookmarkEnd w:id="736"/>
      <w:r w:rsidRPr="00314035">
        <w:rPr>
          <w:rFonts w:ascii="Times New Roman" w:hAnsi="Times New Roman" w:cs="Times New Roman"/>
        </w:rPr>
        <w:t xml:space="preserve">Anderson v. Workers’ Safety &amp; Compensation Div., </w:t>
      </w:r>
      <w:hyperlink r:id="rId188" w:history="1">
        <w:r w:rsidRPr="002D6DF8">
          <w:rPr>
            <w:rStyle w:val="Hyperlink"/>
            <w:rFonts w:ascii="Times New Roman" w:hAnsi="Times New Roman" w:cs="Times New Roman"/>
          </w:rPr>
          <w:t>245 P.3d 263</w:t>
        </w:r>
      </w:hyperlink>
      <w:r w:rsidRPr="00314035">
        <w:rPr>
          <w:rFonts w:ascii="Times New Roman" w:hAnsi="Times New Roman" w:cs="Times New Roman"/>
        </w:rPr>
        <w:t>, 268 (Wyo. 2010)</w:t>
      </w:r>
    </w:p>
  </w:footnote>
  <w:footnote w:id="530">
    <w:p w14:paraId="25829D77" w14:textId="2E9CB840" w:rsidR="00336EDF" w:rsidRDefault="00336EDF">
      <w:pPr>
        <w:pStyle w:val="FootnoteText"/>
      </w:pPr>
      <w:r w:rsidRPr="008101A3">
        <w:rPr>
          <w:rStyle w:val="FootnoteReference"/>
          <w:rFonts w:ascii="Times New Roman" w:hAnsi="Times New Roman" w:cs="Times New Roman"/>
        </w:rPr>
        <w:footnoteRef/>
      </w:r>
      <w:r w:rsidRPr="008101A3">
        <w:rPr>
          <w:rFonts w:ascii="Times New Roman" w:hAnsi="Times New Roman" w:cs="Times New Roman"/>
        </w:rPr>
        <w:t xml:space="preserve"> </w:t>
      </w:r>
      <w:bookmarkStart w:id="737" w:name="f509"/>
      <w:bookmarkEnd w:id="737"/>
      <w:r w:rsidRPr="008101A3">
        <w:rPr>
          <w:rFonts w:ascii="Times New Roman" w:hAnsi="Times New Roman" w:cs="Times New Roman"/>
        </w:rPr>
        <w:t xml:space="preserve">Rodgers, </w:t>
      </w:r>
      <w:r w:rsidRPr="008101A3">
        <w:rPr>
          <w:rFonts w:ascii="Times New Roman" w:hAnsi="Times New Roman" w:cs="Times New Roman"/>
          <w:i/>
          <w:iCs/>
        </w:rPr>
        <w:t>supra</w:t>
      </w:r>
      <w:r>
        <w:rPr>
          <w:rFonts w:ascii="Times New Roman" w:hAnsi="Times New Roman" w:cs="Times New Roman"/>
        </w:rPr>
        <w:t xml:space="preserve">., </w:t>
      </w:r>
      <w:r w:rsidRPr="008101A3">
        <w:rPr>
          <w:rFonts w:ascii="Times New Roman" w:hAnsi="Times New Roman" w:cs="Times New Roman"/>
        </w:rPr>
        <w:t>939 P.2d at 249</w:t>
      </w:r>
    </w:p>
  </w:footnote>
  <w:footnote w:id="531">
    <w:p w14:paraId="544D3826" w14:textId="0406263C" w:rsidR="00336EDF" w:rsidRDefault="00336EDF">
      <w:pPr>
        <w:pStyle w:val="FootnoteText"/>
      </w:pPr>
      <w:r w:rsidRPr="008101A3">
        <w:rPr>
          <w:rStyle w:val="FootnoteReference"/>
          <w:rFonts w:ascii="Times New Roman" w:hAnsi="Times New Roman" w:cs="Times New Roman"/>
        </w:rPr>
        <w:footnoteRef/>
      </w:r>
      <w:r w:rsidRPr="008101A3">
        <w:rPr>
          <w:rFonts w:ascii="Times New Roman" w:hAnsi="Times New Roman" w:cs="Times New Roman"/>
        </w:rPr>
        <w:t xml:space="preserve"> </w:t>
      </w:r>
      <w:bookmarkStart w:id="739" w:name="f510"/>
      <w:bookmarkEnd w:id="739"/>
      <w:r w:rsidRPr="008101A3">
        <w:rPr>
          <w:rFonts w:ascii="Times New Roman" w:hAnsi="Times New Roman" w:cs="Times New Roman"/>
        </w:rPr>
        <w:t xml:space="preserve">Claim of Nielson, </w:t>
      </w:r>
      <w:r w:rsidRPr="008101A3">
        <w:rPr>
          <w:rFonts w:ascii="Times New Roman" w:hAnsi="Times New Roman" w:cs="Times New Roman"/>
          <w:i/>
          <w:iCs/>
        </w:rPr>
        <w:t>supra</w:t>
      </w:r>
      <w:r w:rsidRPr="008101A3">
        <w:rPr>
          <w:rFonts w:ascii="Times New Roman" w:hAnsi="Times New Roman" w:cs="Times New Roman"/>
        </w:rPr>
        <w:t>., 806 P.2d at 299</w:t>
      </w:r>
    </w:p>
  </w:footnote>
  <w:footnote w:id="532">
    <w:p w14:paraId="4520F1A0" w14:textId="1FCE2E0F" w:rsidR="00336EDF" w:rsidRDefault="00336EDF" w:rsidP="003975DA">
      <w:pPr>
        <w:pStyle w:val="FootnoteText"/>
        <w:jc w:val="both"/>
      </w:pPr>
      <w:r w:rsidRPr="008E11CD">
        <w:rPr>
          <w:rStyle w:val="FootnoteReference"/>
          <w:rFonts w:ascii="Times New Roman" w:hAnsi="Times New Roman" w:cs="Times New Roman"/>
        </w:rPr>
        <w:footnoteRef/>
      </w:r>
      <w:r>
        <w:t xml:space="preserve"> </w:t>
      </w:r>
      <w:r w:rsidRPr="008E11CD">
        <w:rPr>
          <w:rFonts w:ascii="Times New Roman" w:hAnsi="Times New Roman" w:cs="Times New Roman"/>
        </w:rPr>
        <w:t xml:space="preserve">The </w:t>
      </w:r>
      <w:r w:rsidRPr="008E11CD">
        <w:rPr>
          <w:rFonts w:ascii="Times New Roman" w:hAnsi="Times New Roman" w:cs="Times New Roman"/>
          <w:i/>
        </w:rPr>
        <w:t>Larson</w:t>
      </w:r>
      <w:r w:rsidRPr="001568CB">
        <w:rPr>
          <w:rFonts w:ascii="Times New Roman" w:hAnsi="Times New Roman" w:cs="Times New Roman"/>
          <w:iCs/>
        </w:rPr>
        <w:t>’s</w:t>
      </w:r>
      <w:r w:rsidRPr="008E11CD">
        <w:rPr>
          <w:rFonts w:ascii="Times New Roman" w:hAnsi="Times New Roman" w:cs="Times New Roman"/>
          <w:i/>
        </w:rPr>
        <w:t xml:space="preserve"> </w:t>
      </w:r>
      <w:r w:rsidRPr="008E11CD">
        <w:rPr>
          <w:rFonts w:ascii="Times New Roman" w:hAnsi="Times New Roman" w:cs="Times New Roman"/>
        </w:rPr>
        <w:t xml:space="preserve">treatise </w:t>
      </w:r>
      <w:r>
        <w:rPr>
          <w:rFonts w:ascii="Times New Roman" w:hAnsi="Times New Roman" w:cs="Times New Roman"/>
        </w:rPr>
        <w:t>distinguishes</w:t>
      </w:r>
      <w:r w:rsidRPr="008E11CD">
        <w:rPr>
          <w:rFonts w:ascii="Times New Roman" w:hAnsi="Times New Roman" w:cs="Times New Roman"/>
        </w:rPr>
        <w:t xml:space="preserve"> </w:t>
      </w:r>
      <w:r w:rsidRPr="00B33720">
        <w:rPr>
          <w:rFonts w:ascii="Times New Roman" w:hAnsi="Times New Roman" w:cs="Times New Roman"/>
          <w:i/>
          <w:iCs/>
        </w:rPr>
        <w:t>disability</w:t>
      </w:r>
      <w:r w:rsidRPr="008E11CD">
        <w:rPr>
          <w:rFonts w:ascii="Times New Roman" w:hAnsi="Times New Roman" w:cs="Times New Roman"/>
        </w:rPr>
        <w:t xml:space="preserve"> as </w:t>
      </w:r>
      <w:r>
        <w:rPr>
          <w:rFonts w:ascii="Times New Roman" w:hAnsi="Times New Roman" w:cs="Times New Roman"/>
        </w:rPr>
        <w:t>“</w:t>
      </w:r>
      <w:r w:rsidRPr="008E11CD">
        <w:rPr>
          <w:rFonts w:ascii="Times New Roman" w:hAnsi="Times New Roman" w:cs="Times New Roman"/>
        </w:rPr>
        <w:t>physical impairment</w:t>
      </w:r>
      <w:r>
        <w:rPr>
          <w:rFonts w:ascii="Times New Roman" w:hAnsi="Times New Roman" w:cs="Times New Roman"/>
        </w:rPr>
        <w:t>”</w:t>
      </w:r>
      <w:r w:rsidRPr="008E11CD">
        <w:rPr>
          <w:rFonts w:ascii="Times New Roman" w:hAnsi="Times New Roman" w:cs="Times New Roman"/>
        </w:rPr>
        <w:t xml:space="preserve"> </w:t>
      </w:r>
      <w:r>
        <w:rPr>
          <w:rFonts w:ascii="Times New Roman" w:hAnsi="Times New Roman" w:cs="Times New Roman"/>
        </w:rPr>
        <w:t>from</w:t>
      </w:r>
      <w:r w:rsidRPr="008E11CD">
        <w:rPr>
          <w:rFonts w:ascii="Times New Roman" w:hAnsi="Times New Roman" w:cs="Times New Roman"/>
        </w:rPr>
        <w:t xml:space="preserve"> </w:t>
      </w:r>
      <w:r w:rsidRPr="00B33720">
        <w:rPr>
          <w:rFonts w:ascii="Times New Roman" w:hAnsi="Times New Roman" w:cs="Times New Roman"/>
          <w:i/>
          <w:iCs/>
        </w:rPr>
        <w:t>incapacity</w:t>
      </w:r>
      <w:r w:rsidRPr="008E11CD">
        <w:rPr>
          <w:rFonts w:ascii="Times New Roman" w:hAnsi="Times New Roman" w:cs="Times New Roman"/>
        </w:rPr>
        <w:t xml:space="preserve"> as </w:t>
      </w:r>
      <w:r>
        <w:rPr>
          <w:rFonts w:ascii="Times New Roman" w:hAnsi="Times New Roman" w:cs="Times New Roman"/>
        </w:rPr>
        <w:t>“</w:t>
      </w:r>
      <w:r w:rsidRPr="008E11CD">
        <w:rPr>
          <w:rFonts w:ascii="Times New Roman" w:hAnsi="Times New Roman" w:cs="Times New Roman"/>
        </w:rPr>
        <w:t>earnings impairment.</w:t>
      </w:r>
      <w:r>
        <w:rPr>
          <w:rFonts w:ascii="Times New Roman" w:hAnsi="Times New Roman" w:cs="Times New Roman"/>
        </w:rPr>
        <w:t>”</w:t>
      </w:r>
      <w:r w:rsidRPr="008E11CD">
        <w:rPr>
          <w:rFonts w:ascii="Times New Roman" w:hAnsi="Times New Roman" w:cs="Times New Roman"/>
          <w:smallCaps/>
        </w:rPr>
        <w:t xml:space="preserve"> </w:t>
      </w:r>
      <w:bookmarkStart w:id="742" w:name="_Hlk526675471"/>
      <w:r>
        <w:rPr>
          <w:rFonts w:ascii="Times New Roman" w:hAnsi="Times New Roman" w:cs="Times New Roman"/>
          <w:smallCaps/>
        </w:rPr>
        <w:t>6</w:t>
      </w:r>
      <w:r w:rsidRPr="00115189">
        <w:rPr>
          <w:rFonts w:ascii="Times New Roman" w:hAnsi="Times New Roman" w:cs="Times New Roman"/>
          <w:smallCaps/>
        </w:rPr>
        <w:t xml:space="preserve"> Larson's Workers' Compensation Law § </w:t>
      </w:r>
      <w:r>
        <w:rPr>
          <w:rFonts w:ascii="Times New Roman" w:hAnsi="Times New Roman" w:cs="Times New Roman"/>
          <w:smallCaps/>
        </w:rPr>
        <w:t>80.02</w:t>
      </w:r>
      <w:r w:rsidRPr="008E11CD">
        <w:rPr>
          <w:rFonts w:ascii="Times New Roman" w:hAnsi="Times New Roman" w:cs="Times New Roman"/>
        </w:rPr>
        <w:t xml:space="preserve"> and </w:t>
      </w:r>
      <w:r>
        <w:rPr>
          <w:rFonts w:ascii="Times New Roman" w:hAnsi="Times New Roman" w:cs="Times New Roman"/>
          <w:smallCaps/>
        </w:rPr>
        <w:t>85</w:t>
      </w:r>
      <w:r w:rsidRPr="00115189">
        <w:rPr>
          <w:rFonts w:ascii="Times New Roman" w:hAnsi="Times New Roman" w:cs="Times New Roman"/>
          <w:smallCaps/>
        </w:rPr>
        <w:t>.0</w:t>
      </w:r>
      <w:r>
        <w:rPr>
          <w:rFonts w:ascii="Times New Roman" w:hAnsi="Times New Roman" w:cs="Times New Roman"/>
          <w:smallCaps/>
        </w:rPr>
        <w:t>5</w:t>
      </w:r>
      <w:bookmarkEnd w:id="742"/>
      <w:r>
        <w:rPr>
          <w:rFonts w:ascii="Times New Roman" w:hAnsi="Times New Roman" w:cs="Times New Roman"/>
          <w:smallCaps/>
        </w:rPr>
        <w:t xml:space="preserve">. </w:t>
      </w:r>
      <w:r>
        <w:rPr>
          <w:rFonts w:ascii="Times New Roman" w:hAnsi="Times New Roman" w:cs="Times New Roman"/>
        </w:rPr>
        <w:t xml:space="preserve">But “impairment” is yet another term utilized throughout workers’ compensation law in confusingly different ways.  </w:t>
      </w:r>
    </w:p>
  </w:footnote>
  <w:footnote w:id="533">
    <w:p w14:paraId="65B45AF2" w14:textId="1E339C82" w:rsidR="00336EDF" w:rsidRPr="00E95125" w:rsidRDefault="00336EDF" w:rsidP="003975DA">
      <w:pPr>
        <w:pStyle w:val="FootnoteText"/>
        <w:jc w:val="both"/>
        <w:rPr>
          <w:rFonts w:ascii="Times New Roman" w:hAnsi="Times New Roman" w:cs="Times New Roman"/>
        </w:rPr>
      </w:pPr>
      <w:r w:rsidRPr="00E95125">
        <w:rPr>
          <w:rStyle w:val="FootnoteReference"/>
          <w:rFonts w:ascii="Times New Roman" w:hAnsi="Times New Roman" w:cs="Times New Roman"/>
        </w:rPr>
        <w:footnoteRef/>
      </w:r>
      <w:r w:rsidRPr="00E95125">
        <w:rPr>
          <w:rFonts w:ascii="Times New Roman" w:hAnsi="Times New Roman" w:cs="Times New Roman"/>
          <w:smallCaps/>
        </w:rPr>
        <w:t>1972 Report of the National Commission on State Workmen’s Compensation Laws</w:t>
      </w:r>
      <w:r>
        <w:rPr>
          <w:rFonts w:ascii="Times New Roman" w:hAnsi="Times New Roman" w:cs="Times New Roman"/>
          <w:smallCaps/>
        </w:rPr>
        <w:t xml:space="preserve"> </w:t>
      </w:r>
      <w:r w:rsidRPr="00E95125">
        <w:rPr>
          <w:rFonts w:ascii="Times New Roman" w:hAnsi="Times New Roman" w:cs="Times New Roman"/>
          <w:smallCaps/>
        </w:rPr>
        <w:t xml:space="preserve">67 </w:t>
      </w:r>
      <w:r w:rsidRPr="00E95125">
        <w:rPr>
          <w:rFonts w:ascii="Times New Roman" w:hAnsi="Times New Roman" w:cs="Times New Roman"/>
          <w:i/>
        </w:rPr>
        <w:t>available at</w:t>
      </w:r>
      <w:r w:rsidRPr="00E95125">
        <w:rPr>
          <w:rFonts w:ascii="Times New Roman" w:hAnsi="Times New Roman" w:cs="Times New Roman"/>
        </w:rPr>
        <w:t xml:space="preserve"> </w:t>
      </w:r>
      <w:hyperlink r:id="rId189" w:history="1">
        <w:r w:rsidRPr="00B33720">
          <w:rPr>
            <w:rStyle w:val="Hyperlink"/>
            <w:rFonts w:ascii="Times New Roman" w:hAnsi="Times New Roman" w:cs="Times New Roman"/>
          </w:rPr>
          <w:t>http://workerscompresources.com/wp-content/uploads/2012/11/Introduction-Summary.pdf</w:t>
        </w:r>
      </w:hyperlink>
      <w:r w:rsidRPr="00E95125">
        <w:rPr>
          <w:rFonts w:ascii="Times New Roman" w:hAnsi="Times New Roman" w:cs="Times New Roman"/>
        </w:rPr>
        <w:t xml:space="preserve"> .</w:t>
      </w:r>
    </w:p>
  </w:footnote>
  <w:footnote w:id="534">
    <w:p w14:paraId="6B48D85E" w14:textId="1DCEC355" w:rsidR="00336EDF" w:rsidRDefault="00336EDF">
      <w:pPr>
        <w:pStyle w:val="FootnoteText"/>
      </w:pPr>
      <w:r w:rsidRPr="001D6546">
        <w:rPr>
          <w:rStyle w:val="FootnoteReference"/>
          <w:rFonts w:ascii="Times New Roman" w:hAnsi="Times New Roman" w:cs="Times New Roman"/>
        </w:rPr>
        <w:footnoteRef/>
      </w:r>
      <w:r>
        <w:t xml:space="preserve"> </w:t>
      </w:r>
      <w:bookmarkStart w:id="744" w:name="_Hlk529169904"/>
      <w:r>
        <w:rPr>
          <w:rFonts w:ascii="Times New Roman" w:hAnsi="Times New Roman" w:cs="Times New Roman"/>
          <w:smallCaps/>
        </w:rPr>
        <w:t>7</w:t>
      </w:r>
      <w:r w:rsidRPr="00115189">
        <w:rPr>
          <w:rFonts w:ascii="Times New Roman" w:hAnsi="Times New Roman" w:cs="Times New Roman"/>
          <w:smallCaps/>
        </w:rPr>
        <w:t xml:space="preserve"> Larson's Workers' Compensation Law § </w:t>
      </w:r>
      <w:r>
        <w:rPr>
          <w:rFonts w:ascii="Times New Roman" w:hAnsi="Times New Roman" w:cs="Times New Roman"/>
          <w:smallCaps/>
        </w:rPr>
        <w:t>83.08</w:t>
      </w:r>
      <w:bookmarkEnd w:id="744"/>
    </w:p>
  </w:footnote>
  <w:footnote w:id="535">
    <w:p w14:paraId="20D8CBA9" w14:textId="2323FA4D" w:rsidR="00336EDF" w:rsidRDefault="00336EDF">
      <w:pPr>
        <w:pStyle w:val="FootnoteText"/>
      </w:pPr>
      <w:r w:rsidRPr="003975DA">
        <w:rPr>
          <w:rStyle w:val="FootnoteReference"/>
          <w:rFonts w:ascii="Times New Roman" w:hAnsi="Times New Roman" w:cs="Times New Roman"/>
        </w:rPr>
        <w:footnoteRef/>
      </w:r>
      <w:r>
        <w:t xml:space="preserve"> </w:t>
      </w:r>
      <w:r w:rsidRPr="003975DA">
        <w:rPr>
          <w:rFonts w:ascii="Times New Roman" w:hAnsi="Times New Roman" w:cs="Times New Roman"/>
          <w:i/>
        </w:rPr>
        <w:t>Id</w:t>
      </w:r>
      <w:r w:rsidRPr="003975DA">
        <w:rPr>
          <w:rFonts w:ascii="Times New Roman" w:hAnsi="Times New Roman" w:cs="Times New Roman"/>
        </w:rPr>
        <w:t>. at § 83.01</w:t>
      </w:r>
    </w:p>
  </w:footnote>
  <w:footnote w:id="536">
    <w:p w14:paraId="0C19BA3F" w14:textId="56F8E726" w:rsidR="00336EDF" w:rsidRPr="00FE65FC" w:rsidRDefault="00336EDF" w:rsidP="00FE65FC">
      <w:pPr>
        <w:pStyle w:val="FootnoteText"/>
      </w:pPr>
      <w:r w:rsidRPr="003975DA">
        <w:rPr>
          <w:rStyle w:val="FootnoteReference"/>
          <w:rFonts w:ascii="Times New Roman" w:hAnsi="Times New Roman" w:cs="Times New Roman"/>
        </w:rPr>
        <w:footnoteRef/>
      </w:r>
      <w:r>
        <w:t xml:space="preserve"> </w:t>
      </w:r>
      <w:bookmarkStart w:id="746" w:name="_Hlk1319985"/>
      <w:r w:rsidRPr="00061D57">
        <w:rPr>
          <w:rFonts w:ascii="Times New Roman" w:hAnsi="Times New Roman" w:cs="Times New Roman"/>
          <w:smallCaps/>
        </w:rPr>
        <w:t xml:space="preserve">Workers’ Compensation: Benefits, Coverage and Costs, </w:t>
      </w:r>
      <w:r>
        <w:rPr>
          <w:rFonts w:ascii="Times New Roman" w:hAnsi="Times New Roman" w:cs="Times New Roman"/>
          <w:smallCaps/>
        </w:rPr>
        <w:t>T</w:t>
      </w:r>
      <w:r w:rsidRPr="00061D57">
        <w:rPr>
          <w:rFonts w:ascii="Times New Roman" w:hAnsi="Times New Roman" w:cs="Times New Roman"/>
          <w:smallCaps/>
        </w:rPr>
        <w:t>he National Academy of Social Insurance</w:t>
      </w:r>
      <w:r>
        <w:t xml:space="preserve"> </w:t>
      </w:r>
      <w:r>
        <w:rPr>
          <w:rFonts w:ascii="Times New Roman" w:hAnsi="Times New Roman" w:cs="Times New Roman"/>
        </w:rPr>
        <w:t>37</w:t>
      </w:r>
      <w:r w:rsidRPr="00061D57">
        <w:rPr>
          <w:rFonts w:ascii="Times New Roman" w:hAnsi="Times New Roman" w:cs="Times New Roman"/>
        </w:rPr>
        <w:t xml:space="preserve"> (2017), </w:t>
      </w:r>
      <w:hyperlink r:id="rId190" w:history="1">
        <w:r w:rsidRPr="00B33720">
          <w:rPr>
            <w:rStyle w:val="Hyperlink"/>
            <w:rFonts w:ascii="Times New Roman" w:hAnsi="Times New Roman" w:cs="Times New Roman"/>
          </w:rPr>
          <w:t>https://www.nasi.org/sites/default/files/research/NASI_Workers%20Comp%20Report%202017_web.pdf</w:t>
        </w:r>
      </w:hyperlink>
    </w:p>
    <w:bookmarkEnd w:id="746"/>
  </w:footnote>
  <w:footnote w:id="537">
    <w:p w14:paraId="46E9118A" w14:textId="7677E626" w:rsidR="00336EDF" w:rsidRPr="00061D57" w:rsidRDefault="00336EDF">
      <w:pPr>
        <w:pStyle w:val="FootnoteText"/>
        <w:rPr>
          <w:rFonts w:ascii="Times New Roman" w:hAnsi="Times New Roman" w:cs="Times New Roman"/>
        </w:rPr>
      </w:pPr>
      <w:r w:rsidRPr="00061D57">
        <w:rPr>
          <w:rStyle w:val="FootnoteReference"/>
          <w:rFonts w:ascii="Times New Roman" w:hAnsi="Times New Roman" w:cs="Times New Roman"/>
        </w:rPr>
        <w:footnoteRef/>
      </w:r>
      <w:r>
        <w:t xml:space="preserve"> </w:t>
      </w:r>
      <w:bookmarkStart w:id="748" w:name="_Hlk527296451"/>
      <w:r w:rsidRPr="00FE65FC">
        <w:rPr>
          <w:rFonts w:ascii="Times New Roman" w:hAnsi="Times New Roman" w:cs="Times New Roman"/>
          <w:i/>
        </w:rPr>
        <w:t>Id</w:t>
      </w:r>
      <w:r w:rsidRPr="00FE65FC">
        <w:rPr>
          <w:rFonts w:ascii="Times New Roman" w:hAnsi="Times New Roman" w:cs="Times New Roman"/>
        </w:rPr>
        <w:t>. at 6</w:t>
      </w:r>
    </w:p>
    <w:bookmarkEnd w:id="748"/>
  </w:footnote>
  <w:footnote w:id="538">
    <w:p w14:paraId="355977BD" w14:textId="26E61C6D" w:rsidR="00336EDF" w:rsidRDefault="00336EDF">
      <w:pPr>
        <w:pStyle w:val="FootnoteText"/>
      </w:pPr>
      <w:r w:rsidRPr="00715B14">
        <w:rPr>
          <w:rStyle w:val="FootnoteReference"/>
          <w:rFonts w:ascii="Times New Roman" w:hAnsi="Times New Roman" w:cs="Times New Roman"/>
        </w:rPr>
        <w:footnoteRef/>
      </w:r>
      <w:r>
        <w:t xml:space="preserve"> </w:t>
      </w:r>
      <w:bookmarkStart w:id="750" w:name="f511"/>
      <w:bookmarkEnd w:id="750"/>
      <w:r w:rsidRPr="00715B14">
        <w:rPr>
          <w:rFonts w:ascii="Times New Roman" w:hAnsi="Times New Roman" w:cs="Times New Roman"/>
          <w:i/>
        </w:rPr>
        <w:t>Id.</w:t>
      </w:r>
      <w:r w:rsidRPr="00715B14">
        <w:rPr>
          <w:rFonts w:ascii="Times New Roman" w:hAnsi="Times New Roman" w:cs="Times New Roman"/>
        </w:rPr>
        <w:t xml:space="preserve"> at 35</w:t>
      </w:r>
    </w:p>
  </w:footnote>
  <w:footnote w:id="539">
    <w:p w14:paraId="29EEF532" w14:textId="6F1A61C6" w:rsidR="00336EDF" w:rsidRDefault="00336EDF">
      <w:pPr>
        <w:pStyle w:val="FootnoteText"/>
      </w:pPr>
      <w:r w:rsidRPr="00AD19E1">
        <w:rPr>
          <w:rStyle w:val="FootnoteReference"/>
          <w:rFonts w:ascii="Times New Roman" w:hAnsi="Times New Roman" w:cs="Times New Roman"/>
        </w:rPr>
        <w:footnoteRef/>
      </w:r>
      <w:bookmarkStart w:id="751" w:name="f512"/>
      <w:bookmarkEnd w:id="751"/>
      <w:r w:rsidRPr="00AD19E1">
        <w:rPr>
          <w:rFonts w:ascii="Times New Roman" w:hAnsi="Times New Roman" w:cs="Times New Roman"/>
        </w:rPr>
        <w:t xml:space="preserve"> </w:t>
      </w:r>
      <w:r w:rsidRPr="00AD19E1">
        <w:rPr>
          <w:rFonts w:ascii="Times New Roman" w:hAnsi="Times New Roman" w:cs="Times New Roman"/>
          <w:i/>
        </w:rPr>
        <w:t>Id.</w:t>
      </w:r>
    </w:p>
  </w:footnote>
  <w:footnote w:id="540">
    <w:p w14:paraId="43DEB14D" w14:textId="184F3167" w:rsidR="00336EDF" w:rsidRPr="0083160B" w:rsidRDefault="00336EDF" w:rsidP="00B6785B">
      <w:pPr>
        <w:pStyle w:val="FootnoteText"/>
        <w:rPr>
          <w:rFonts w:ascii="Times New Roman" w:hAnsi="Times New Roman" w:cs="Times New Roman"/>
        </w:rPr>
      </w:pPr>
      <w:r w:rsidRPr="0083160B">
        <w:rPr>
          <w:rStyle w:val="FootnoteReference"/>
          <w:rFonts w:ascii="Times New Roman" w:hAnsi="Times New Roman" w:cs="Times New Roman"/>
        </w:rPr>
        <w:footnoteRef/>
      </w:r>
      <w:r w:rsidRPr="0083160B">
        <w:rPr>
          <w:rFonts w:ascii="Times New Roman" w:hAnsi="Times New Roman" w:cs="Times New Roman"/>
        </w:rPr>
        <w:t xml:space="preserve"> </w:t>
      </w:r>
      <w:bookmarkStart w:id="752" w:name="f513"/>
      <w:bookmarkEnd w:id="752"/>
      <w:r w:rsidRPr="0083160B">
        <w:rPr>
          <w:rFonts w:ascii="Times New Roman" w:hAnsi="Times New Roman" w:cs="Times New Roman"/>
          <w:i/>
        </w:rPr>
        <w:t>See</w:t>
      </w:r>
      <w:r w:rsidRPr="0083160B">
        <w:rPr>
          <w:rFonts w:ascii="Times New Roman" w:hAnsi="Times New Roman" w:cs="Times New Roman"/>
        </w:rPr>
        <w:t xml:space="preserve"> Peter S. Barth, “Compensating Workers for Permanent Partial Disabilities,” Social Security Bulletin, Vol. 65, No. 4, 2003/2004 </w:t>
      </w:r>
      <w:r w:rsidRPr="00120C85">
        <w:rPr>
          <w:rFonts w:ascii="Times New Roman" w:hAnsi="Times New Roman" w:cs="Times New Roman"/>
          <w:i/>
          <w:iCs/>
        </w:rPr>
        <w:t>available at</w:t>
      </w:r>
      <w:r w:rsidRPr="0083160B">
        <w:rPr>
          <w:rFonts w:ascii="Times New Roman" w:hAnsi="Times New Roman" w:cs="Times New Roman"/>
        </w:rPr>
        <w:t xml:space="preserve"> </w:t>
      </w:r>
      <w:hyperlink r:id="rId191" w:history="1">
        <w:r w:rsidRPr="00120C85">
          <w:rPr>
            <w:rStyle w:val="Hyperlink"/>
            <w:rFonts w:ascii="Times New Roman" w:hAnsi="Times New Roman" w:cs="Times New Roman"/>
          </w:rPr>
          <w:t>https://www.ssa.gov/policy/docs/ssb/v65n4/v65n4p16.html</w:t>
        </w:r>
      </w:hyperlink>
    </w:p>
  </w:footnote>
  <w:footnote w:id="541">
    <w:p w14:paraId="30D73000" w14:textId="240D49D9" w:rsidR="00336EDF" w:rsidRPr="00462524" w:rsidRDefault="00336EDF" w:rsidP="00462524">
      <w:pPr>
        <w:spacing w:after="0"/>
        <w:jc w:val="both"/>
        <w:rPr>
          <w:rFonts w:ascii="Times New Roman" w:hAnsi="Times New Roman" w:cs="Times New Roman"/>
          <w:sz w:val="20"/>
          <w:szCs w:val="20"/>
        </w:rPr>
      </w:pPr>
      <w:r w:rsidRPr="00462524">
        <w:rPr>
          <w:rStyle w:val="FootnoteReference"/>
          <w:rFonts w:ascii="Times New Roman" w:hAnsi="Times New Roman" w:cs="Times New Roman"/>
          <w:sz w:val="20"/>
          <w:szCs w:val="20"/>
        </w:rPr>
        <w:footnoteRef/>
      </w:r>
      <w:r w:rsidRPr="00462524">
        <w:rPr>
          <w:rFonts w:ascii="Times New Roman" w:hAnsi="Times New Roman" w:cs="Times New Roman"/>
          <w:sz w:val="20"/>
          <w:szCs w:val="20"/>
        </w:rPr>
        <w:t xml:space="preserve"> </w:t>
      </w:r>
      <w:bookmarkStart w:id="755" w:name="f514"/>
      <w:bookmarkEnd w:id="755"/>
      <w:r w:rsidRPr="00462524">
        <w:rPr>
          <w:rFonts w:ascii="Times New Roman" w:hAnsi="Times New Roman" w:cs="Times New Roman"/>
          <w:sz w:val="20"/>
          <w:szCs w:val="20"/>
        </w:rPr>
        <w:t xml:space="preserve">Pacific Power and Light v. Parsons, </w:t>
      </w:r>
      <w:hyperlink r:id="rId192" w:history="1">
        <w:r w:rsidRPr="00120C85">
          <w:rPr>
            <w:rStyle w:val="Hyperlink"/>
            <w:rFonts w:ascii="Times New Roman" w:hAnsi="Times New Roman" w:cs="Times New Roman"/>
            <w:sz w:val="20"/>
            <w:szCs w:val="20"/>
          </w:rPr>
          <w:t>692 P.2d 226</w:t>
        </w:r>
      </w:hyperlink>
      <w:r w:rsidRPr="00462524">
        <w:rPr>
          <w:rFonts w:ascii="Times New Roman" w:hAnsi="Times New Roman" w:cs="Times New Roman"/>
          <w:sz w:val="20"/>
          <w:szCs w:val="20"/>
        </w:rPr>
        <w:t xml:space="preserve">, 228 (Wyo. 1984); </w:t>
      </w:r>
      <w:r w:rsidRPr="00462524">
        <w:rPr>
          <w:rFonts w:ascii="Times New Roman" w:hAnsi="Times New Roman" w:cs="Times New Roman"/>
          <w:i/>
          <w:sz w:val="20"/>
          <w:szCs w:val="20"/>
        </w:rPr>
        <w:t xml:space="preserve">accord </w:t>
      </w:r>
      <w:r w:rsidRPr="00462524">
        <w:rPr>
          <w:rFonts w:ascii="Times New Roman" w:hAnsi="Times New Roman" w:cs="Times New Roman"/>
          <w:sz w:val="20"/>
          <w:szCs w:val="20"/>
        </w:rPr>
        <w:t xml:space="preserve">Coggins v. Department of Workforce Services, Workers’ Compensation Division, </w:t>
      </w:r>
      <w:hyperlink r:id="rId193" w:history="1">
        <w:r w:rsidRPr="00120C85">
          <w:rPr>
            <w:rStyle w:val="Hyperlink"/>
            <w:rFonts w:ascii="Times New Roman" w:hAnsi="Times New Roman" w:cs="Times New Roman"/>
            <w:sz w:val="20"/>
            <w:szCs w:val="20"/>
          </w:rPr>
          <w:t>421 P.3d 555</w:t>
        </w:r>
      </w:hyperlink>
      <w:r w:rsidRPr="00462524">
        <w:rPr>
          <w:rFonts w:ascii="Times New Roman" w:hAnsi="Times New Roman" w:cs="Times New Roman"/>
          <w:sz w:val="20"/>
          <w:szCs w:val="20"/>
        </w:rPr>
        <w:t>, 560 (Wyo. 2018)</w:t>
      </w:r>
      <w:r>
        <w:rPr>
          <w:rFonts w:ascii="Times New Roman" w:hAnsi="Times New Roman" w:cs="Times New Roman"/>
          <w:sz w:val="20"/>
          <w:szCs w:val="20"/>
        </w:rPr>
        <w:t xml:space="preserve">; </w:t>
      </w:r>
      <w:r w:rsidRPr="00462524">
        <w:rPr>
          <w:rFonts w:ascii="Times New Roman" w:hAnsi="Times New Roman" w:cs="Times New Roman"/>
          <w:sz w:val="20"/>
          <w:szCs w:val="20"/>
        </w:rPr>
        <w:t>Phillips v. TIC-The Indus. Co. of Wyoming, Inc.</w:t>
      </w:r>
      <w:r>
        <w:rPr>
          <w:rFonts w:ascii="Times New Roman" w:hAnsi="Times New Roman" w:cs="Times New Roman"/>
          <w:sz w:val="20"/>
          <w:szCs w:val="20"/>
        </w:rPr>
        <w:t xml:space="preserve">, </w:t>
      </w:r>
      <w:hyperlink r:id="rId194" w:history="1">
        <w:r w:rsidRPr="00120C85">
          <w:rPr>
            <w:rStyle w:val="Hyperlink"/>
            <w:rFonts w:ascii="Times New Roman" w:hAnsi="Times New Roman" w:cs="Times New Roman"/>
            <w:sz w:val="20"/>
            <w:szCs w:val="20"/>
          </w:rPr>
          <w:t>109 P.3d 520</w:t>
        </w:r>
      </w:hyperlink>
      <w:r>
        <w:rPr>
          <w:rFonts w:ascii="Times New Roman" w:hAnsi="Times New Roman" w:cs="Times New Roman"/>
          <w:sz w:val="20"/>
          <w:szCs w:val="20"/>
        </w:rPr>
        <w:t>, 532 (Wyo. 2005).</w:t>
      </w:r>
    </w:p>
  </w:footnote>
  <w:footnote w:id="542">
    <w:p w14:paraId="421E4BF6" w14:textId="04EF2C8C" w:rsidR="00336EDF" w:rsidRDefault="00336EDF" w:rsidP="002C7166">
      <w:pPr>
        <w:pStyle w:val="FootnoteText"/>
        <w:jc w:val="both"/>
      </w:pPr>
      <w:r w:rsidRPr="00FE5311">
        <w:rPr>
          <w:rStyle w:val="FootnoteReference"/>
          <w:rFonts w:ascii="Times New Roman" w:hAnsi="Times New Roman" w:cs="Times New Roman"/>
        </w:rPr>
        <w:footnoteRef/>
      </w:r>
      <w:bookmarkStart w:id="756" w:name="f515"/>
      <w:bookmarkEnd w:id="756"/>
      <w:r w:rsidRPr="00FE5311">
        <w:rPr>
          <w:rFonts w:ascii="Times New Roman" w:hAnsi="Times New Roman" w:cs="Times New Roman"/>
        </w:rPr>
        <w:t xml:space="preserve"> </w:t>
      </w:r>
      <w:r w:rsidRPr="00FE5311">
        <w:rPr>
          <w:rFonts w:ascii="Times New Roman" w:hAnsi="Times New Roman" w:cs="Times New Roman"/>
          <w:i/>
        </w:rPr>
        <w:t>Quoted in</w:t>
      </w:r>
      <w:r w:rsidRPr="00FE5311">
        <w:rPr>
          <w:rFonts w:ascii="Times New Roman" w:hAnsi="Times New Roman" w:cs="Times New Roman"/>
        </w:rPr>
        <w:t xml:space="preserve"> Workers</w:t>
      </w:r>
      <w:r>
        <w:rPr>
          <w:rFonts w:ascii="Times New Roman" w:hAnsi="Times New Roman" w:cs="Times New Roman"/>
        </w:rPr>
        <w:t>’</w:t>
      </w:r>
      <w:r w:rsidRPr="00FE5311">
        <w:rPr>
          <w:rFonts w:ascii="Times New Roman" w:hAnsi="Times New Roman" w:cs="Times New Roman"/>
        </w:rPr>
        <w:t xml:space="preserve"> Safety </w:t>
      </w:r>
      <w:r>
        <w:rPr>
          <w:rFonts w:ascii="Times New Roman" w:hAnsi="Times New Roman" w:cs="Times New Roman"/>
        </w:rPr>
        <w:t>&amp;</w:t>
      </w:r>
      <w:r w:rsidRPr="00FE5311">
        <w:rPr>
          <w:rFonts w:ascii="Times New Roman" w:hAnsi="Times New Roman" w:cs="Times New Roman"/>
        </w:rPr>
        <w:t xml:space="preserve"> Compensation Div. v. Smith</w:t>
      </w:r>
      <w:r>
        <w:rPr>
          <w:rFonts w:ascii="Times New Roman" w:hAnsi="Times New Roman" w:cs="Times New Roman"/>
        </w:rPr>
        <w:t xml:space="preserve">, </w:t>
      </w:r>
      <w:hyperlink r:id="rId195" w:history="1">
        <w:r w:rsidRPr="00120C85">
          <w:rPr>
            <w:rStyle w:val="Hyperlink"/>
            <w:rFonts w:ascii="Times New Roman" w:hAnsi="Times New Roman" w:cs="Times New Roman"/>
          </w:rPr>
          <w:t>296 P.3d 939</w:t>
        </w:r>
      </w:hyperlink>
      <w:r>
        <w:rPr>
          <w:rFonts w:ascii="Times New Roman" w:hAnsi="Times New Roman" w:cs="Times New Roman"/>
        </w:rPr>
        <w:t>, 942 (Wyo. 2013).</w:t>
      </w:r>
    </w:p>
  </w:footnote>
  <w:footnote w:id="543">
    <w:p w14:paraId="3F0A97BC" w14:textId="668CA6F6" w:rsidR="00336EDF" w:rsidRDefault="00336EDF">
      <w:pPr>
        <w:pStyle w:val="FootnoteText"/>
      </w:pPr>
      <w:r w:rsidRPr="00133173">
        <w:rPr>
          <w:rStyle w:val="FootnoteReference"/>
          <w:rFonts w:ascii="Times New Roman" w:hAnsi="Times New Roman" w:cs="Times New Roman"/>
        </w:rPr>
        <w:footnoteRef/>
      </w:r>
      <w:bookmarkStart w:id="758" w:name="f516"/>
      <w:bookmarkEnd w:id="758"/>
      <w:r>
        <w:t xml:space="preserve"> </w:t>
      </w:r>
      <w:r w:rsidRPr="00133173">
        <w:rPr>
          <w:rFonts w:ascii="Times New Roman" w:hAnsi="Times New Roman" w:cs="Times New Roman"/>
          <w:i/>
        </w:rPr>
        <w:t>Id. quoting</w:t>
      </w:r>
      <w:r w:rsidRPr="00133173">
        <w:rPr>
          <w:rFonts w:ascii="Times New Roman" w:hAnsi="Times New Roman" w:cs="Times New Roman"/>
        </w:rPr>
        <w:t xml:space="preserve"> Wyoming Rules and Regulations</w:t>
      </w:r>
      <w:r>
        <w:rPr>
          <w:rFonts w:ascii="Times New Roman" w:hAnsi="Times New Roman" w:cs="Times New Roman"/>
        </w:rPr>
        <w:t>,</w:t>
      </w:r>
      <w:r w:rsidRPr="00133173">
        <w:rPr>
          <w:rFonts w:ascii="Times New Roman" w:hAnsi="Times New Roman" w:cs="Times New Roman"/>
        </w:rPr>
        <w:t xml:space="preserve"> WSD WCD Ch. 7, § 2, WY ADC WSD WCD Ch. 7, § 2</w:t>
      </w:r>
    </w:p>
  </w:footnote>
  <w:footnote w:id="544">
    <w:p w14:paraId="18197EF1" w14:textId="16D1D6D8" w:rsidR="00336EDF" w:rsidRDefault="00336EDF">
      <w:pPr>
        <w:pStyle w:val="FootnoteText"/>
      </w:pPr>
      <w:r w:rsidRPr="00B864ED">
        <w:rPr>
          <w:rStyle w:val="FootnoteReference"/>
          <w:rFonts w:ascii="Times New Roman" w:hAnsi="Times New Roman" w:cs="Times New Roman"/>
        </w:rPr>
        <w:footnoteRef/>
      </w:r>
      <w:r>
        <w:t xml:space="preserve"> </w:t>
      </w:r>
      <w:bookmarkStart w:id="759" w:name="f517"/>
      <w:bookmarkEnd w:id="759"/>
      <w:r w:rsidRPr="00B864ED">
        <w:rPr>
          <w:rFonts w:ascii="Times New Roman" w:hAnsi="Times New Roman" w:cs="Times New Roman"/>
          <w:i/>
        </w:rPr>
        <w:t>Id</w:t>
      </w:r>
      <w:r w:rsidRPr="00B864ED">
        <w:rPr>
          <w:rFonts w:ascii="Times New Roman" w:hAnsi="Times New Roman" w:cs="Times New Roman"/>
        </w:rPr>
        <w:t>.</w:t>
      </w:r>
    </w:p>
  </w:footnote>
  <w:footnote w:id="545">
    <w:p w14:paraId="453E9624" w14:textId="31D2BD8B" w:rsidR="00336EDF" w:rsidRDefault="00336EDF" w:rsidP="00DD14BA">
      <w:pPr>
        <w:pStyle w:val="FootnoteText"/>
        <w:jc w:val="both"/>
      </w:pPr>
      <w:r w:rsidRPr="00DD14BA">
        <w:rPr>
          <w:rStyle w:val="FootnoteReference"/>
          <w:rFonts w:ascii="Times New Roman" w:hAnsi="Times New Roman" w:cs="Times New Roman"/>
        </w:rPr>
        <w:footnoteRef/>
      </w:r>
      <w:r>
        <w:t xml:space="preserve"> </w:t>
      </w:r>
      <w:bookmarkStart w:id="760" w:name="f518"/>
      <w:bookmarkEnd w:id="760"/>
      <w:r w:rsidRPr="003046AD">
        <w:rPr>
          <w:rFonts w:ascii="Times New Roman" w:hAnsi="Times New Roman" w:cs="Times New Roman"/>
        </w:rPr>
        <w:t>W.S.</w:t>
      </w:r>
      <w:r w:rsidRPr="003046AD">
        <w:t xml:space="preserve"> </w:t>
      </w:r>
      <w:r w:rsidRPr="003046AD">
        <w:rPr>
          <w:rFonts w:ascii="Times New Roman" w:hAnsi="Times New Roman" w:cs="Times New Roman"/>
        </w:rPr>
        <w:t xml:space="preserve">§ </w:t>
      </w:r>
      <w:hyperlink r:id="rId196" w:history="1">
        <w:r w:rsidRPr="003046AD">
          <w:rPr>
            <w:rStyle w:val="Hyperlink"/>
            <w:rFonts w:ascii="Times New Roman" w:hAnsi="Times New Roman" w:cs="Times New Roman"/>
          </w:rPr>
          <w:t>27–14–404</w:t>
        </w:r>
      </w:hyperlink>
      <w:r w:rsidRPr="002D19E9">
        <w:rPr>
          <w:rFonts w:ascii="Times New Roman" w:hAnsi="Times New Roman" w:cs="Times New Roman"/>
        </w:rPr>
        <w:t>(b)(ii)</w:t>
      </w:r>
      <w:r w:rsidRPr="00DD14BA">
        <w:rPr>
          <w:rFonts w:ascii="Times New Roman" w:hAnsi="Times New Roman" w:cs="Times New Roman"/>
        </w:rPr>
        <w:t xml:space="preserve"> is not applicable to</w:t>
      </w:r>
      <w:r w:rsidRPr="002D19E9">
        <w:rPr>
          <w:rFonts w:ascii="Times New Roman" w:hAnsi="Times New Roman" w:cs="Times New Roman"/>
          <w:i/>
        </w:rPr>
        <w:t xml:space="preserve"> second</w:t>
      </w:r>
      <w:r w:rsidRPr="00DD14BA">
        <w:rPr>
          <w:rFonts w:ascii="Times New Roman" w:hAnsi="Times New Roman" w:cs="Times New Roman"/>
        </w:rPr>
        <w:t xml:space="preserve"> compensable injuries.</w:t>
      </w:r>
      <w:r w:rsidRPr="002D19E9">
        <w:rPr>
          <w:rFonts w:ascii="Times New Roman" w:hAnsi="Times New Roman" w:cs="Times New Roman"/>
          <w:i/>
        </w:rPr>
        <w:t xml:space="preserve"> See</w:t>
      </w:r>
      <w:r w:rsidRPr="00DD14BA">
        <w:rPr>
          <w:rFonts w:ascii="Times New Roman" w:hAnsi="Times New Roman" w:cs="Times New Roman"/>
        </w:rPr>
        <w:t xml:space="preserve"> </w:t>
      </w:r>
      <w:r>
        <w:rPr>
          <w:rFonts w:ascii="Times New Roman" w:hAnsi="Times New Roman" w:cs="Times New Roman"/>
        </w:rPr>
        <w:t>T</w:t>
      </w:r>
      <w:r w:rsidRPr="00DD14BA">
        <w:rPr>
          <w:rFonts w:ascii="Times New Roman" w:hAnsi="Times New Roman" w:cs="Times New Roman"/>
        </w:rPr>
        <w:t xml:space="preserve">reatise above at </w:t>
      </w:r>
      <w:r>
        <w:rPr>
          <w:rFonts w:ascii="Times New Roman" w:hAnsi="Times New Roman" w:cs="Times New Roman"/>
        </w:rPr>
        <w:t>S</w:t>
      </w:r>
      <w:r w:rsidRPr="00DD14BA">
        <w:rPr>
          <w:rFonts w:ascii="Times New Roman" w:hAnsi="Times New Roman" w:cs="Times New Roman"/>
        </w:rPr>
        <w:t>ection 3.10.</w:t>
      </w:r>
      <w:r>
        <w:rPr>
          <w:rFonts w:ascii="Times New Roman" w:hAnsi="Times New Roman" w:cs="Times New Roman"/>
        </w:rPr>
        <w:t xml:space="preserve"> T</w:t>
      </w:r>
      <w:r w:rsidRPr="00DD14BA">
        <w:rPr>
          <w:rFonts w:ascii="Times New Roman" w:hAnsi="Times New Roman" w:cs="Times New Roman"/>
        </w:rPr>
        <w:t xml:space="preserve">he 24-month limitation applies to all injuries resulting from </w:t>
      </w:r>
      <w:r w:rsidRPr="002D19E9">
        <w:rPr>
          <w:rFonts w:ascii="Times New Roman" w:hAnsi="Times New Roman" w:cs="Times New Roman"/>
          <w:i/>
        </w:rPr>
        <w:t>any one incident or accident</w:t>
      </w:r>
      <w:r w:rsidRPr="00DD14BA">
        <w:rPr>
          <w:rFonts w:ascii="Times New Roman" w:hAnsi="Times New Roman" w:cs="Times New Roman"/>
        </w:rPr>
        <w:t>, encompassing situations in which the claimant receives multiple injuries simultaneously or a subsequent compensable injury as the result of a single workplace accident.</w:t>
      </w:r>
      <w:r>
        <w:rPr>
          <w:rFonts w:ascii="Times New Roman" w:hAnsi="Times New Roman" w:cs="Times New Roman"/>
        </w:rPr>
        <w:t xml:space="preserve"> Matter of Hall, </w:t>
      </w:r>
      <w:hyperlink r:id="rId197" w:history="1">
        <w:r w:rsidRPr="00082D65">
          <w:rPr>
            <w:rStyle w:val="Hyperlink"/>
            <w:rFonts w:ascii="Times New Roman" w:hAnsi="Times New Roman" w:cs="Times New Roman"/>
          </w:rPr>
          <w:t>414 P.3d 622</w:t>
        </w:r>
      </w:hyperlink>
      <w:r>
        <w:rPr>
          <w:rFonts w:ascii="Times New Roman" w:hAnsi="Times New Roman" w:cs="Times New Roman"/>
        </w:rPr>
        <w:t>, 628 (Wyo. 2018).</w:t>
      </w:r>
    </w:p>
  </w:footnote>
  <w:footnote w:id="546">
    <w:p w14:paraId="45B28214" w14:textId="52BF499C" w:rsidR="00336EDF" w:rsidRDefault="00336EDF">
      <w:pPr>
        <w:pStyle w:val="FootnoteText"/>
      </w:pPr>
      <w:r w:rsidRPr="00D36597">
        <w:rPr>
          <w:rStyle w:val="FootnoteReference"/>
          <w:rFonts w:ascii="Times New Roman" w:hAnsi="Times New Roman" w:cs="Times New Roman"/>
        </w:rPr>
        <w:footnoteRef/>
      </w:r>
      <w:bookmarkStart w:id="761" w:name="f519"/>
      <w:bookmarkEnd w:id="761"/>
      <w:r w:rsidRPr="00D36597">
        <w:rPr>
          <w:rFonts w:ascii="Times New Roman" w:hAnsi="Times New Roman" w:cs="Times New Roman"/>
        </w:rPr>
        <w:t xml:space="preserve"> </w:t>
      </w:r>
      <w:hyperlink r:id="rId198" w:history="1">
        <w:r w:rsidRPr="00082D65">
          <w:rPr>
            <w:rStyle w:val="Hyperlink"/>
            <w:rFonts w:ascii="Times New Roman" w:hAnsi="Times New Roman" w:cs="Times New Roman"/>
          </w:rPr>
          <w:t>326 P.3d 177</w:t>
        </w:r>
      </w:hyperlink>
      <w:r w:rsidRPr="00D36597">
        <w:rPr>
          <w:rFonts w:ascii="Times New Roman" w:hAnsi="Times New Roman" w:cs="Times New Roman"/>
        </w:rPr>
        <w:t xml:space="preserve"> (2014)</w:t>
      </w:r>
    </w:p>
  </w:footnote>
  <w:footnote w:id="547">
    <w:p w14:paraId="09A0F1D8" w14:textId="789B679C" w:rsidR="00336EDF" w:rsidRDefault="00336EDF">
      <w:pPr>
        <w:pStyle w:val="FootnoteText"/>
      </w:pPr>
      <w:r w:rsidRPr="003E6510">
        <w:rPr>
          <w:rStyle w:val="FootnoteReference"/>
          <w:rFonts w:ascii="Times New Roman" w:hAnsi="Times New Roman" w:cs="Times New Roman"/>
        </w:rPr>
        <w:footnoteRef/>
      </w:r>
      <w:r w:rsidRPr="003E6510">
        <w:rPr>
          <w:rFonts w:ascii="Times New Roman" w:hAnsi="Times New Roman" w:cs="Times New Roman"/>
        </w:rPr>
        <w:t xml:space="preserve"> </w:t>
      </w:r>
      <w:bookmarkStart w:id="762" w:name="f520"/>
      <w:bookmarkEnd w:id="762"/>
      <w:r w:rsidRPr="003E6510">
        <w:rPr>
          <w:rFonts w:ascii="Times New Roman" w:hAnsi="Times New Roman" w:cs="Times New Roman"/>
          <w:i/>
        </w:rPr>
        <w:t>Id</w:t>
      </w:r>
      <w:r w:rsidRPr="003E6510">
        <w:rPr>
          <w:rFonts w:ascii="Times New Roman" w:hAnsi="Times New Roman" w:cs="Times New Roman"/>
        </w:rPr>
        <w:t>. at 181</w:t>
      </w:r>
      <w:r>
        <w:rPr>
          <w:rFonts w:ascii="Times New Roman" w:hAnsi="Times New Roman" w:cs="Times New Roman"/>
        </w:rPr>
        <w:t xml:space="preserve">. The </w:t>
      </w:r>
      <w:r w:rsidRPr="00133173">
        <w:rPr>
          <w:rFonts w:ascii="Times New Roman" w:hAnsi="Times New Roman" w:cs="Times New Roman"/>
          <w:i/>
        </w:rPr>
        <w:t>ultra vires</w:t>
      </w:r>
      <w:r>
        <w:rPr>
          <w:rFonts w:ascii="Times New Roman" w:hAnsi="Times New Roman" w:cs="Times New Roman"/>
        </w:rPr>
        <w:t xml:space="preserve"> 12-month administrative cap, </w:t>
      </w:r>
      <w:r w:rsidRPr="00133173">
        <w:rPr>
          <w:rFonts w:ascii="Times New Roman" w:hAnsi="Times New Roman" w:cs="Times New Roman"/>
          <w:i/>
        </w:rPr>
        <w:t>see</w:t>
      </w:r>
      <w:r>
        <w:rPr>
          <w:rFonts w:ascii="Times New Roman" w:hAnsi="Times New Roman" w:cs="Times New Roman"/>
          <w:i/>
        </w:rPr>
        <w:t xml:space="preserve"> rules</w:t>
      </w:r>
      <w:r w:rsidRPr="00133173">
        <w:rPr>
          <w:rFonts w:ascii="Times New Roman" w:hAnsi="Times New Roman" w:cs="Times New Roman"/>
          <w:i/>
        </w:rPr>
        <w:t xml:space="preserve"> supra</w:t>
      </w:r>
      <w:r>
        <w:rPr>
          <w:rFonts w:ascii="Times New Roman" w:hAnsi="Times New Roman" w:cs="Times New Roman"/>
        </w:rPr>
        <w:t>., appears to have been removed as of September 6, 2018.</w:t>
      </w:r>
    </w:p>
  </w:footnote>
  <w:footnote w:id="548">
    <w:p w14:paraId="47D07E51" w14:textId="3BAC324E" w:rsidR="00336EDF" w:rsidRPr="00091076" w:rsidRDefault="00336EDF">
      <w:pPr>
        <w:pStyle w:val="FootnoteText"/>
        <w:rPr>
          <w:rFonts w:ascii="Times New Roman" w:hAnsi="Times New Roman" w:cs="Times New Roman"/>
        </w:rPr>
      </w:pPr>
      <w:r w:rsidRPr="00C60B12">
        <w:rPr>
          <w:rStyle w:val="FootnoteReference"/>
          <w:rFonts w:ascii="Times New Roman" w:hAnsi="Times New Roman" w:cs="Times New Roman"/>
        </w:rPr>
        <w:footnoteRef/>
      </w:r>
      <w:r w:rsidRPr="00C60B12">
        <w:rPr>
          <w:rFonts w:ascii="Times New Roman" w:hAnsi="Times New Roman" w:cs="Times New Roman"/>
        </w:rPr>
        <w:t xml:space="preserve"> </w:t>
      </w:r>
      <w:bookmarkStart w:id="765" w:name="f521"/>
      <w:bookmarkEnd w:id="765"/>
      <w:r w:rsidRPr="00091076">
        <w:rPr>
          <w:rFonts w:ascii="Times New Roman" w:hAnsi="Times New Roman" w:cs="Times New Roman"/>
          <w:i/>
        </w:rPr>
        <w:t>See also</w:t>
      </w:r>
      <w:r w:rsidRPr="00091076">
        <w:rPr>
          <w:rFonts w:ascii="Times New Roman" w:hAnsi="Times New Roman" w:cs="Times New Roman"/>
        </w:rPr>
        <w:t xml:space="preserve"> </w:t>
      </w:r>
      <w:bookmarkStart w:id="766" w:name="_Hlk532313803"/>
      <w:r w:rsidRPr="00091076">
        <w:rPr>
          <w:rFonts w:ascii="Times New Roman" w:hAnsi="Times New Roman" w:cs="Times New Roman"/>
        </w:rPr>
        <w:t xml:space="preserve">Wyoming Rules </w:t>
      </w:r>
      <w:r>
        <w:rPr>
          <w:rFonts w:ascii="Times New Roman" w:hAnsi="Times New Roman" w:cs="Times New Roman"/>
        </w:rPr>
        <w:t>a</w:t>
      </w:r>
      <w:r w:rsidRPr="00091076">
        <w:rPr>
          <w:rFonts w:ascii="Times New Roman" w:hAnsi="Times New Roman" w:cs="Times New Roman"/>
        </w:rPr>
        <w:t>nd Regulations</w:t>
      </w:r>
      <w:bookmarkEnd w:id="766"/>
      <w:r w:rsidRPr="00091076">
        <w:rPr>
          <w:rFonts w:ascii="Times New Roman" w:hAnsi="Times New Roman" w:cs="Times New Roman"/>
        </w:rPr>
        <w:t xml:space="preserve">, </w:t>
      </w:r>
      <w:r w:rsidRPr="00C60B12">
        <w:rPr>
          <w:rFonts w:ascii="Times New Roman" w:hAnsi="Times New Roman" w:cs="Times New Roman"/>
        </w:rPr>
        <w:t>WY Rules and Regulations 053.0021.7 § 1</w:t>
      </w:r>
      <w:r>
        <w:rPr>
          <w:rFonts w:ascii="Times New Roman" w:hAnsi="Times New Roman" w:cs="Times New Roman"/>
        </w:rPr>
        <w:t xml:space="preserve"> (a)(i);</w:t>
      </w:r>
      <w:r w:rsidRPr="00C60B12">
        <w:rPr>
          <w:rFonts w:ascii="Times New Roman" w:hAnsi="Times New Roman" w:cs="Times New Roman"/>
        </w:rPr>
        <w:t xml:space="preserve"> </w:t>
      </w:r>
      <w:r w:rsidRPr="00091076">
        <w:rPr>
          <w:rFonts w:ascii="Times New Roman" w:hAnsi="Times New Roman" w:cs="Times New Roman"/>
        </w:rPr>
        <w:t>WY ADC WSD WCD Ch. 7, § 1</w:t>
      </w:r>
      <w:r>
        <w:rPr>
          <w:rFonts w:ascii="Times New Roman" w:hAnsi="Times New Roman" w:cs="Times New Roman"/>
        </w:rPr>
        <w:t xml:space="preserve"> (a)(i)</w:t>
      </w:r>
    </w:p>
  </w:footnote>
  <w:footnote w:id="549">
    <w:p w14:paraId="7EC3C283" w14:textId="2E7886C6" w:rsidR="00336EDF" w:rsidRDefault="00336EDF">
      <w:pPr>
        <w:pStyle w:val="FootnoteText"/>
      </w:pPr>
      <w:r w:rsidRPr="004872FB">
        <w:rPr>
          <w:rStyle w:val="FootnoteReference"/>
          <w:rFonts w:ascii="Times New Roman" w:hAnsi="Times New Roman" w:cs="Times New Roman"/>
        </w:rPr>
        <w:footnoteRef/>
      </w:r>
      <w:r>
        <w:t xml:space="preserve"> </w:t>
      </w:r>
      <w:r w:rsidRPr="004872FB">
        <w:rPr>
          <w:rFonts w:ascii="Times New Roman" w:hAnsi="Times New Roman" w:cs="Times New Roman"/>
        </w:rPr>
        <w:t xml:space="preserve">W.S. § </w:t>
      </w:r>
      <w:hyperlink r:id="rId199" w:history="1">
        <w:r w:rsidRPr="004872FB">
          <w:rPr>
            <w:rStyle w:val="Hyperlink"/>
            <w:rFonts w:ascii="Times New Roman" w:hAnsi="Times New Roman" w:cs="Times New Roman"/>
          </w:rPr>
          <w:t>27-14-102</w:t>
        </w:r>
      </w:hyperlink>
      <w:r w:rsidRPr="004872FB">
        <w:rPr>
          <w:rFonts w:ascii="Times New Roman" w:hAnsi="Times New Roman" w:cs="Times New Roman"/>
        </w:rPr>
        <w:t>(a)(xvi).</w:t>
      </w:r>
    </w:p>
  </w:footnote>
  <w:footnote w:id="550">
    <w:p w14:paraId="0D24A5F9" w14:textId="5BC2186F" w:rsidR="00336EDF" w:rsidRPr="00F47A33" w:rsidRDefault="00336EDF" w:rsidP="004146EE">
      <w:pPr>
        <w:pStyle w:val="FootnoteText"/>
        <w:jc w:val="both"/>
        <w:rPr>
          <w:rFonts w:ascii="Times New Roman" w:hAnsi="Times New Roman" w:cs="Times New Roman"/>
        </w:rPr>
      </w:pPr>
      <w:r w:rsidRPr="00F47A33">
        <w:rPr>
          <w:rStyle w:val="FootnoteReference"/>
          <w:rFonts w:ascii="Times New Roman" w:hAnsi="Times New Roman" w:cs="Times New Roman"/>
        </w:rPr>
        <w:footnoteRef/>
      </w:r>
      <w:r w:rsidRPr="00F47A33">
        <w:rPr>
          <w:rFonts w:ascii="Times New Roman" w:hAnsi="Times New Roman" w:cs="Times New Roman"/>
        </w:rPr>
        <w:t xml:space="preserve"> </w:t>
      </w:r>
      <w:bookmarkStart w:id="770" w:name="f522"/>
      <w:bookmarkEnd w:id="770"/>
      <w:r w:rsidRPr="00F47A33">
        <w:rPr>
          <w:rFonts w:ascii="Times New Roman" w:hAnsi="Times New Roman" w:cs="Times New Roman"/>
        </w:rPr>
        <w:t xml:space="preserve">Sherwood v. Gooch Milling &amp; Elevator Co., </w:t>
      </w:r>
      <w:hyperlink r:id="rId200" w:history="1">
        <w:r w:rsidRPr="00082D65">
          <w:rPr>
            <w:rStyle w:val="Hyperlink"/>
            <w:rFonts w:ascii="Times New Roman" w:hAnsi="Times New Roman" w:cs="Times New Roman"/>
          </w:rPr>
          <w:t>453 N.W.2d 461</w:t>
        </w:r>
      </w:hyperlink>
      <w:r>
        <w:rPr>
          <w:rFonts w:ascii="Times New Roman" w:hAnsi="Times New Roman" w:cs="Times New Roman"/>
        </w:rPr>
        <w:t>, 467</w:t>
      </w:r>
      <w:r w:rsidRPr="00F47A33">
        <w:rPr>
          <w:rFonts w:ascii="Times New Roman" w:hAnsi="Times New Roman" w:cs="Times New Roman"/>
        </w:rPr>
        <w:t xml:space="preserve"> (</w:t>
      </w:r>
      <w:r>
        <w:rPr>
          <w:rFonts w:ascii="Times New Roman" w:hAnsi="Times New Roman" w:cs="Times New Roman"/>
        </w:rPr>
        <w:t xml:space="preserve">Neb. </w:t>
      </w:r>
      <w:r w:rsidRPr="00F47A33">
        <w:rPr>
          <w:rFonts w:ascii="Times New Roman" w:hAnsi="Times New Roman" w:cs="Times New Roman"/>
        </w:rPr>
        <w:t>1990)</w:t>
      </w:r>
      <w:r>
        <w:rPr>
          <w:rFonts w:ascii="Times New Roman" w:hAnsi="Times New Roman" w:cs="Times New Roman"/>
        </w:rPr>
        <w:t xml:space="preserve">. The principle is emphasized in </w:t>
      </w:r>
      <w:bookmarkStart w:id="771" w:name="_Hlk530327898"/>
      <w:r>
        <w:rPr>
          <w:rFonts w:ascii="Times New Roman" w:hAnsi="Times New Roman" w:cs="Times New Roman"/>
          <w:smallCaps/>
        </w:rPr>
        <w:t>7</w:t>
      </w:r>
      <w:r w:rsidRPr="00115189">
        <w:rPr>
          <w:rFonts w:ascii="Times New Roman" w:hAnsi="Times New Roman" w:cs="Times New Roman"/>
          <w:smallCaps/>
        </w:rPr>
        <w:t xml:space="preserve"> Larson's Workers' Compensation Law § </w:t>
      </w:r>
      <w:r>
        <w:rPr>
          <w:rFonts w:ascii="Times New Roman" w:hAnsi="Times New Roman" w:cs="Times New Roman"/>
          <w:smallCaps/>
        </w:rPr>
        <w:t>83.01.</w:t>
      </w:r>
    </w:p>
    <w:bookmarkEnd w:id="771"/>
  </w:footnote>
  <w:footnote w:id="551">
    <w:p w14:paraId="57AF4D9E" w14:textId="3B66035A" w:rsidR="00336EDF" w:rsidRPr="00356B02" w:rsidRDefault="00336EDF" w:rsidP="00356B02">
      <w:pPr>
        <w:pStyle w:val="FootnoteText"/>
        <w:jc w:val="both"/>
        <w:rPr>
          <w:rFonts w:ascii="Times New Roman" w:hAnsi="Times New Roman" w:cs="Times New Roman"/>
        </w:rPr>
      </w:pPr>
      <w:r w:rsidRPr="00356B02">
        <w:rPr>
          <w:rStyle w:val="FootnoteReference"/>
          <w:rFonts w:ascii="Times New Roman" w:hAnsi="Times New Roman" w:cs="Times New Roman"/>
        </w:rPr>
        <w:footnoteRef/>
      </w:r>
      <w:r>
        <w:t xml:space="preserve"> </w:t>
      </w:r>
      <w:bookmarkStart w:id="772" w:name="f523"/>
      <w:bookmarkEnd w:id="772"/>
      <w:r w:rsidRPr="00356B02">
        <w:rPr>
          <w:rFonts w:ascii="Times New Roman" w:hAnsi="Times New Roman" w:cs="Times New Roman"/>
        </w:rPr>
        <w:t xml:space="preserve">Under prior versions of the statute total “incapacity” </w:t>
      </w:r>
      <w:r>
        <w:rPr>
          <w:rFonts w:ascii="Times New Roman" w:hAnsi="Times New Roman" w:cs="Times New Roman"/>
        </w:rPr>
        <w:t>w</w:t>
      </w:r>
      <w:r w:rsidRPr="00356B02">
        <w:rPr>
          <w:rFonts w:ascii="Times New Roman" w:hAnsi="Times New Roman" w:cs="Times New Roman"/>
        </w:rPr>
        <w:t xml:space="preserve">as </w:t>
      </w:r>
      <w:r>
        <w:rPr>
          <w:rFonts w:ascii="Times New Roman" w:hAnsi="Times New Roman" w:cs="Times New Roman"/>
        </w:rPr>
        <w:t xml:space="preserve">less restrictively </w:t>
      </w:r>
      <w:r w:rsidRPr="00356B02">
        <w:rPr>
          <w:rFonts w:ascii="Times New Roman" w:hAnsi="Times New Roman" w:cs="Times New Roman"/>
        </w:rPr>
        <w:t xml:space="preserve">defined as “the loss of both legs or both arms, total loss of eyesight, paralysis or other conditions permanently incapacitating the workman from performing work at any gainful occupation.”  </w:t>
      </w:r>
      <w:r>
        <w:rPr>
          <w:rFonts w:ascii="Times New Roman" w:hAnsi="Times New Roman" w:cs="Times New Roman"/>
        </w:rPr>
        <w:t xml:space="preserve">In re Iles, </w:t>
      </w:r>
      <w:hyperlink r:id="rId201" w:history="1">
        <w:r w:rsidRPr="00082D65">
          <w:rPr>
            <w:rStyle w:val="Hyperlink"/>
            <w:rFonts w:ascii="Times New Roman" w:hAnsi="Times New Roman" w:cs="Times New Roman"/>
          </w:rPr>
          <w:t>110 P.2d 826</w:t>
        </w:r>
      </w:hyperlink>
      <w:r>
        <w:rPr>
          <w:rFonts w:ascii="Times New Roman" w:hAnsi="Times New Roman" w:cs="Times New Roman"/>
        </w:rPr>
        <w:t xml:space="preserve">, 828 (Wyo. 1941) </w:t>
      </w:r>
      <w:r w:rsidRPr="00356B02">
        <w:rPr>
          <w:rFonts w:ascii="Times New Roman" w:hAnsi="Times New Roman" w:cs="Times New Roman"/>
          <w:i/>
        </w:rPr>
        <w:t>quoting</w:t>
      </w:r>
      <w:r>
        <w:rPr>
          <w:rFonts w:ascii="Times New Roman" w:hAnsi="Times New Roman" w:cs="Times New Roman"/>
        </w:rPr>
        <w:t xml:space="preserve"> </w:t>
      </w:r>
      <w:r w:rsidRPr="00356B02">
        <w:rPr>
          <w:rFonts w:ascii="Times New Roman" w:hAnsi="Times New Roman" w:cs="Times New Roman"/>
        </w:rPr>
        <w:t>Rev.St.1931, Sec. 124-120(b)</w:t>
      </w:r>
      <w:r>
        <w:rPr>
          <w:rFonts w:ascii="Times New Roman" w:hAnsi="Times New Roman" w:cs="Times New Roman"/>
        </w:rPr>
        <w:t xml:space="preserve">; </w:t>
      </w:r>
      <w:r w:rsidRPr="00D363AF">
        <w:rPr>
          <w:rFonts w:ascii="Times New Roman" w:hAnsi="Times New Roman" w:cs="Times New Roman"/>
          <w:i/>
        </w:rPr>
        <w:t>see also</w:t>
      </w:r>
      <w:r>
        <w:rPr>
          <w:rFonts w:ascii="Times New Roman" w:hAnsi="Times New Roman" w:cs="Times New Roman"/>
        </w:rPr>
        <w:t xml:space="preserve"> </w:t>
      </w:r>
      <w:r w:rsidRPr="00356B02">
        <w:rPr>
          <w:rFonts w:ascii="Times New Roman" w:hAnsi="Times New Roman" w:cs="Times New Roman"/>
        </w:rPr>
        <w:t xml:space="preserve">In re Hibler, </w:t>
      </w:r>
      <w:hyperlink r:id="rId202" w:history="1">
        <w:r w:rsidRPr="00082D65">
          <w:rPr>
            <w:rStyle w:val="Hyperlink"/>
            <w:rFonts w:ascii="Times New Roman" w:hAnsi="Times New Roman" w:cs="Times New Roman"/>
          </w:rPr>
          <w:t>261 P. 648</w:t>
        </w:r>
      </w:hyperlink>
      <w:r>
        <w:rPr>
          <w:rFonts w:ascii="Times New Roman" w:hAnsi="Times New Roman" w:cs="Times New Roman"/>
        </w:rPr>
        <w:t>, 650 (Wyo. 1927)</w:t>
      </w:r>
    </w:p>
  </w:footnote>
  <w:footnote w:id="552">
    <w:p w14:paraId="68AB87D7" w14:textId="29BDF631" w:rsidR="00336EDF" w:rsidRDefault="00336EDF">
      <w:pPr>
        <w:pStyle w:val="FootnoteText"/>
      </w:pPr>
      <w:r w:rsidRPr="00822DB6">
        <w:rPr>
          <w:rStyle w:val="FootnoteReference"/>
          <w:rFonts w:ascii="Times New Roman" w:hAnsi="Times New Roman" w:cs="Times New Roman"/>
        </w:rPr>
        <w:footnoteRef/>
      </w:r>
      <w:r w:rsidRPr="00822DB6">
        <w:rPr>
          <w:rFonts w:ascii="Times New Roman" w:hAnsi="Times New Roman" w:cs="Times New Roman"/>
        </w:rPr>
        <w:t xml:space="preserve"> </w:t>
      </w:r>
      <w:bookmarkStart w:id="776" w:name="f524"/>
      <w:bookmarkEnd w:id="776"/>
      <w:r w:rsidRPr="003046AD">
        <w:rPr>
          <w:rFonts w:ascii="Times New Roman" w:hAnsi="Times New Roman" w:cs="Times New Roman"/>
        </w:rPr>
        <w:t xml:space="preserve">W.S. § </w:t>
      </w:r>
      <w:hyperlink r:id="rId203" w:history="1">
        <w:r w:rsidRPr="003046AD">
          <w:rPr>
            <w:rStyle w:val="Hyperlink"/>
            <w:rFonts w:ascii="Times New Roman" w:hAnsi="Times New Roman" w:cs="Times New Roman"/>
          </w:rPr>
          <w:t>27-14-403</w:t>
        </w:r>
      </w:hyperlink>
      <w:r w:rsidRPr="00822DB6">
        <w:rPr>
          <w:rFonts w:ascii="Times New Roman" w:hAnsi="Times New Roman" w:cs="Times New Roman"/>
        </w:rPr>
        <w:t>(g)(i)</w:t>
      </w:r>
    </w:p>
  </w:footnote>
  <w:footnote w:id="553">
    <w:p w14:paraId="72EEF68D" w14:textId="3AC884AB" w:rsidR="00336EDF" w:rsidRDefault="00336EDF">
      <w:pPr>
        <w:pStyle w:val="FootnoteText"/>
      </w:pPr>
      <w:r w:rsidRPr="00FE5490">
        <w:rPr>
          <w:rStyle w:val="FootnoteReference"/>
          <w:rFonts w:ascii="Times New Roman" w:hAnsi="Times New Roman" w:cs="Times New Roman"/>
        </w:rPr>
        <w:footnoteRef/>
      </w:r>
      <w:r w:rsidRPr="00FE5490">
        <w:rPr>
          <w:rFonts w:ascii="Times New Roman" w:hAnsi="Times New Roman" w:cs="Times New Roman"/>
        </w:rPr>
        <w:t xml:space="preserve"> </w:t>
      </w:r>
      <w:bookmarkStart w:id="781" w:name="f525"/>
      <w:bookmarkEnd w:id="781"/>
      <w:r w:rsidRPr="003046AD">
        <w:rPr>
          <w:rFonts w:ascii="Times New Roman" w:hAnsi="Times New Roman" w:cs="Times New Roman"/>
        </w:rPr>
        <w:t xml:space="preserve">W.S. § </w:t>
      </w:r>
      <w:hyperlink r:id="rId204" w:history="1">
        <w:r w:rsidRPr="003046AD">
          <w:rPr>
            <w:rStyle w:val="Hyperlink"/>
            <w:rFonts w:ascii="Times New Roman" w:hAnsi="Times New Roman" w:cs="Times New Roman"/>
          </w:rPr>
          <w:t>27-14-403</w:t>
        </w:r>
      </w:hyperlink>
      <w:r w:rsidRPr="00FE5490">
        <w:rPr>
          <w:rFonts w:ascii="Times New Roman" w:hAnsi="Times New Roman" w:cs="Times New Roman"/>
        </w:rPr>
        <w:t>(c)(</w:t>
      </w:r>
      <w:r>
        <w:rPr>
          <w:rFonts w:ascii="Times New Roman" w:hAnsi="Times New Roman" w:cs="Times New Roman"/>
        </w:rPr>
        <w:t>v</w:t>
      </w:r>
      <w:r w:rsidRPr="00FE5490">
        <w:rPr>
          <w:rFonts w:ascii="Times New Roman" w:hAnsi="Times New Roman" w:cs="Times New Roman"/>
        </w:rPr>
        <w:t>)</w:t>
      </w:r>
    </w:p>
  </w:footnote>
  <w:footnote w:id="554">
    <w:p w14:paraId="067B31C2" w14:textId="505CDBF5" w:rsidR="00336EDF" w:rsidRDefault="00336EDF" w:rsidP="00B23892">
      <w:pPr>
        <w:pStyle w:val="FootnoteText"/>
        <w:jc w:val="both"/>
      </w:pPr>
      <w:r w:rsidRPr="00444911">
        <w:rPr>
          <w:rStyle w:val="FootnoteReference"/>
          <w:rFonts w:ascii="Times New Roman" w:hAnsi="Times New Roman" w:cs="Times New Roman"/>
        </w:rPr>
        <w:footnoteRef/>
      </w:r>
      <w:r>
        <w:t xml:space="preserve"> </w:t>
      </w:r>
      <w:bookmarkStart w:id="783" w:name="f526"/>
      <w:bookmarkEnd w:id="783"/>
      <w:r>
        <w:rPr>
          <w:rFonts w:ascii="Times New Roman" w:hAnsi="Times New Roman" w:cs="Times New Roman"/>
          <w:smallCaps/>
        </w:rPr>
        <w:t>7</w:t>
      </w:r>
      <w:r w:rsidRPr="00115189">
        <w:rPr>
          <w:rFonts w:ascii="Times New Roman" w:hAnsi="Times New Roman" w:cs="Times New Roman"/>
          <w:smallCaps/>
        </w:rPr>
        <w:t xml:space="preserve"> Larson's Workers' Compensation Law § </w:t>
      </w:r>
      <w:r>
        <w:rPr>
          <w:rFonts w:ascii="Times New Roman" w:hAnsi="Times New Roman" w:cs="Times New Roman"/>
          <w:smallCaps/>
        </w:rPr>
        <w:t>83.01.</w:t>
      </w:r>
    </w:p>
  </w:footnote>
  <w:footnote w:id="555">
    <w:p w14:paraId="0ED50D56" w14:textId="642D6E98" w:rsidR="00336EDF" w:rsidRDefault="00336EDF">
      <w:pPr>
        <w:pStyle w:val="FootnoteText"/>
      </w:pPr>
      <w:r w:rsidRPr="00B23892">
        <w:rPr>
          <w:rStyle w:val="FootnoteReference"/>
          <w:rFonts w:ascii="Times New Roman" w:hAnsi="Times New Roman" w:cs="Times New Roman"/>
        </w:rPr>
        <w:footnoteRef/>
      </w:r>
      <w:bookmarkStart w:id="784" w:name="f527"/>
      <w:bookmarkEnd w:id="784"/>
      <w:r>
        <w:t xml:space="preserve"> </w:t>
      </w:r>
      <w:r w:rsidRPr="000F0A19">
        <w:rPr>
          <w:rFonts w:ascii="Times New Roman" w:hAnsi="Times New Roman" w:cs="Times New Roman"/>
          <w:i/>
        </w:rPr>
        <w:t>Id</w:t>
      </w:r>
      <w:r w:rsidRPr="000F0A19">
        <w:rPr>
          <w:rFonts w:ascii="Times New Roman" w:hAnsi="Times New Roman" w:cs="Times New Roman"/>
        </w:rPr>
        <w:t xml:space="preserve">. at § 83.02 </w:t>
      </w:r>
      <w:r w:rsidRPr="000F0A19">
        <w:rPr>
          <w:rFonts w:ascii="Times New Roman" w:hAnsi="Times New Roman" w:cs="Times New Roman"/>
          <w:i/>
        </w:rPr>
        <w:t>quoting</w:t>
      </w:r>
      <w:r w:rsidRPr="000F0A19">
        <w:rPr>
          <w:rFonts w:ascii="Times New Roman" w:hAnsi="Times New Roman" w:cs="Times New Roman"/>
        </w:rPr>
        <w:t xml:space="preserve"> Cardiff Corp. v. Hall, 1 K.B. 1009, 1020, 1021 (1911)</w:t>
      </w:r>
    </w:p>
  </w:footnote>
  <w:footnote w:id="556">
    <w:p w14:paraId="674C494F" w14:textId="152602E7" w:rsidR="00336EDF" w:rsidRPr="0047220B" w:rsidRDefault="00336EDF" w:rsidP="00176BE0">
      <w:pPr>
        <w:pStyle w:val="FootnoteText"/>
        <w:jc w:val="both"/>
        <w:rPr>
          <w:rFonts w:ascii="Times New Roman" w:hAnsi="Times New Roman" w:cs="Times New Roman"/>
        </w:rPr>
      </w:pPr>
      <w:r w:rsidRPr="00B23892">
        <w:rPr>
          <w:rStyle w:val="FootnoteReference"/>
          <w:rFonts w:ascii="Times New Roman" w:hAnsi="Times New Roman" w:cs="Times New Roman"/>
        </w:rPr>
        <w:footnoteRef/>
      </w:r>
      <w:r w:rsidRPr="00B23892">
        <w:rPr>
          <w:rFonts w:ascii="Times New Roman" w:hAnsi="Times New Roman" w:cs="Times New Roman"/>
        </w:rPr>
        <w:t xml:space="preserve"> </w:t>
      </w:r>
      <w:bookmarkStart w:id="785" w:name="f528"/>
      <w:bookmarkEnd w:id="785"/>
      <w:r w:rsidRPr="00176BE0">
        <w:rPr>
          <w:rFonts w:ascii="Times New Roman" w:hAnsi="Times New Roman" w:cs="Times New Roman"/>
          <w:i/>
        </w:rPr>
        <w:t>Compare</w:t>
      </w:r>
      <w:r w:rsidRPr="00623284">
        <w:rPr>
          <w:rFonts w:ascii="Times New Roman" w:hAnsi="Times New Roman" w:cs="Times New Roman"/>
        </w:rPr>
        <w:t xml:space="preserve"> Blue Bell, Inc. v. Nichols, </w:t>
      </w:r>
      <w:hyperlink r:id="rId205" w:history="1">
        <w:r w:rsidRPr="00082D65">
          <w:rPr>
            <w:rStyle w:val="Hyperlink"/>
            <w:rFonts w:ascii="Times New Roman" w:hAnsi="Times New Roman" w:cs="Times New Roman"/>
          </w:rPr>
          <w:t>479 So.2d 1264</w:t>
        </w:r>
      </w:hyperlink>
      <w:r w:rsidRPr="00623284">
        <w:rPr>
          <w:rFonts w:ascii="Times New Roman" w:hAnsi="Times New Roman" w:cs="Times New Roman"/>
        </w:rPr>
        <w:t xml:space="preserve"> (Ala. 1985) (finding claimant totally incapacitated</w:t>
      </w:r>
      <w:r>
        <w:t xml:space="preserve"> </w:t>
      </w:r>
      <w:r w:rsidRPr="00623284">
        <w:rPr>
          <w:rFonts w:ascii="Times New Roman" w:hAnsi="Times New Roman" w:cs="Times New Roman"/>
          <w:i/>
        </w:rPr>
        <w:t>ab initio</w:t>
      </w:r>
      <w:r>
        <w:t>)</w:t>
      </w:r>
      <w:r>
        <w:rPr>
          <w:rFonts w:ascii="Times New Roman" w:hAnsi="Times New Roman" w:cs="Times New Roman"/>
        </w:rPr>
        <w:t xml:space="preserve"> </w:t>
      </w:r>
      <w:r w:rsidRPr="00176BE0">
        <w:rPr>
          <w:rFonts w:ascii="Times New Roman" w:hAnsi="Times New Roman" w:cs="Times New Roman"/>
          <w:i/>
        </w:rPr>
        <w:t>with</w:t>
      </w:r>
      <w:r>
        <w:rPr>
          <w:rFonts w:ascii="Times New Roman" w:hAnsi="Times New Roman" w:cs="Times New Roman"/>
        </w:rPr>
        <w:t xml:space="preserve"> Monaghan v. Jordan’s Meats, </w:t>
      </w:r>
      <w:hyperlink r:id="rId206" w:history="1">
        <w:r w:rsidRPr="00CF2591">
          <w:rPr>
            <w:rStyle w:val="Hyperlink"/>
            <w:rFonts w:ascii="Times New Roman" w:hAnsi="Times New Roman" w:cs="Times New Roman"/>
          </w:rPr>
          <w:t>928 A.2d 786</w:t>
        </w:r>
      </w:hyperlink>
      <w:r>
        <w:rPr>
          <w:rFonts w:ascii="Times New Roman" w:hAnsi="Times New Roman" w:cs="Times New Roman"/>
        </w:rPr>
        <w:t xml:space="preserve"> (Me. 2007) (explaining circumstances in which employee may be entitled to “100% partial benefits”); </w:t>
      </w:r>
      <w:r w:rsidRPr="00176BE0">
        <w:rPr>
          <w:rFonts w:ascii="Times New Roman" w:hAnsi="Times New Roman" w:cs="Times New Roman"/>
          <w:i/>
        </w:rPr>
        <w:t>see also</w:t>
      </w:r>
      <w:r>
        <w:rPr>
          <w:rFonts w:ascii="Times New Roman" w:hAnsi="Times New Roman" w:cs="Times New Roman"/>
        </w:rPr>
        <w:t xml:space="preserve"> discussion in </w:t>
      </w:r>
      <w:bookmarkStart w:id="786" w:name="_Hlk532324797"/>
      <w:r>
        <w:rPr>
          <w:rFonts w:ascii="Times New Roman" w:hAnsi="Times New Roman" w:cs="Times New Roman"/>
        </w:rPr>
        <w:t>D</w:t>
      </w:r>
      <w:r w:rsidRPr="00176BE0">
        <w:rPr>
          <w:rFonts w:ascii="Times New Roman" w:hAnsi="Times New Roman" w:cs="Times New Roman"/>
          <w:smallCaps/>
        </w:rPr>
        <w:t>uff</w:t>
      </w:r>
      <w:r>
        <w:rPr>
          <w:rFonts w:ascii="Times New Roman" w:hAnsi="Times New Roman" w:cs="Times New Roman"/>
        </w:rPr>
        <w:t>, W</w:t>
      </w:r>
      <w:r w:rsidRPr="00176BE0">
        <w:rPr>
          <w:rFonts w:ascii="Times New Roman" w:hAnsi="Times New Roman" w:cs="Times New Roman"/>
          <w:smallCaps/>
        </w:rPr>
        <w:t>orkers</w:t>
      </w:r>
      <w:r>
        <w:rPr>
          <w:rFonts w:ascii="Times New Roman" w:hAnsi="Times New Roman" w:cs="Times New Roman"/>
        </w:rPr>
        <w:t>’ C</w:t>
      </w:r>
      <w:r w:rsidRPr="00176BE0">
        <w:rPr>
          <w:rFonts w:ascii="Times New Roman" w:hAnsi="Times New Roman" w:cs="Times New Roman"/>
          <w:smallCaps/>
        </w:rPr>
        <w:t>ompensation</w:t>
      </w:r>
      <w:r>
        <w:rPr>
          <w:rFonts w:ascii="Times New Roman" w:hAnsi="Times New Roman" w:cs="Times New Roman"/>
        </w:rPr>
        <w:t xml:space="preserve"> L</w:t>
      </w:r>
      <w:r w:rsidRPr="00176BE0">
        <w:rPr>
          <w:rFonts w:ascii="Times New Roman" w:hAnsi="Times New Roman" w:cs="Times New Roman"/>
          <w:smallCaps/>
        </w:rPr>
        <w:t>aw</w:t>
      </w:r>
      <w:r>
        <w:rPr>
          <w:rFonts w:ascii="Times New Roman" w:hAnsi="Times New Roman" w:cs="Times New Roman"/>
        </w:rPr>
        <w:t xml:space="preserve"> 126-127</w:t>
      </w:r>
      <w:bookmarkEnd w:id="786"/>
      <w:r>
        <w:rPr>
          <w:rFonts w:ascii="Times New Roman" w:hAnsi="Times New Roman" w:cs="Times New Roman"/>
        </w:rPr>
        <w:t>.</w:t>
      </w:r>
      <w:r>
        <w:t xml:space="preserve"> </w:t>
      </w:r>
      <w:r w:rsidRPr="0047220B">
        <w:rPr>
          <w:rFonts w:ascii="Times New Roman" w:hAnsi="Times New Roman" w:cs="Times New Roman"/>
        </w:rPr>
        <w:t xml:space="preserve">For a good discussion burden shifting complexities in odd lot cases </w:t>
      </w:r>
      <w:r w:rsidRPr="0047220B">
        <w:rPr>
          <w:rFonts w:ascii="Times New Roman" w:hAnsi="Times New Roman" w:cs="Times New Roman"/>
          <w:i/>
        </w:rPr>
        <w:t xml:space="preserve">see </w:t>
      </w:r>
      <w:r w:rsidRPr="0047220B">
        <w:rPr>
          <w:rFonts w:ascii="Times New Roman" w:hAnsi="Times New Roman" w:cs="Times New Roman"/>
        </w:rPr>
        <w:t xml:space="preserve">Lombardo v. Atkinson-Kiewit, </w:t>
      </w:r>
      <w:hyperlink r:id="rId207" w:history="1">
        <w:r w:rsidRPr="00CF2591">
          <w:rPr>
            <w:rStyle w:val="Hyperlink"/>
            <w:rFonts w:ascii="Times New Roman" w:hAnsi="Times New Roman" w:cs="Times New Roman"/>
          </w:rPr>
          <w:t>746 A.2d 679</w:t>
        </w:r>
      </w:hyperlink>
      <w:r w:rsidRPr="0047220B">
        <w:rPr>
          <w:rFonts w:ascii="Times New Roman" w:hAnsi="Times New Roman" w:cs="Times New Roman"/>
        </w:rPr>
        <w:t xml:space="preserve"> (R.I. 2000).</w:t>
      </w:r>
      <w:r>
        <w:rPr>
          <w:rFonts w:ascii="Times New Roman" w:hAnsi="Times New Roman" w:cs="Times New Roman"/>
        </w:rPr>
        <w:t xml:space="preserve"> </w:t>
      </w:r>
      <w:r w:rsidRPr="0004004C">
        <w:rPr>
          <w:rFonts w:ascii="Times New Roman" w:hAnsi="Times New Roman" w:cs="Times New Roman"/>
          <w:i/>
        </w:rPr>
        <w:t>See also</w:t>
      </w:r>
      <w:r>
        <w:rPr>
          <w:rFonts w:ascii="Times New Roman" w:hAnsi="Times New Roman" w:cs="Times New Roman"/>
        </w:rPr>
        <w:t xml:space="preserve"> </w:t>
      </w:r>
      <w:bookmarkStart w:id="787" w:name="_Hlk530340032"/>
      <w:bookmarkStart w:id="788" w:name="_Hlk530340060"/>
      <w:r>
        <w:rPr>
          <w:rFonts w:ascii="Times New Roman" w:hAnsi="Times New Roman" w:cs="Times New Roman"/>
        </w:rPr>
        <w:t>7 L</w:t>
      </w:r>
      <w:r w:rsidRPr="004833B7">
        <w:rPr>
          <w:rFonts w:ascii="Times New Roman" w:hAnsi="Times New Roman" w:cs="Times New Roman"/>
          <w:smallCaps/>
        </w:rPr>
        <w:t>arson’s</w:t>
      </w:r>
      <w:r>
        <w:rPr>
          <w:rFonts w:ascii="Times New Roman" w:hAnsi="Times New Roman" w:cs="Times New Roman"/>
        </w:rPr>
        <w:t xml:space="preserve"> W</w:t>
      </w:r>
      <w:r w:rsidRPr="004833B7">
        <w:rPr>
          <w:rFonts w:ascii="Times New Roman" w:hAnsi="Times New Roman" w:cs="Times New Roman"/>
          <w:smallCaps/>
        </w:rPr>
        <w:t>orkers</w:t>
      </w:r>
      <w:r>
        <w:rPr>
          <w:rFonts w:ascii="Times New Roman" w:hAnsi="Times New Roman" w:cs="Times New Roman"/>
        </w:rPr>
        <w:t>’ C</w:t>
      </w:r>
      <w:r w:rsidRPr="004833B7">
        <w:rPr>
          <w:rFonts w:ascii="Times New Roman" w:hAnsi="Times New Roman" w:cs="Times New Roman"/>
          <w:smallCaps/>
        </w:rPr>
        <w:t>ompensation</w:t>
      </w:r>
      <w:r>
        <w:rPr>
          <w:rFonts w:ascii="Times New Roman" w:hAnsi="Times New Roman" w:cs="Times New Roman"/>
        </w:rPr>
        <w:t xml:space="preserve"> L</w:t>
      </w:r>
      <w:r w:rsidRPr="0004004C">
        <w:rPr>
          <w:rFonts w:ascii="Times New Roman" w:hAnsi="Times New Roman" w:cs="Times New Roman"/>
          <w:smallCaps/>
        </w:rPr>
        <w:t>aw</w:t>
      </w:r>
      <w:r>
        <w:rPr>
          <w:rFonts w:ascii="Times New Roman" w:hAnsi="Times New Roman" w:cs="Times New Roman"/>
        </w:rPr>
        <w:t xml:space="preserve"> § 84.01</w:t>
      </w:r>
      <w:bookmarkEnd w:id="787"/>
      <w:r>
        <w:rPr>
          <w:rFonts w:ascii="Times New Roman" w:hAnsi="Times New Roman" w:cs="Times New Roman"/>
        </w:rPr>
        <w:t>.</w:t>
      </w:r>
      <w:bookmarkEnd w:id="788"/>
    </w:p>
  </w:footnote>
  <w:footnote w:id="557">
    <w:p w14:paraId="4594C032" w14:textId="0923E3FA" w:rsidR="00336EDF" w:rsidRDefault="00336EDF">
      <w:pPr>
        <w:pStyle w:val="FootnoteText"/>
      </w:pPr>
      <w:r w:rsidRPr="005E0E03">
        <w:rPr>
          <w:rStyle w:val="FootnoteReference"/>
          <w:rFonts w:ascii="Times New Roman" w:hAnsi="Times New Roman" w:cs="Times New Roman"/>
        </w:rPr>
        <w:footnoteRef/>
      </w:r>
      <w:r>
        <w:t xml:space="preserve"> </w:t>
      </w:r>
      <w:bookmarkStart w:id="789" w:name="f529"/>
      <w:bookmarkEnd w:id="789"/>
      <w:r>
        <w:rPr>
          <w:rFonts w:ascii="Times New Roman" w:hAnsi="Times New Roman" w:cs="Times New Roman"/>
        </w:rPr>
        <w:t>7 L</w:t>
      </w:r>
      <w:r w:rsidRPr="004833B7">
        <w:rPr>
          <w:rFonts w:ascii="Times New Roman" w:hAnsi="Times New Roman" w:cs="Times New Roman"/>
          <w:smallCaps/>
        </w:rPr>
        <w:t>arson’s</w:t>
      </w:r>
      <w:r>
        <w:rPr>
          <w:rFonts w:ascii="Times New Roman" w:hAnsi="Times New Roman" w:cs="Times New Roman"/>
        </w:rPr>
        <w:t xml:space="preserve"> W</w:t>
      </w:r>
      <w:r w:rsidRPr="004833B7">
        <w:rPr>
          <w:rFonts w:ascii="Times New Roman" w:hAnsi="Times New Roman" w:cs="Times New Roman"/>
          <w:smallCaps/>
        </w:rPr>
        <w:t>orkers</w:t>
      </w:r>
      <w:r>
        <w:rPr>
          <w:rFonts w:ascii="Times New Roman" w:hAnsi="Times New Roman" w:cs="Times New Roman"/>
        </w:rPr>
        <w:t>’ C</w:t>
      </w:r>
      <w:r w:rsidRPr="004833B7">
        <w:rPr>
          <w:rFonts w:ascii="Times New Roman" w:hAnsi="Times New Roman" w:cs="Times New Roman"/>
          <w:smallCaps/>
        </w:rPr>
        <w:t>ompensation</w:t>
      </w:r>
      <w:r>
        <w:rPr>
          <w:rFonts w:ascii="Times New Roman" w:hAnsi="Times New Roman" w:cs="Times New Roman"/>
        </w:rPr>
        <w:t xml:space="preserve"> L</w:t>
      </w:r>
      <w:r w:rsidRPr="0004004C">
        <w:rPr>
          <w:rFonts w:ascii="Times New Roman" w:hAnsi="Times New Roman" w:cs="Times New Roman"/>
          <w:smallCaps/>
        </w:rPr>
        <w:t>aw</w:t>
      </w:r>
      <w:r>
        <w:rPr>
          <w:rFonts w:ascii="Times New Roman" w:hAnsi="Times New Roman" w:cs="Times New Roman"/>
        </w:rPr>
        <w:t xml:space="preserve"> § 84.01.</w:t>
      </w:r>
    </w:p>
  </w:footnote>
  <w:footnote w:id="558">
    <w:p w14:paraId="4903F3AC" w14:textId="366ECCDA" w:rsidR="00336EDF" w:rsidRDefault="00336EDF">
      <w:pPr>
        <w:pStyle w:val="FootnoteText"/>
      </w:pPr>
      <w:r w:rsidRPr="003E4111">
        <w:rPr>
          <w:rStyle w:val="FootnoteReference"/>
          <w:rFonts w:ascii="Times New Roman" w:hAnsi="Times New Roman" w:cs="Times New Roman"/>
        </w:rPr>
        <w:footnoteRef/>
      </w:r>
      <w:r>
        <w:t xml:space="preserve"> </w:t>
      </w:r>
      <w:bookmarkStart w:id="790" w:name="f530"/>
      <w:bookmarkEnd w:id="790"/>
      <w:r w:rsidRPr="003E4111">
        <w:rPr>
          <w:rFonts w:ascii="Times New Roman" w:hAnsi="Times New Roman" w:cs="Times New Roman"/>
        </w:rPr>
        <w:t xml:space="preserve">Beecher v. Labor &amp; Industry Review Com’n, </w:t>
      </w:r>
      <w:hyperlink r:id="rId208" w:history="1">
        <w:r w:rsidRPr="00CF2591">
          <w:rPr>
            <w:rStyle w:val="Hyperlink"/>
            <w:rFonts w:ascii="Times New Roman" w:hAnsi="Times New Roman" w:cs="Times New Roman"/>
          </w:rPr>
          <w:t>682 N.W.2d 29</w:t>
        </w:r>
      </w:hyperlink>
      <w:r>
        <w:rPr>
          <w:rFonts w:ascii="Times New Roman" w:hAnsi="Times New Roman" w:cs="Times New Roman"/>
        </w:rPr>
        <w:t>, 48</w:t>
      </w:r>
      <w:r w:rsidRPr="003E4111">
        <w:rPr>
          <w:rFonts w:ascii="Times New Roman" w:hAnsi="Times New Roman" w:cs="Times New Roman"/>
        </w:rPr>
        <w:t xml:space="preserve"> (Wis. 2004).</w:t>
      </w:r>
    </w:p>
  </w:footnote>
  <w:footnote w:id="559">
    <w:p w14:paraId="20D06E68" w14:textId="395865DF" w:rsidR="00336EDF" w:rsidRDefault="00336EDF">
      <w:pPr>
        <w:pStyle w:val="FootnoteText"/>
      </w:pPr>
      <w:r w:rsidRPr="004226D3">
        <w:rPr>
          <w:rStyle w:val="FootnoteReference"/>
          <w:rFonts w:ascii="Times New Roman" w:hAnsi="Times New Roman" w:cs="Times New Roman"/>
        </w:rPr>
        <w:footnoteRef/>
      </w:r>
      <w:r w:rsidRPr="004226D3">
        <w:rPr>
          <w:rFonts w:ascii="Times New Roman" w:hAnsi="Times New Roman" w:cs="Times New Roman"/>
        </w:rPr>
        <w:t xml:space="preserve"> </w:t>
      </w:r>
      <w:bookmarkStart w:id="793" w:name="f531"/>
      <w:bookmarkEnd w:id="793"/>
      <w:r w:rsidRPr="004226D3">
        <w:rPr>
          <w:rFonts w:ascii="Times New Roman" w:hAnsi="Times New Roman" w:cs="Times New Roman"/>
        </w:rPr>
        <w:t xml:space="preserve">McIntosh v. Workers’ Safety </w:t>
      </w:r>
      <w:r>
        <w:rPr>
          <w:rFonts w:ascii="Times New Roman" w:hAnsi="Times New Roman" w:cs="Times New Roman"/>
        </w:rPr>
        <w:t>&amp;</w:t>
      </w:r>
      <w:r w:rsidRPr="004226D3">
        <w:rPr>
          <w:rFonts w:ascii="Times New Roman" w:hAnsi="Times New Roman" w:cs="Times New Roman"/>
        </w:rPr>
        <w:t xml:space="preserve"> Compensation Div., </w:t>
      </w:r>
      <w:hyperlink r:id="rId209" w:history="1">
        <w:r w:rsidRPr="00CF2591">
          <w:rPr>
            <w:rStyle w:val="Hyperlink"/>
            <w:rFonts w:ascii="Times New Roman" w:hAnsi="Times New Roman" w:cs="Times New Roman"/>
          </w:rPr>
          <w:t>311 P.3d 608</w:t>
        </w:r>
      </w:hyperlink>
      <w:r w:rsidRPr="004226D3">
        <w:rPr>
          <w:rFonts w:ascii="Times New Roman" w:hAnsi="Times New Roman" w:cs="Times New Roman"/>
        </w:rPr>
        <w:t>, 616 (2013).</w:t>
      </w:r>
    </w:p>
  </w:footnote>
  <w:footnote w:id="560">
    <w:p w14:paraId="15E24342" w14:textId="46C7F964" w:rsidR="00336EDF" w:rsidRPr="000F7EF7" w:rsidRDefault="00336EDF" w:rsidP="000F7EF7">
      <w:pPr>
        <w:pStyle w:val="FootnoteText"/>
        <w:jc w:val="both"/>
        <w:rPr>
          <w:rFonts w:ascii="Times New Roman" w:hAnsi="Times New Roman" w:cs="Times New Roman"/>
        </w:rPr>
      </w:pPr>
      <w:r w:rsidRPr="000F7EF7">
        <w:rPr>
          <w:rStyle w:val="FootnoteReference"/>
          <w:rFonts w:ascii="Times New Roman" w:hAnsi="Times New Roman" w:cs="Times New Roman"/>
        </w:rPr>
        <w:footnoteRef/>
      </w:r>
      <w:r>
        <w:t xml:space="preserve"> </w:t>
      </w:r>
      <w:bookmarkStart w:id="794" w:name="f532"/>
      <w:bookmarkEnd w:id="794"/>
      <w:r w:rsidRPr="000F7EF7">
        <w:rPr>
          <w:rFonts w:ascii="Times New Roman" w:hAnsi="Times New Roman" w:cs="Times New Roman"/>
        </w:rPr>
        <w:t xml:space="preserve">Cases in other jurisdictions excusing work search requirements on futility grounds include Second Injury Fund v. Nelson, </w:t>
      </w:r>
      <w:hyperlink r:id="rId210" w:history="1">
        <w:r w:rsidRPr="00CF2591">
          <w:rPr>
            <w:rStyle w:val="Hyperlink"/>
            <w:rFonts w:ascii="Times New Roman" w:hAnsi="Times New Roman" w:cs="Times New Roman"/>
          </w:rPr>
          <w:t>544 N.W.2d 258</w:t>
        </w:r>
      </w:hyperlink>
      <w:r w:rsidRPr="000F7EF7">
        <w:rPr>
          <w:rFonts w:ascii="Times New Roman" w:hAnsi="Times New Roman" w:cs="Times New Roman"/>
        </w:rPr>
        <w:t xml:space="preserve"> (Iowa 1995); Pomerinke v. Excel Trucking Transport,</w:t>
      </w:r>
      <w:r>
        <w:rPr>
          <w:rFonts w:ascii="Times New Roman" w:hAnsi="Times New Roman" w:cs="Times New Roman"/>
        </w:rPr>
        <w:t xml:space="preserve"> </w:t>
      </w:r>
      <w:hyperlink r:id="rId211" w:history="1">
        <w:r w:rsidRPr="00CF2591">
          <w:rPr>
            <w:rStyle w:val="Hyperlink"/>
            <w:rFonts w:ascii="Times New Roman" w:hAnsi="Times New Roman" w:cs="Times New Roman"/>
          </w:rPr>
          <w:t>859 P.2d 337</w:t>
        </w:r>
      </w:hyperlink>
      <w:r w:rsidRPr="000F7EF7">
        <w:rPr>
          <w:rFonts w:ascii="Times New Roman" w:hAnsi="Times New Roman" w:cs="Times New Roman"/>
        </w:rPr>
        <w:t>, 342 (Idaho 1993) (claimant does not have to search for work as a prerequisite to odd-lot status if he shows his efforts would have been futile); Peoples v. Cone Mills Corp.,</w:t>
      </w:r>
      <w:r>
        <w:rPr>
          <w:rFonts w:ascii="Times New Roman" w:hAnsi="Times New Roman" w:cs="Times New Roman"/>
        </w:rPr>
        <w:t xml:space="preserve"> </w:t>
      </w:r>
      <w:hyperlink r:id="rId212" w:history="1">
        <w:r w:rsidRPr="0046119D">
          <w:rPr>
            <w:rStyle w:val="Hyperlink"/>
            <w:rFonts w:ascii="Times New Roman" w:hAnsi="Times New Roman" w:cs="Times New Roman"/>
          </w:rPr>
          <w:t>342 S.E.2d 798</w:t>
        </w:r>
      </w:hyperlink>
      <w:r w:rsidRPr="000F7EF7">
        <w:rPr>
          <w:rFonts w:ascii="Times New Roman" w:hAnsi="Times New Roman" w:cs="Times New Roman"/>
        </w:rPr>
        <w:t xml:space="preserve">, 809 (N.C. 1986) (employee need not show that he had unsuccessfully sought work if he demonstrates that any </w:t>
      </w:r>
      <w:r>
        <w:rPr>
          <w:rFonts w:ascii="Times New Roman" w:hAnsi="Times New Roman" w:cs="Times New Roman"/>
        </w:rPr>
        <w:t>“</w:t>
      </w:r>
      <w:r w:rsidRPr="000F7EF7">
        <w:rPr>
          <w:rFonts w:ascii="Times New Roman" w:hAnsi="Times New Roman" w:cs="Times New Roman"/>
        </w:rPr>
        <w:t>effort to obtain employment would be futile because of age, inexperience, lack of education or other preexisting factors</w:t>
      </w:r>
      <w:r>
        <w:rPr>
          <w:rFonts w:ascii="Times New Roman" w:hAnsi="Times New Roman" w:cs="Times New Roman"/>
        </w:rPr>
        <w:t>”</w:t>
      </w:r>
      <w:r w:rsidRPr="000F7EF7">
        <w:rPr>
          <w:rFonts w:ascii="Times New Roman" w:hAnsi="Times New Roman" w:cs="Times New Roman"/>
        </w:rPr>
        <w:t>); Phillips v. Liberty Mut.,</w:t>
      </w:r>
      <w:r>
        <w:rPr>
          <w:rFonts w:ascii="Times New Roman" w:hAnsi="Times New Roman" w:cs="Times New Roman"/>
        </w:rPr>
        <w:t xml:space="preserve"> </w:t>
      </w:r>
      <w:hyperlink r:id="rId213" w:history="1">
        <w:r w:rsidRPr="0046119D">
          <w:rPr>
            <w:rStyle w:val="Hyperlink"/>
            <w:rFonts w:ascii="Times New Roman" w:hAnsi="Times New Roman" w:cs="Times New Roman"/>
          </w:rPr>
          <w:t>679 P.2d 884</w:t>
        </w:r>
      </w:hyperlink>
      <w:r w:rsidRPr="000F7EF7">
        <w:rPr>
          <w:rFonts w:ascii="Times New Roman" w:hAnsi="Times New Roman" w:cs="Times New Roman"/>
        </w:rPr>
        <w:t>, 887 (Or. Ct. App. 1984) (</w:t>
      </w:r>
      <w:r>
        <w:rPr>
          <w:rFonts w:ascii="Times New Roman" w:hAnsi="Times New Roman" w:cs="Times New Roman"/>
        </w:rPr>
        <w:t>“</w:t>
      </w:r>
      <w:r w:rsidRPr="000F7EF7">
        <w:rPr>
          <w:rFonts w:ascii="Times New Roman" w:hAnsi="Times New Roman" w:cs="Times New Roman"/>
        </w:rPr>
        <w:t>A claimant, however, need not make efforts to work if those efforts would be futile.</w:t>
      </w:r>
      <w:r>
        <w:rPr>
          <w:rFonts w:ascii="Times New Roman" w:hAnsi="Times New Roman" w:cs="Times New Roman"/>
        </w:rPr>
        <w:t>”</w:t>
      </w:r>
      <w:r w:rsidRPr="000F7EF7">
        <w:rPr>
          <w:rFonts w:ascii="Times New Roman" w:hAnsi="Times New Roman" w:cs="Times New Roman"/>
        </w:rPr>
        <w:t>).</w:t>
      </w:r>
      <w:r>
        <w:rPr>
          <w:rFonts w:ascii="Times New Roman" w:hAnsi="Times New Roman" w:cs="Times New Roman"/>
        </w:rPr>
        <w:t xml:space="preserve"> </w:t>
      </w:r>
    </w:p>
  </w:footnote>
  <w:footnote w:id="561">
    <w:p w14:paraId="619386DC" w14:textId="5B3148D0" w:rsidR="00336EDF" w:rsidRPr="004872FB" w:rsidRDefault="00336EDF" w:rsidP="009B1C8E">
      <w:pPr>
        <w:pStyle w:val="FootnoteText"/>
        <w:rPr>
          <w:rFonts w:ascii="Times New Roman" w:hAnsi="Times New Roman" w:cs="Times New Roman"/>
        </w:rPr>
      </w:pPr>
      <w:r w:rsidRPr="004872FB">
        <w:rPr>
          <w:rStyle w:val="FootnoteReference"/>
          <w:rFonts w:ascii="Times New Roman" w:hAnsi="Times New Roman" w:cs="Times New Roman"/>
        </w:rPr>
        <w:footnoteRef/>
      </w:r>
      <w:r>
        <w:t xml:space="preserve"> </w:t>
      </w:r>
      <w:r w:rsidRPr="004872FB">
        <w:rPr>
          <w:rFonts w:ascii="Times New Roman" w:hAnsi="Times New Roman" w:cs="Times New Roman"/>
        </w:rPr>
        <w:t xml:space="preserve">Stallman v. Workers’ Safety &amp; Comp. Div., </w:t>
      </w:r>
      <w:hyperlink r:id="rId214" w:history="1">
        <w:r w:rsidRPr="004872FB">
          <w:rPr>
            <w:rStyle w:val="Hyperlink"/>
            <w:rFonts w:ascii="Times New Roman" w:hAnsi="Times New Roman" w:cs="Times New Roman"/>
          </w:rPr>
          <w:t>297 P.3d. 82</w:t>
        </w:r>
      </w:hyperlink>
      <w:r w:rsidRPr="004872FB">
        <w:rPr>
          <w:rFonts w:ascii="Times New Roman" w:hAnsi="Times New Roman" w:cs="Times New Roman"/>
        </w:rPr>
        <w:t>, 96 (Wyo. 2013)</w:t>
      </w:r>
    </w:p>
    <w:p w14:paraId="4B9DF5CC" w14:textId="73A99B2F" w:rsidR="00336EDF" w:rsidRDefault="00336EDF">
      <w:pPr>
        <w:pStyle w:val="FootnoteText"/>
      </w:pPr>
    </w:p>
  </w:footnote>
  <w:footnote w:id="562">
    <w:p w14:paraId="3DCC41DF" w14:textId="5DC4306A" w:rsidR="00336EDF" w:rsidRDefault="00336EDF">
      <w:pPr>
        <w:pStyle w:val="FootnoteText"/>
      </w:pPr>
      <w:r w:rsidRPr="00B74F85">
        <w:rPr>
          <w:rStyle w:val="FootnoteReference"/>
          <w:rFonts w:ascii="Times New Roman" w:hAnsi="Times New Roman" w:cs="Times New Roman"/>
        </w:rPr>
        <w:footnoteRef/>
      </w:r>
      <w:r w:rsidRPr="00B74F85">
        <w:rPr>
          <w:rFonts w:ascii="Times New Roman" w:hAnsi="Times New Roman" w:cs="Times New Roman"/>
        </w:rPr>
        <w:t xml:space="preserve"> </w:t>
      </w:r>
      <w:bookmarkStart w:id="796" w:name="f533"/>
      <w:bookmarkEnd w:id="796"/>
      <w:r>
        <w:fldChar w:fldCharType="begin"/>
      </w:r>
      <w:r>
        <w:instrText xml:space="preserve"> HYPERLINK "https://www.leagle.com/decision/inadvwyco100826002823" </w:instrText>
      </w:r>
      <w:r>
        <w:fldChar w:fldCharType="separate"/>
      </w:r>
      <w:r w:rsidRPr="0046119D">
        <w:rPr>
          <w:rStyle w:val="Hyperlink"/>
          <w:rFonts w:ascii="Times New Roman" w:hAnsi="Times New Roman" w:cs="Times New Roman"/>
        </w:rPr>
        <w:t>232 P.3d 1</w:t>
      </w:r>
      <w:r>
        <w:rPr>
          <w:rStyle w:val="Hyperlink"/>
          <w:rFonts w:ascii="Times New Roman" w:hAnsi="Times New Roman" w:cs="Times New Roman"/>
        </w:rPr>
        <w:fldChar w:fldCharType="end"/>
      </w:r>
      <w:r w:rsidRPr="00B74F85">
        <w:rPr>
          <w:rFonts w:ascii="Times New Roman" w:hAnsi="Times New Roman" w:cs="Times New Roman"/>
        </w:rPr>
        <w:t xml:space="preserve"> (Wyo. 2010)</w:t>
      </w:r>
    </w:p>
  </w:footnote>
  <w:footnote w:id="563">
    <w:p w14:paraId="32830D07" w14:textId="21CD382F" w:rsidR="00336EDF" w:rsidRDefault="00336EDF">
      <w:pPr>
        <w:pStyle w:val="FootnoteText"/>
      </w:pPr>
      <w:r w:rsidRPr="00B74F85">
        <w:rPr>
          <w:rStyle w:val="FootnoteReference"/>
          <w:rFonts w:ascii="Times New Roman" w:hAnsi="Times New Roman" w:cs="Times New Roman"/>
        </w:rPr>
        <w:footnoteRef/>
      </w:r>
      <w:r>
        <w:t xml:space="preserve"> </w:t>
      </w:r>
      <w:bookmarkStart w:id="797" w:name="f534"/>
      <w:bookmarkEnd w:id="797"/>
      <w:r w:rsidRPr="00B74F85">
        <w:rPr>
          <w:rFonts w:ascii="Times New Roman" w:hAnsi="Times New Roman" w:cs="Times New Roman"/>
          <w:i/>
        </w:rPr>
        <w:t>Id</w:t>
      </w:r>
      <w:r w:rsidRPr="00B74F85">
        <w:rPr>
          <w:rFonts w:ascii="Times New Roman" w:hAnsi="Times New Roman" w:cs="Times New Roman"/>
        </w:rPr>
        <w:t xml:space="preserve">. </w:t>
      </w:r>
      <w:r>
        <w:rPr>
          <w:rFonts w:ascii="Times New Roman" w:hAnsi="Times New Roman" w:cs="Times New Roman"/>
        </w:rPr>
        <w:t>a</w:t>
      </w:r>
      <w:r w:rsidRPr="00B74F85">
        <w:rPr>
          <w:rFonts w:ascii="Times New Roman" w:hAnsi="Times New Roman" w:cs="Times New Roman"/>
        </w:rPr>
        <w:t>t 11</w:t>
      </w:r>
    </w:p>
  </w:footnote>
  <w:footnote w:id="564">
    <w:p w14:paraId="390596D4" w14:textId="79E050AC" w:rsidR="00336EDF" w:rsidRPr="00B74F85" w:rsidRDefault="00336EDF" w:rsidP="00B74F85">
      <w:pPr>
        <w:pStyle w:val="FootnoteText"/>
        <w:jc w:val="both"/>
        <w:rPr>
          <w:rFonts w:ascii="Times New Roman" w:hAnsi="Times New Roman" w:cs="Times New Roman"/>
        </w:rPr>
      </w:pPr>
      <w:r w:rsidRPr="00B74F85">
        <w:rPr>
          <w:rStyle w:val="FootnoteReference"/>
          <w:rFonts w:ascii="Times New Roman" w:hAnsi="Times New Roman" w:cs="Times New Roman"/>
        </w:rPr>
        <w:footnoteRef/>
      </w:r>
      <w:r>
        <w:t xml:space="preserve"> </w:t>
      </w:r>
      <w:bookmarkStart w:id="798" w:name="f535"/>
      <w:bookmarkEnd w:id="798"/>
      <w:r w:rsidRPr="00B74F85">
        <w:rPr>
          <w:rFonts w:ascii="Times New Roman" w:hAnsi="Times New Roman" w:cs="Times New Roman"/>
        </w:rPr>
        <w:t xml:space="preserve">More precisely, the Court discredited the Medical Commission’s reasons for finding the claimant had not made a prima facie showing and proceeded as if the claimant had in fact done so. </w:t>
      </w:r>
      <w:r w:rsidRPr="00B74F85">
        <w:rPr>
          <w:rFonts w:ascii="Times New Roman" w:hAnsi="Times New Roman" w:cs="Times New Roman"/>
          <w:i/>
        </w:rPr>
        <w:t>Id</w:t>
      </w:r>
      <w:r>
        <w:rPr>
          <w:rFonts w:ascii="Times New Roman" w:hAnsi="Times New Roman" w:cs="Times New Roman"/>
        </w:rPr>
        <w:t>.</w:t>
      </w:r>
    </w:p>
  </w:footnote>
  <w:footnote w:id="565">
    <w:p w14:paraId="5E7DB019" w14:textId="3F5F96C6" w:rsidR="00336EDF" w:rsidRDefault="00336EDF">
      <w:pPr>
        <w:pStyle w:val="FootnoteText"/>
      </w:pPr>
      <w:r w:rsidRPr="00B74F85">
        <w:rPr>
          <w:rStyle w:val="FootnoteReference"/>
          <w:rFonts w:ascii="Times New Roman" w:hAnsi="Times New Roman" w:cs="Times New Roman"/>
        </w:rPr>
        <w:footnoteRef/>
      </w:r>
      <w:r>
        <w:t xml:space="preserve"> </w:t>
      </w:r>
      <w:bookmarkStart w:id="799" w:name="f536"/>
      <w:bookmarkEnd w:id="799"/>
      <w:r w:rsidRPr="00B74F85">
        <w:rPr>
          <w:rFonts w:ascii="Times New Roman" w:hAnsi="Times New Roman" w:cs="Times New Roman"/>
          <w:i/>
        </w:rPr>
        <w:t>Id.</w:t>
      </w:r>
    </w:p>
  </w:footnote>
  <w:footnote w:id="566">
    <w:p w14:paraId="7BA241AA" w14:textId="3DD3AC32" w:rsidR="00336EDF" w:rsidRDefault="00336EDF">
      <w:pPr>
        <w:pStyle w:val="FootnoteText"/>
      </w:pPr>
      <w:r w:rsidRPr="00EF3F95">
        <w:rPr>
          <w:rStyle w:val="FootnoteReference"/>
          <w:rFonts w:ascii="Times New Roman" w:hAnsi="Times New Roman" w:cs="Times New Roman"/>
        </w:rPr>
        <w:footnoteRef/>
      </w:r>
      <w:r>
        <w:t xml:space="preserve"> </w:t>
      </w:r>
      <w:bookmarkStart w:id="800" w:name="f537"/>
      <w:bookmarkEnd w:id="800"/>
      <w:r w:rsidRPr="00EF3F95">
        <w:rPr>
          <w:rFonts w:ascii="Times New Roman" w:hAnsi="Times New Roman" w:cs="Times New Roman"/>
          <w:i/>
        </w:rPr>
        <w:t>Id</w:t>
      </w:r>
      <w:r w:rsidRPr="00EF3F95">
        <w:rPr>
          <w:rFonts w:ascii="Times New Roman" w:hAnsi="Times New Roman" w:cs="Times New Roman"/>
        </w:rPr>
        <w:t>. at 12</w:t>
      </w:r>
    </w:p>
  </w:footnote>
  <w:footnote w:id="567">
    <w:p w14:paraId="740AA507" w14:textId="1D8A0983" w:rsidR="00336EDF" w:rsidRDefault="00336EDF">
      <w:pPr>
        <w:pStyle w:val="FootnoteText"/>
      </w:pPr>
      <w:r w:rsidRPr="007B5887">
        <w:rPr>
          <w:rStyle w:val="FootnoteReference"/>
          <w:rFonts w:ascii="Times New Roman" w:hAnsi="Times New Roman" w:cs="Times New Roman"/>
        </w:rPr>
        <w:footnoteRef/>
      </w:r>
      <w:r>
        <w:t xml:space="preserve"> </w:t>
      </w:r>
      <w:bookmarkStart w:id="801" w:name="f538"/>
      <w:bookmarkEnd w:id="801"/>
      <w:r w:rsidRPr="007B5887">
        <w:rPr>
          <w:rFonts w:ascii="Times New Roman" w:hAnsi="Times New Roman" w:cs="Times New Roman"/>
          <w:i/>
        </w:rPr>
        <w:t>Id</w:t>
      </w:r>
      <w:r w:rsidRPr="007B5887">
        <w:rPr>
          <w:rFonts w:ascii="Times New Roman" w:hAnsi="Times New Roman" w:cs="Times New Roman"/>
        </w:rPr>
        <w:t>. at 14-15</w:t>
      </w:r>
    </w:p>
  </w:footnote>
  <w:footnote w:id="568">
    <w:p w14:paraId="1EF0EF47" w14:textId="024BBFD8" w:rsidR="00336EDF" w:rsidRDefault="00336EDF">
      <w:pPr>
        <w:pStyle w:val="FootnoteText"/>
      </w:pPr>
      <w:r w:rsidRPr="00B02DD3">
        <w:rPr>
          <w:rStyle w:val="FootnoteReference"/>
          <w:rFonts w:ascii="Times New Roman" w:hAnsi="Times New Roman" w:cs="Times New Roman"/>
        </w:rPr>
        <w:footnoteRef/>
      </w:r>
      <w:r>
        <w:t xml:space="preserve"> </w:t>
      </w:r>
      <w:bookmarkStart w:id="802" w:name="f539"/>
      <w:bookmarkEnd w:id="802"/>
      <w:r w:rsidRPr="007B5887">
        <w:rPr>
          <w:rFonts w:ascii="Times New Roman" w:hAnsi="Times New Roman" w:cs="Times New Roman"/>
          <w:i/>
        </w:rPr>
        <w:t>See</w:t>
      </w:r>
      <w:r w:rsidRPr="007B5887">
        <w:rPr>
          <w:rFonts w:ascii="Times New Roman" w:hAnsi="Times New Roman" w:cs="Times New Roman"/>
        </w:rPr>
        <w:t xml:space="preserve"> standard </w:t>
      </w:r>
      <w:r w:rsidRPr="007B5887">
        <w:rPr>
          <w:rFonts w:ascii="Times New Roman" w:hAnsi="Times New Roman" w:cs="Times New Roman"/>
          <w:i/>
        </w:rPr>
        <w:t>supra</w:t>
      </w:r>
      <w:r w:rsidRPr="007B5887">
        <w:rPr>
          <w:rFonts w:ascii="Times New Roman" w:hAnsi="Times New Roman" w:cs="Times New Roman"/>
        </w:rPr>
        <w:t xml:space="preserve">. </w:t>
      </w:r>
    </w:p>
  </w:footnote>
  <w:footnote w:id="569">
    <w:p w14:paraId="56EAE910" w14:textId="71AB5446" w:rsidR="00336EDF" w:rsidRDefault="00336EDF">
      <w:pPr>
        <w:pStyle w:val="FootnoteText"/>
      </w:pPr>
      <w:r w:rsidRPr="00B02DD3">
        <w:rPr>
          <w:rStyle w:val="FootnoteReference"/>
          <w:rFonts w:ascii="Times New Roman" w:hAnsi="Times New Roman" w:cs="Times New Roman"/>
        </w:rPr>
        <w:footnoteRef/>
      </w:r>
      <w:r>
        <w:t xml:space="preserve"> </w:t>
      </w:r>
      <w:bookmarkStart w:id="803" w:name="f540"/>
      <w:bookmarkEnd w:id="803"/>
      <w:r>
        <w:fldChar w:fldCharType="begin"/>
      </w:r>
      <w:r>
        <w:instrText xml:space="preserve"> HYPERLINK "https://law.justia.com/cases/wyoming/supreme-court/1983/121148.html" </w:instrText>
      </w:r>
      <w:r>
        <w:fldChar w:fldCharType="separate"/>
      </w:r>
      <w:r w:rsidRPr="0046119D">
        <w:rPr>
          <w:rStyle w:val="Hyperlink"/>
          <w:rFonts w:ascii="Times New Roman" w:hAnsi="Times New Roman" w:cs="Times New Roman"/>
        </w:rPr>
        <w:t>669 P.2d 522</w:t>
      </w:r>
      <w:r>
        <w:rPr>
          <w:rStyle w:val="Hyperlink"/>
          <w:rFonts w:ascii="Times New Roman" w:hAnsi="Times New Roman" w:cs="Times New Roman"/>
        </w:rPr>
        <w:fldChar w:fldCharType="end"/>
      </w:r>
      <w:r w:rsidRPr="00B02DD3">
        <w:rPr>
          <w:rFonts w:ascii="Times New Roman" w:hAnsi="Times New Roman" w:cs="Times New Roman"/>
        </w:rPr>
        <w:t xml:space="preserve"> (Wyo. 1983)</w:t>
      </w:r>
    </w:p>
  </w:footnote>
  <w:footnote w:id="570">
    <w:p w14:paraId="4C1526DC" w14:textId="6BA2EBAB" w:rsidR="00336EDF" w:rsidRPr="006B5502" w:rsidRDefault="00336EDF" w:rsidP="006B5502">
      <w:pPr>
        <w:pStyle w:val="FootnoteText"/>
        <w:jc w:val="both"/>
        <w:rPr>
          <w:rFonts w:ascii="Times New Roman" w:hAnsi="Times New Roman" w:cs="Times New Roman"/>
        </w:rPr>
      </w:pPr>
      <w:r w:rsidRPr="00D95F8A">
        <w:rPr>
          <w:rStyle w:val="FootnoteReference"/>
          <w:rFonts w:ascii="Times New Roman" w:hAnsi="Times New Roman" w:cs="Times New Roman"/>
        </w:rPr>
        <w:footnoteRef/>
      </w:r>
      <w:r>
        <w:t xml:space="preserve"> </w:t>
      </w:r>
      <w:bookmarkStart w:id="804" w:name="f541"/>
      <w:bookmarkEnd w:id="804"/>
      <w:r w:rsidRPr="00D95F8A">
        <w:rPr>
          <w:rFonts w:ascii="Times New Roman" w:hAnsi="Times New Roman" w:cs="Times New Roman"/>
          <w:i/>
        </w:rPr>
        <w:t>Id</w:t>
      </w:r>
      <w:r w:rsidRPr="00B02DD3">
        <w:rPr>
          <w:rFonts w:ascii="Times New Roman" w:hAnsi="Times New Roman" w:cs="Times New Roman"/>
        </w:rPr>
        <w:t xml:space="preserve">. at 528 </w:t>
      </w:r>
      <w:r w:rsidRPr="006B5502">
        <w:rPr>
          <w:rFonts w:ascii="Times New Roman" w:hAnsi="Times New Roman" w:cs="Times New Roman"/>
          <w:i/>
        </w:rPr>
        <w:t>adopted from</w:t>
      </w:r>
      <w:r w:rsidRPr="00B02DD3">
        <w:rPr>
          <w:rFonts w:ascii="Times New Roman" w:hAnsi="Times New Roman" w:cs="Times New Roman"/>
        </w:rPr>
        <w:t xml:space="preserve"> 2 L</w:t>
      </w:r>
      <w:r w:rsidRPr="00D95F8A">
        <w:rPr>
          <w:rFonts w:ascii="Times New Roman" w:hAnsi="Times New Roman" w:cs="Times New Roman"/>
          <w:smallCaps/>
        </w:rPr>
        <w:t>arson</w:t>
      </w:r>
      <w:r w:rsidRPr="00B02DD3">
        <w:rPr>
          <w:rFonts w:ascii="Times New Roman" w:hAnsi="Times New Roman" w:cs="Times New Roman"/>
        </w:rPr>
        <w:t>, W</w:t>
      </w:r>
      <w:r w:rsidRPr="00D95F8A">
        <w:rPr>
          <w:rFonts w:ascii="Times New Roman" w:hAnsi="Times New Roman" w:cs="Times New Roman"/>
          <w:smallCaps/>
        </w:rPr>
        <w:t>orkmen's</w:t>
      </w:r>
      <w:r w:rsidRPr="00B02DD3">
        <w:rPr>
          <w:rFonts w:ascii="Times New Roman" w:hAnsi="Times New Roman" w:cs="Times New Roman"/>
        </w:rPr>
        <w:t xml:space="preserve"> C</w:t>
      </w:r>
      <w:r w:rsidRPr="00D95F8A">
        <w:rPr>
          <w:rFonts w:ascii="Times New Roman" w:hAnsi="Times New Roman" w:cs="Times New Roman"/>
          <w:smallCaps/>
        </w:rPr>
        <w:t>ompensation</w:t>
      </w:r>
      <w:r w:rsidRPr="00B02DD3">
        <w:rPr>
          <w:rFonts w:ascii="Times New Roman" w:hAnsi="Times New Roman" w:cs="Times New Roman"/>
        </w:rPr>
        <w:t xml:space="preserve"> L</w:t>
      </w:r>
      <w:r w:rsidRPr="00D95F8A">
        <w:rPr>
          <w:rFonts w:ascii="Times New Roman" w:hAnsi="Times New Roman" w:cs="Times New Roman"/>
          <w:smallCaps/>
        </w:rPr>
        <w:t>aw</w:t>
      </w:r>
      <w:r w:rsidRPr="00B02DD3">
        <w:rPr>
          <w:rFonts w:ascii="Times New Roman" w:hAnsi="Times New Roman" w:cs="Times New Roman"/>
        </w:rPr>
        <w:t>, § 57.61, at 10–164.95 to 1–164.114 (1982)</w:t>
      </w:r>
      <w:r>
        <w:rPr>
          <w:rFonts w:ascii="Times New Roman" w:hAnsi="Times New Roman" w:cs="Times New Roman"/>
        </w:rPr>
        <w:t xml:space="preserve">; </w:t>
      </w:r>
      <w:r w:rsidRPr="006B5502">
        <w:rPr>
          <w:rFonts w:ascii="Times New Roman" w:hAnsi="Times New Roman" w:cs="Times New Roman"/>
          <w:i/>
        </w:rPr>
        <w:t>same principle as updated in</w:t>
      </w:r>
      <w:r>
        <w:rPr>
          <w:rFonts w:ascii="Times New Roman" w:hAnsi="Times New Roman" w:cs="Times New Roman"/>
        </w:rPr>
        <w:t xml:space="preserve"> </w:t>
      </w:r>
      <w:r w:rsidRPr="006B5502">
        <w:rPr>
          <w:rFonts w:ascii="Times New Roman" w:hAnsi="Times New Roman" w:cs="Times New Roman"/>
        </w:rPr>
        <w:t>7 L</w:t>
      </w:r>
      <w:r w:rsidRPr="006B5502">
        <w:rPr>
          <w:rFonts w:ascii="Times New Roman" w:hAnsi="Times New Roman" w:cs="Times New Roman"/>
          <w:smallCaps/>
        </w:rPr>
        <w:t>arson</w:t>
      </w:r>
      <w:r>
        <w:rPr>
          <w:rFonts w:ascii="Times New Roman" w:hAnsi="Times New Roman" w:cs="Times New Roman"/>
          <w:smallCaps/>
        </w:rPr>
        <w:t>’</w:t>
      </w:r>
      <w:r w:rsidRPr="006B5502">
        <w:rPr>
          <w:rFonts w:ascii="Times New Roman" w:hAnsi="Times New Roman" w:cs="Times New Roman"/>
          <w:smallCaps/>
        </w:rPr>
        <w:t>s</w:t>
      </w:r>
      <w:r w:rsidRPr="006B5502">
        <w:rPr>
          <w:rFonts w:ascii="Times New Roman" w:hAnsi="Times New Roman" w:cs="Times New Roman"/>
        </w:rPr>
        <w:t xml:space="preserve"> W</w:t>
      </w:r>
      <w:r w:rsidRPr="006B5502">
        <w:rPr>
          <w:rFonts w:ascii="Times New Roman" w:hAnsi="Times New Roman" w:cs="Times New Roman"/>
          <w:smallCaps/>
        </w:rPr>
        <w:t>orkers</w:t>
      </w:r>
      <w:r>
        <w:rPr>
          <w:rFonts w:ascii="Times New Roman" w:hAnsi="Times New Roman" w:cs="Times New Roman"/>
          <w:smallCaps/>
        </w:rPr>
        <w:t>’</w:t>
      </w:r>
      <w:r w:rsidRPr="006B5502">
        <w:rPr>
          <w:rFonts w:ascii="Times New Roman" w:hAnsi="Times New Roman" w:cs="Times New Roman"/>
        </w:rPr>
        <w:t xml:space="preserve"> C</w:t>
      </w:r>
      <w:r w:rsidRPr="006B5502">
        <w:rPr>
          <w:rFonts w:ascii="Times New Roman" w:hAnsi="Times New Roman" w:cs="Times New Roman"/>
          <w:smallCaps/>
        </w:rPr>
        <w:t>ompensation</w:t>
      </w:r>
      <w:r w:rsidRPr="006B5502">
        <w:rPr>
          <w:rFonts w:ascii="Times New Roman" w:hAnsi="Times New Roman" w:cs="Times New Roman"/>
        </w:rPr>
        <w:t xml:space="preserve"> L</w:t>
      </w:r>
      <w:r w:rsidRPr="006B5502">
        <w:rPr>
          <w:rFonts w:ascii="Times New Roman" w:hAnsi="Times New Roman" w:cs="Times New Roman"/>
          <w:smallCaps/>
        </w:rPr>
        <w:t>aw</w:t>
      </w:r>
      <w:r w:rsidRPr="006B5502">
        <w:rPr>
          <w:rFonts w:ascii="Times New Roman" w:hAnsi="Times New Roman" w:cs="Times New Roman"/>
        </w:rPr>
        <w:t xml:space="preserve"> § 84.01</w:t>
      </w:r>
    </w:p>
  </w:footnote>
  <w:footnote w:id="571">
    <w:p w14:paraId="497F6DDF" w14:textId="7BF46186" w:rsidR="00336EDF" w:rsidRDefault="00336EDF">
      <w:pPr>
        <w:pStyle w:val="FootnoteText"/>
      </w:pPr>
      <w:r w:rsidRPr="00113DC2">
        <w:rPr>
          <w:rStyle w:val="FootnoteReference"/>
          <w:rFonts w:ascii="Times New Roman" w:hAnsi="Times New Roman" w:cs="Times New Roman"/>
        </w:rPr>
        <w:footnoteRef/>
      </w:r>
      <w:r>
        <w:t xml:space="preserve"> </w:t>
      </w:r>
      <w:bookmarkStart w:id="805" w:name="f542"/>
      <w:bookmarkEnd w:id="805"/>
      <w:r>
        <w:fldChar w:fldCharType="begin"/>
      </w:r>
      <w:r>
        <w:instrText xml:space="preserve"> HYPERLINK "https://www.leagle.com/decision/inwyco20120302f43" </w:instrText>
      </w:r>
      <w:r>
        <w:fldChar w:fldCharType="separate"/>
      </w:r>
      <w:r w:rsidRPr="0046119D">
        <w:rPr>
          <w:rStyle w:val="Hyperlink"/>
          <w:rFonts w:ascii="Times New Roman" w:hAnsi="Times New Roman" w:cs="Times New Roman"/>
        </w:rPr>
        <w:t>271 P.3d 422</w:t>
      </w:r>
      <w:r>
        <w:rPr>
          <w:rStyle w:val="Hyperlink"/>
          <w:rFonts w:ascii="Times New Roman" w:hAnsi="Times New Roman" w:cs="Times New Roman"/>
        </w:rPr>
        <w:fldChar w:fldCharType="end"/>
      </w:r>
      <w:r w:rsidRPr="00113DC2">
        <w:rPr>
          <w:rFonts w:ascii="Times New Roman" w:hAnsi="Times New Roman" w:cs="Times New Roman"/>
        </w:rPr>
        <w:t xml:space="preserve"> (Wyo. 2012)</w:t>
      </w:r>
    </w:p>
  </w:footnote>
  <w:footnote w:id="572">
    <w:p w14:paraId="49B95356" w14:textId="7E687807" w:rsidR="00336EDF" w:rsidRPr="00113DC2" w:rsidRDefault="00336EDF">
      <w:pPr>
        <w:pStyle w:val="FootnoteText"/>
        <w:rPr>
          <w:rFonts w:ascii="Times New Roman" w:hAnsi="Times New Roman" w:cs="Times New Roman"/>
        </w:rPr>
      </w:pPr>
      <w:r w:rsidRPr="00113DC2">
        <w:rPr>
          <w:rStyle w:val="FootnoteReference"/>
          <w:rFonts w:ascii="Times New Roman" w:hAnsi="Times New Roman" w:cs="Times New Roman"/>
        </w:rPr>
        <w:footnoteRef/>
      </w:r>
      <w:r w:rsidRPr="00113DC2">
        <w:rPr>
          <w:rFonts w:ascii="Times New Roman" w:hAnsi="Times New Roman" w:cs="Times New Roman"/>
        </w:rPr>
        <w:t xml:space="preserve"> </w:t>
      </w:r>
      <w:bookmarkStart w:id="806" w:name="f543"/>
      <w:bookmarkEnd w:id="806"/>
      <w:r w:rsidRPr="00113DC2">
        <w:rPr>
          <w:rFonts w:ascii="Times New Roman" w:hAnsi="Times New Roman" w:cs="Times New Roman"/>
          <w:i/>
        </w:rPr>
        <w:t>Id</w:t>
      </w:r>
      <w:r>
        <w:rPr>
          <w:rFonts w:ascii="Times New Roman" w:hAnsi="Times New Roman" w:cs="Times New Roman"/>
        </w:rPr>
        <w:t>. at 424</w:t>
      </w:r>
    </w:p>
  </w:footnote>
  <w:footnote w:id="573">
    <w:p w14:paraId="451CFB31" w14:textId="11EEF637" w:rsidR="00336EDF" w:rsidRDefault="00336EDF">
      <w:pPr>
        <w:pStyle w:val="FootnoteText"/>
      </w:pPr>
      <w:r w:rsidRPr="00C34F2E">
        <w:rPr>
          <w:rStyle w:val="FootnoteReference"/>
          <w:rFonts w:ascii="Times New Roman" w:hAnsi="Times New Roman" w:cs="Times New Roman"/>
        </w:rPr>
        <w:footnoteRef/>
      </w:r>
      <w:r>
        <w:t xml:space="preserve"> </w:t>
      </w:r>
      <w:bookmarkStart w:id="807" w:name="f544"/>
      <w:bookmarkEnd w:id="807"/>
      <w:r w:rsidRPr="00C34F2E">
        <w:rPr>
          <w:rFonts w:ascii="Times New Roman" w:hAnsi="Times New Roman" w:cs="Times New Roman"/>
          <w:i/>
        </w:rPr>
        <w:t>Id</w:t>
      </w:r>
      <w:r w:rsidRPr="00C34F2E">
        <w:rPr>
          <w:rFonts w:ascii="Times New Roman" w:hAnsi="Times New Roman" w:cs="Times New Roman"/>
        </w:rPr>
        <w:t>. at 438</w:t>
      </w:r>
    </w:p>
  </w:footnote>
  <w:footnote w:id="574">
    <w:p w14:paraId="4CE8C868" w14:textId="4C1E2216" w:rsidR="00336EDF" w:rsidRDefault="00336EDF">
      <w:pPr>
        <w:pStyle w:val="FootnoteText"/>
      </w:pPr>
      <w:r w:rsidRPr="00C34F2E">
        <w:rPr>
          <w:rStyle w:val="FootnoteReference"/>
          <w:rFonts w:ascii="Times New Roman" w:hAnsi="Times New Roman" w:cs="Times New Roman"/>
        </w:rPr>
        <w:footnoteRef/>
      </w:r>
      <w:bookmarkStart w:id="808" w:name="f545"/>
      <w:bookmarkEnd w:id="808"/>
      <w:r w:rsidRPr="00C34F2E">
        <w:rPr>
          <w:rFonts w:ascii="Times New Roman" w:hAnsi="Times New Roman" w:cs="Times New Roman"/>
        </w:rPr>
        <w:t xml:space="preserve"> </w:t>
      </w:r>
      <w:r w:rsidRPr="00C34F2E">
        <w:rPr>
          <w:rFonts w:ascii="Times New Roman" w:hAnsi="Times New Roman" w:cs="Times New Roman"/>
          <w:i/>
        </w:rPr>
        <w:t>Id.</w:t>
      </w:r>
    </w:p>
  </w:footnote>
  <w:footnote w:id="575">
    <w:p w14:paraId="2B0D479C" w14:textId="396E01F5" w:rsidR="00336EDF" w:rsidRDefault="00336EDF">
      <w:pPr>
        <w:pStyle w:val="FootnoteText"/>
      </w:pPr>
      <w:r w:rsidRPr="00C34F2E">
        <w:rPr>
          <w:rStyle w:val="FootnoteReference"/>
          <w:rFonts w:ascii="Times New Roman" w:hAnsi="Times New Roman" w:cs="Times New Roman"/>
        </w:rPr>
        <w:footnoteRef/>
      </w:r>
      <w:r>
        <w:t xml:space="preserve"> </w:t>
      </w:r>
      <w:bookmarkStart w:id="809" w:name="f546"/>
      <w:bookmarkEnd w:id="809"/>
      <w:r w:rsidRPr="00C34F2E">
        <w:rPr>
          <w:rFonts w:ascii="Times New Roman" w:hAnsi="Times New Roman" w:cs="Times New Roman"/>
          <w:i/>
        </w:rPr>
        <w:t>Id</w:t>
      </w:r>
      <w:r w:rsidRPr="00C34F2E">
        <w:rPr>
          <w:rFonts w:ascii="Times New Roman" w:hAnsi="Times New Roman" w:cs="Times New Roman"/>
        </w:rPr>
        <w:t>. at 439</w:t>
      </w:r>
    </w:p>
  </w:footnote>
  <w:footnote w:id="576">
    <w:p w14:paraId="2F025465" w14:textId="040BC0AB" w:rsidR="00336EDF" w:rsidRDefault="00336EDF">
      <w:pPr>
        <w:pStyle w:val="FootnoteText"/>
      </w:pPr>
      <w:r w:rsidRPr="003C00FB">
        <w:rPr>
          <w:rStyle w:val="FootnoteReference"/>
          <w:rFonts w:ascii="Times New Roman" w:hAnsi="Times New Roman" w:cs="Times New Roman"/>
        </w:rPr>
        <w:footnoteRef/>
      </w:r>
      <w:r>
        <w:t xml:space="preserve"> </w:t>
      </w:r>
      <w:bookmarkStart w:id="810" w:name="f547"/>
      <w:bookmarkEnd w:id="810"/>
      <w:r w:rsidRPr="003C00FB">
        <w:rPr>
          <w:rFonts w:ascii="Times New Roman" w:hAnsi="Times New Roman" w:cs="Times New Roman"/>
          <w:i/>
        </w:rPr>
        <w:t>Id</w:t>
      </w:r>
      <w:r w:rsidRPr="003C00FB">
        <w:rPr>
          <w:rFonts w:ascii="Times New Roman" w:hAnsi="Times New Roman" w:cs="Times New Roman"/>
        </w:rPr>
        <w:t>. at 442</w:t>
      </w:r>
    </w:p>
  </w:footnote>
  <w:footnote w:id="577">
    <w:p w14:paraId="48AC55BC" w14:textId="30A3C545" w:rsidR="00336EDF" w:rsidRDefault="00336EDF">
      <w:pPr>
        <w:pStyle w:val="FootnoteText"/>
      </w:pPr>
      <w:r w:rsidRPr="003C00FB">
        <w:rPr>
          <w:rStyle w:val="FootnoteReference"/>
          <w:rFonts w:ascii="Times New Roman" w:hAnsi="Times New Roman" w:cs="Times New Roman"/>
        </w:rPr>
        <w:footnoteRef/>
      </w:r>
      <w:r>
        <w:t xml:space="preserve"> </w:t>
      </w:r>
      <w:bookmarkStart w:id="811" w:name="f548"/>
      <w:bookmarkEnd w:id="811"/>
      <w:r w:rsidRPr="003C00FB">
        <w:rPr>
          <w:rFonts w:ascii="Times New Roman" w:hAnsi="Times New Roman" w:cs="Times New Roman"/>
          <w:i/>
        </w:rPr>
        <w:t>Id.</w:t>
      </w:r>
    </w:p>
  </w:footnote>
  <w:footnote w:id="578">
    <w:p w14:paraId="0F083D28" w14:textId="43335E6A" w:rsidR="00336EDF" w:rsidRDefault="00336EDF">
      <w:pPr>
        <w:pStyle w:val="FootnoteText"/>
      </w:pPr>
      <w:r w:rsidRPr="00AB6A9D">
        <w:rPr>
          <w:rStyle w:val="FootnoteReference"/>
          <w:rFonts w:ascii="Times New Roman" w:hAnsi="Times New Roman" w:cs="Times New Roman"/>
        </w:rPr>
        <w:footnoteRef/>
      </w:r>
      <w:r>
        <w:t xml:space="preserve"> </w:t>
      </w:r>
      <w:bookmarkStart w:id="812" w:name="f549"/>
      <w:bookmarkEnd w:id="812"/>
      <w:r w:rsidRPr="00AB6A9D">
        <w:rPr>
          <w:rFonts w:ascii="Times New Roman" w:hAnsi="Times New Roman" w:cs="Times New Roman"/>
          <w:i/>
        </w:rPr>
        <w:t>Id</w:t>
      </w:r>
      <w:r w:rsidRPr="00AB6A9D">
        <w:rPr>
          <w:rFonts w:ascii="Times New Roman" w:hAnsi="Times New Roman" w:cs="Times New Roman"/>
        </w:rPr>
        <w:t>. at 434-435</w:t>
      </w:r>
    </w:p>
  </w:footnote>
  <w:footnote w:id="579">
    <w:p w14:paraId="580B74DB" w14:textId="2061B38F" w:rsidR="00336EDF" w:rsidRDefault="00336EDF" w:rsidP="008C40A7">
      <w:pPr>
        <w:pStyle w:val="FootnoteText"/>
        <w:jc w:val="both"/>
      </w:pPr>
      <w:r w:rsidRPr="006B5502">
        <w:rPr>
          <w:rStyle w:val="FootnoteReference"/>
          <w:rFonts w:ascii="Times New Roman" w:hAnsi="Times New Roman" w:cs="Times New Roman"/>
        </w:rPr>
        <w:footnoteRef/>
      </w:r>
      <w:r>
        <w:t xml:space="preserve"> </w:t>
      </w:r>
      <w:bookmarkStart w:id="813" w:name="f550"/>
      <w:bookmarkEnd w:id="813"/>
      <w:r w:rsidRPr="006B5502">
        <w:rPr>
          <w:rFonts w:ascii="Times New Roman" w:hAnsi="Times New Roman" w:cs="Times New Roman"/>
          <w:i/>
        </w:rPr>
        <w:t>See</w:t>
      </w:r>
      <w:r>
        <w:t xml:space="preserve"> </w:t>
      </w:r>
      <w:bookmarkStart w:id="814" w:name="_Hlk532327362"/>
      <w:r w:rsidRPr="006B5502">
        <w:rPr>
          <w:rFonts w:ascii="Times New Roman" w:hAnsi="Times New Roman" w:cs="Times New Roman"/>
        </w:rPr>
        <w:t>7 L</w:t>
      </w:r>
      <w:r w:rsidRPr="006B5502">
        <w:rPr>
          <w:rFonts w:ascii="Times New Roman" w:hAnsi="Times New Roman" w:cs="Times New Roman"/>
          <w:smallCaps/>
        </w:rPr>
        <w:t>arson</w:t>
      </w:r>
      <w:r>
        <w:rPr>
          <w:rFonts w:ascii="Times New Roman" w:hAnsi="Times New Roman" w:cs="Times New Roman"/>
          <w:smallCaps/>
        </w:rPr>
        <w:t>’</w:t>
      </w:r>
      <w:r w:rsidRPr="006B5502">
        <w:rPr>
          <w:rFonts w:ascii="Times New Roman" w:hAnsi="Times New Roman" w:cs="Times New Roman"/>
          <w:smallCaps/>
        </w:rPr>
        <w:t>s</w:t>
      </w:r>
      <w:r w:rsidRPr="006B5502">
        <w:rPr>
          <w:rFonts w:ascii="Times New Roman" w:hAnsi="Times New Roman" w:cs="Times New Roman"/>
        </w:rPr>
        <w:t xml:space="preserve"> W</w:t>
      </w:r>
      <w:r w:rsidRPr="006B5502">
        <w:rPr>
          <w:rFonts w:ascii="Times New Roman" w:hAnsi="Times New Roman" w:cs="Times New Roman"/>
          <w:smallCaps/>
        </w:rPr>
        <w:t>orkers</w:t>
      </w:r>
      <w:r w:rsidRPr="006B5502">
        <w:rPr>
          <w:rFonts w:ascii="Times New Roman" w:hAnsi="Times New Roman" w:cs="Times New Roman"/>
        </w:rPr>
        <w:t>' C</w:t>
      </w:r>
      <w:r w:rsidRPr="006B5502">
        <w:rPr>
          <w:rFonts w:ascii="Times New Roman" w:hAnsi="Times New Roman" w:cs="Times New Roman"/>
          <w:smallCaps/>
        </w:rPr>
        <w:t xml:space="preserve">ompensation </w:t>
      </w:r>
      <w:r w:rsidRPr="006B5502">
        <w:rPr>
          <w:rFonts w:ascii="Times New Roman" w:hAnsi="Times New Roman" w:cs="Times New Roman"/>
        </w:rPr>
        <w:t>L</w:t>
      </w:r>
      <w:r w:rsidRPr="006B5502">
        <w:rPr>
          <w:rFonts w:ascii="Times New Roman" w:hAnsi="Times New Roman" w:cs="Times New Roman"/>
          <w:smallCaps/>
        </w:rPr>
        <w:t>aw</w:t>
      </w:r>
      <w:r w:rsidRPr="006B5502">
        <w:rPr>
          <w:rFonts w:ascii="Times New Roman" w:hAnsi="Times New Roman" w:cs="Times New Roman"/>
        </w:rPr>
        <w:t xml:space="preserve"> § 83.03</w:t>
      </w:r>
      <w:bookmarkEnd w:id="814"/>
    </w:p>
  </w:footnote>
  <w:footnote w:id="580">
    <w:p w14:paraId="442C79A7" w14:textId="4328DACD" w:rsidR="00336EDF" w:rsidRPr="00304E97" w:rsidRDefault="00336EDF" w:rsidP="00304E97">
      <w:pPr>
        <w:pStyle w:val="FootnoteText"/>
        <w:jc w:val="both"/>
        <w:rPr>
          <w:rFonts w:ascii="Times New Roman" w:hAnsi="Times New Roman" w:cs="Times New Roman"/>
        </w:rPr>
      </w:pPr>
      <w:r w:rsidRPr="00304E97">
        <w:rPr>
          <w:rStyle w:val="FootnoteReference"/>
          <w:rFonts w:ascii="Times New Roman" w:hAnsi="Times New Roman" w:cs="Times New Roman"/>
        </w:rPr>
        <w:footnoteRef/>
      </w:r>
      <w:r>
        <w:t xml:space="preserve"> </w:t>
      </w:r>
      <w:bookmarkStart w:id="815" w:name="f551"/>
      <w:bookmarkEnd w:id="815"/>
      <w:r w:rsidRPr="00304E97">
        <w:rPr>
          <w:rFonts w:ascii="Times New Roman" w:hAnsi="Times New Roman" w:cs="Times New Roman"/>
          <w:i/>
        </w:rPr>
        <w:t>See e.g.</w:t>
      </w:r>
      <w:r w:rsidRPr="00304E97">
        <w:rPr>
          <w:rFonts w:ascii="Times New Roman" w:hAnsi="Times New Roman" w:cs="Times New Roman"/>
        </w:rPr>
        <w:t xml:space="preserve"> Ludwig v. </w:t>
      </w:r>
      <w:bookmarkStart w:id="816" w:name="_Hlk532377222"/>
      <w:r w:rsidRPr="00304E97">
        <w:rPr>
          <w:rFonts w:ascii="Times New Roman" w:hAnsi="Times New Roman" w:cs="Times New Roman"/>
        </w:rPr>
        <w:t xml:space="preserve">Workers’ </w:t>
      </w:r>
      <w:r>
        <w:rPr>
          <w:rFonts w:ascii="Times New Roman" w:hAnsi="Times New Roman" w:cs="Times New Roman"/>
        </w:rPr>
        <w:t>S</w:t>
      </w:r>
      <w:r w:rsidRPr="00304E97">
        <w:rPr>
          <w:rFonts w:ascii="Times New Roman" w:hAnsi="Times New Roman" w:cs="Times New Roman"/>
        </w:rPr>
        <w:t xml:space="preserve">afety </w:t>
      </w:r>
      <w:r>
        <w:rPr>
          <w:rFonts w:ascii="Times New Roman" w:hAnsi="Times New Roman" w:cs="Times New Roman"/>
        </w:rPr>
        <w:t>&amp;</w:t>
      </w:r>
      <w:r w:rsidRPr="00304E97">
        <w:rPr>
          <w:rFonts w:ascii="Times New Roman" w:hAnsi="Times New Roman" w:cs="Times New Roman"/>
        </w:rPr>
        <w:t xml:space="preserve"> Compensation Div</w:t>
      </w:r>
      <w:bookmarkEnd w:id="816"/>
      <w:r>
        <w:rPr>
          <w:rFonts w:ascii="Times New Roman" w:hAnsi="Times New Roman" w:cs="Times New Roman"/>
        </w:rPr>
        <w:t>.</w:t>
      </w:r>
      <w:r w:rsidRPr="00304E97">
        <w:rPr>
          <w:rFonts w:ascii="Times New Roman" w:hAnsi="Times New Roman" w:cs="Times New Roman"/>
        </w:rPr>
        <w:t xml:space="preserve">, </w:t>
      </w:r>
      <w:hyperlink r:id="rId215" w:history="1">
        <w:r w:rsidRPr="0046119D">
          <w:rPr>
            <w:rStyle w:val="Hyperlink"/>
            <w:rFonts w:ascii="Times New Roman" w:hAnsi="Times New Roman" w:cs="Times New Roman"/>
          </w:rPr>
          <w:t>86 P.3d 875</w:t>
        </w:r>
      </w:hyperlink>
      <w:r w:rsidRPr="00304E97">
        <w:rPr>
          <w:rFonts w:ascii="Times New Roman" w:hAnsi="Times New Roman" w:cs="Times New Roman"/>
        </w:rPr>
        <w:t xml:space="preserve"> (Wyo. 2004); Hermosillo v. Workers’ </w:t>
      </w:r>
      <w:r>
        <w:rPr>
          <w:rFonts w:ascii="Times New Roman" w:hAnsi="Times New Roman" w:cs="Times New Roman"/>
        </w:rPr>
        <w:t>S</w:t>
      </w:r>
      <w:r w:rsidRPr="00304E97">
        <w:rPr>
          <w:rFonts w:ascii="Times New Roman" w:hAnsi="Times New Roman" w:cs="Times New Roman"/>
        </w:rPr>
        <w:t xml:space="preserve">afety </w:t>
      </w:r>
      <w:r>
        <w:rPr>
          <w:rFonts w:ascii="Times New Roman" w:hAnsi="Times New Roman" w:cs="Times New Roman"/>
        </w:rPr>
        <w:t>&amp;</w:t>
      </w:r>
      <w:r w:rsidRPr="00304E97">
        <w:rPr>
          <w:rFonts w:ascii="Times New Roman" w:hAnsi="Times New Roman" w:cs="Times New Roman"/>
        </w:rPr>
        <w:t xml:space="preserve"> Compensation Div</w:t>
      </w:r>
      <w:r>
        <w:rPr>
          <w:rFonts w:ascii="Times New Roman" w:hAnsi="Times New Roman" w:cs="Times New Roman"/>
        </w:rPr>
        <w:t>.</w:t>
      </w:r>
      <w:r w:rsidRPr="00304E97">
        <w:rPr>
          <w:rFonts w:ascii="Times New Roman" w:hAnsi="Times New Roman" w:cs="Times New Roman"/>
        </w:rPr>
        <w:t xml:space="preserve">, </w:t>
      </w:r>
      <w:hyperlink r:id="rId216" w:history="1">
        <w:r w:rsidRPr="0046119D">
          <w:rPr>
            <w:rStyle w:val="Hyperlink"/>
            <w:rFonts w:ascii="Times New Roman" w:hAnsi="Times New Roman" w:cs="Times New Roman"/>
          </w:rPr>
          <w:t>58 P.3d 924</w:t>
        </w:r>
      </w:hyperlink>
      <w:r w:rsidRPr="00304E97">
        <w:rPr>
          <w:rFonts w:ascii="Times New Roman" w:hAnsi="Times New Roman" w:cs="Times New Roman"/>
        </w:rPr>
        <w:t xml:space="preserve"> (Wyo. 2002)</w:t>
      </w:r>
    </w:p>
  </w:footnote>
  <w:footnote w:id="581">
    <w:p w14:paraId="184C2C88" w14:textId="4FDC0922" w:rsidR="00336EDF" w:rsidRDefault="00336EDF" w:rsidP="008C40A7">
      <w:pPr>
        <w:pStyle w:val="FootnoteText"/>
        <w:jc w:val="both"/>
      </w:pPr>
      <w:r w:rsidRPr="00CB3361">
        <w:rPr>
          <w:rStyle w:val="FootnoteReference"/>
          <w:rFonts w:ascii="Times New Roman" w:hAnsi="Times New Roman" w:cs="Times New Roman"/>
        </w:rPr>
        <w:footnoteRef/>
      </w:r>
      <w:r w:rsidRPr="00CB3361">
        <w:rPr>
          <w:rFonts w:ascii="Times New Roman" w:hAnsi="Times New Roman" w:cs="Times New Roman"/>
        </w:rPr>
        <w:t xml:space="preserve"> </w:t>
      </w:r>
      <w:bookmarkStart w:id="819" w:name="f552"/>
      <w:bookmarkStart w:id="820" w:name="_Hlk532375149"/>
      <w:bookmarkEnd w:id="819"/>
      <w:r w:rsidRPr="00CB3361">
        <w:rPr>
          <w:rFonts w:ascii="Times New Roman" w:hAnsi="Times New Roman" w:cs="Times New Roman"/>
        </w:rPr>
        <w:t xml:space="preserve">Workers’ Safety </w:t>
      </w:r>
      <w:r>
        <w:rPr>
          <w:rFonts w:ascii="Times New Roman" w:hAnsi="Times New Roman" w:cs="Times New Roman"/>
        </w:rPr>
        <w:t>&amp;</w:t>
      </w:r>
      <w:r w:rsidRPr="00CB3361">
        <w:rPr>
          <w:rFonts w:ascii="Times New Roman" w:hAnsi="Times New Roman" w:cs="Times New Roman"/>
        </w:rPr>
        <w:t xml:space="preserve"> Compensation Div</w:t>
      </w:r>
      <w:r>
        <w:rPr>
          <w:rFonts w:ascii="Times New Roman" w:hAnsi="Times New Roman" w:cs="Times New Roman"/>
        </w:rPr>
        <w:t>.</w:t>
      </w:r>
      <w:r w:rsidRPr="00CB3361">
        <w:rPr>
          <w:rFonts w:ascii="Times New Roman" w:hAnsi="Times New Roman" w:cs="Times New Roman"/>
        </w:rPr>
        <w:t xml:space="preserve"> v. Singer, </w:t>
      </w:r>
      <w:hyperlink r:id="rId217" w:history="1">
        <w:r w:rsidRPr="00C27C7D">
          <w:rPr>
            <w:rStyle w:val="Hyperlink"/>
            <w:rFonts w:ascii="Times New Roman" w:hAnsi="Times New Roman" w:cs="Times New Roman"/>
          </w:rPr>
          <w:t>248 P.3d 1155</w:t>
        </w:r>
      </w:hyperlink>
      <w:r w:rsidRPr="00CB3361">
        <w:rPr>
          <w:rFonts w:ascii="Times New Roman" w:hAnsi="Times New Roman" w:cs="Times New Roman"/>
        </w:rPr>
        <w:t>, 1159 (Wyo. 2011)</w:t>
      </w:r>
      <w:bookmarkEnd w:id="820"/>
    </w:p>
  </w:footnote>
  <w:footnote w:id="582">
    <w:p w14:paraId="678D09E7" w14:textId="2CF2C1C6" w:rsidR="00336EDF" w:rsidRDefault="00336EDF">
      <w:pPr>
        <w:pStyle w:val="FootnoteText"/>
      </w:pPr>
      <w:r w:rsidRPr="00CB3361">
        <w:rPr>
          <w:rStyle w:val="FootnoteReference"/>
          <w:rFonts w:ascii="Times New Roman" w:hAnsi="Times New Roman" w:cs="Times New Roman"/>
        </w:rPr>
        <w:footnoteRef/>
      </w:r>
      <w:r>
        <w:t xml:space="preserve"> </w:t>
      </w:r>
      <w:bookmarkStart w:id="822" w:name="f553"/>
      <w:bookmarkStart w:id="823" w:name="_Hlk532313874"/>
      <w:bookmarkEnd w:id="822"/>
      <w:r w:rsidRPr="00091076">
        <w:rPr>
          <w:rFonts w:ascii="Times New Roman" w:hAnsi="Times New Roman" w:cs="Times New Roman"/>
          <w:i/>
        </w:rPr>
        <w:t>See also</w:t>
      </w:r>
      <w:r>
        <w:rPr>
          <w:rFonts w:ascii="Times New Roman" w:hAnsi="Times New Roman" w:cs="Times New Roman"/>
        </w:rPr>
        <w:t xml:space="preserve"> </w:t>
      </w:r>
      <w:r w:rsidRPr="001D24E7">
        <w:rPr>
          <w:rFonts w:ascii="Times New Roman" w:hAnsi="Times New Roman" w:cs="Times New Roman"/>
        </w:rPr>
        <w:t>WY Rules and Regulations 053.0021.7 § 1</w:t>
      </w:r>
      <w:r>
        <w:rPr>
          <w:rFonts w:ascii="Times New Roman" w:hAnsi="Times New Roman" w:cs="Times New Roman"/>
        </w:rPr>
        <w:t>(b);</w:t>
      </w:r>
      <w:r w:rsidRPr="001D24E7">
        <w:rPr>
          <w:rFonts w:ascii="Times New Roman" w:hAnsi="Times New Roman" w:cs="Times New Roman"/>
        </w:rPr>
        <w:t xml:space="preserve"> </w:t>
      </w:r>
      <w:r w:rsidRPr="00091076">
        <w:rPr>
          <w:rFonts w:ascii="Times New Roman" w:hAnsi="Times New Roman" w:cs="Times New Roman"/>
        </w:rPr>
        <w:t>WY ADC WSD WCD Ch. 7, § 1</w:t>
      </w:r>
      <w:r>
        <w:rPr>
          <w:rFonts w:ascii="Times New Roman" w:hAnsi="Times New Roman" w:cs="Times New Roman"/>
        </w:rPr>
        <w:t>(b)</w:t>
      </w:r>
    </w:p>
    <w:bookmarkEnd w:id="823"/>
  </w:footnote>
  <w:footnote w:id="583">
    <w:p w14:paraId="684620A1" w14:textId="2AE68DB4" w:rsidR="00336EDF" w:rsidRDefault="00336EDF" w:rsidP="00E6126E">
      <w:pPr>
        <w:pStyle w:val="FootnoteText"/>
        <w:jc w:val="both"/>
      </w:pPr>
      <w:r w:rsidRPr="00242A9B">
        <w:rPr>
          <w:rStyle w:val="FootnoteReference"/>
          <w:rFonts w:ascii="Times New Roman" w:hAnsi="Times New Roman" w:cs="Times New Roman"/>
        </w:rPr>
        <w:footnoteRef/>
      </w:r>
      <w:r>
        <w:t xml:space="preserve"> </w:t>
      </w:r>
      <w:bookmarkStart w:id="825" w:name="f554"/>
      <w:bookmarkEnd w:id="825"/>
      <w:r w:rsidRPr="00242A9B">
        <w:rPr>
          <w:rFonts w:ascii="Times New Roman" w:hAnsi="Times New Roman" w:cs="Times New Roman"/>
        </w:rPr>
        <w:t xml:space="preserve">Himes v. Petro Engineering and Construction, </w:t>
      </w:r>
      <w:hyperlink r:id="rId218" w:history="1">
        <w:r w:rsidRPr="00C27C7D">
          <w:rPr>
            <w:rStyle w:val="Hyperlink"/>
            <w:rFonts w:ascii="Times New Roman" w:hAnsi="Times New Roman" w:cs="Times New Roman"/>
          </w:rPr>
          <w:t>61 P.3d 393</w:t>
        </w:r>
      </w:hyperlink>
      <w:r w:rsidRPr="00242A9B">
        <w:rPr>
          <w:rFonts w:ascii="Times New Roman" w:hAnsi="Times New Roman" w:cs="Times New Roman"/>
        </w:rPr>
        <w:t>, 398 n.1 (Wyo. 2003)</w:t>
      </w:r>
    </w:p>
  </w:footnote>
  <w:footnote w:id="584">
    <w:p w14:paraId="6C0F564E" w14:textId="5C759B17" w:rsidR="00336EDF" w:rsidRDefault="00336EDF" w:rsidP="00E6126E">
      <w:pPr>
        <w:pStyle w:val="FootnoteText"/>
        <w:jc w:val="both"/>
        <w:rPr>
          <w:rFonts w:ascii="Times New Roman" w:hAnsi="Times New Roman" w:cs="Times New Roman"/>
        </w:rPr>
      </w:pPr>
      <w:r w:rsidRPr="00E6126E">
        <w:rPr>
          <w:rStyle w:val="FootnoteReference"/>
          <w:rFonts w:ascii="Times New Roman" w:hAnsi="Times New Roman" w:cs="Times New Roman"/>
        </w:rPr>
        <w:footnoteRef/>
      </w:r>
      <w:r>
        <w:t xml:space="preserve"> </w:t>
      </w:r>
      <w:bookmarkStart w:id="827" w:name="f555"/>
      <w:bookmarkEnd w:id="827"/>
      <w:r w:rsidRPr="00E6126E">
        <w:rPr>
          <w:rFonts w:ascii="Times New Roman" w:hAnsi="Times New Roman" w:cs="Times New Roman"/>
        </w:rPr>
        <w:t>“There is no magic formula for what constitutes actively seeking work and no particular level of education, training or experience required to decipher the phrase. One is either actively looking for work, or one is not.”</w:t>
      </w:r>
      <w:r>
        <w:rPr>
          <w:rFonts w:ascii="Times New Roman" w:hAnsi="Times New Roman" w:cs="Times New Roman"/>
        </w:rPr>
        <w:t xml:space="preserve"> Aybeta v. Workers’ Safety &amp; Compensation Div., </w:t>
      </w:r>
      <w:hyperlink r:id="rId219" w:history="1">
        <w:r w:rsidRPr="00C27C7D">
          <w:rPr>
            <w:rStyle w:val="Hyperlink"/>
            <w:rFonts w:ascii="Times New Roman" w:hAnsi="Times New Roman" w:cs="Times New Roman"/>
          </w:rPr>
          <w:t>88 P.3d 1072</w:t>
        </w:r>
      </w:hyperlink>
      <w:r>
        <w:rPr>
          <w:rFonts w:ascii="Times New Roman" w:hAnsi="Times New Roman" w:cs="Times New Roman"/>
        </w:rPr>
        <w:t>, 1076 (Wyo. 2004). Of course, even a cursory perusal of any workers’ compensation case archive quickly suggests that this principle should perhaps not be so confidently asserted. Doubtless for this reason the Division has promulgated a rule defining “actively seeking work”:</w:t>
      </w:r>
    </w:p>
    <w:p w14:paraId="01A934DD" w14:textId="535DBC47" w:rsidR="00336EDF" w:rsidRDefault="00336EDF" w:rsidP="00E6126E">
      <w:pPr>
        <w:pStyle w:val="FootnoteText"/>
        <w:jc w:val="both"/>
        <w:rPr>
          <w:rFonts w:ascii="Times New Roman" w:hAnsi="Times New Roman" w:cs="Times New Roman"/>
        </w:rPr>
      </w:pPr>
    </w:p>
    <w:p w14:paraId="4E0CE043" w14:textId="18E67D48" w:rsidR="00336EDF" w:rsidRDefault="00336EDF" w:rsidP="000B6075">
      <w:pPr>
        <w:pStyle w:val="FootnoteText"/>
        <w:ind w:left="720" w:right="720"/>
        <w:jc w:val="both"/>
        <w:rPr>
          <w:rFonts w:ascii="Times New Roman" w:hAnsi="Times New Roman" w:cs="Times New Roman"/>
        </w:rPr>
      </w:pPr>
      <w:r w:rsidRPr="000B6075">
        <w:rPr>
          <w:rFonts w:ascii="Times New Roman" w:hAnsi="Times New Roman" w:cs="Times New Roman"/>
        </w:rPr>
        <w:t>For purposes of benefit eligibility, a claimant is actively seeking work if the claimant provides tangible evidence of the work search to the Division. Completion of the work search form will be considered tangible evidence. The work search must contain a minimum of five contacts per week over the course of a six week period. The six (6) week period must be immediately preceding the date the application is filed with the Division or immediately following the date the application is filed with the Division. The contacts listed on the work search must be made for work the claimant is reasonably qualified to perform and is willing to accept. Actions that would be considered an active search for employment include completing job applications, faxing or mailing resumes (include proof), and/or visiting the employers in person. Claimant must contact the employer he was working for at the time of injury to inquire if the employer has work available within their medically documented restrictions.</w:t>
      </w:r>
      <w:r>
        <w:rPr>
          <w:rFonts w:ascii="Times New Roman" w:hAnsi="Times New Roman" w:cs="Times New Roman"/>
        </w:rPr>
        <w:t xml:space="preserve"> </w:t>
      </w:r>
      <w:r w:rsidRPr="000B6075">
        <w:rPr>
          <w:rFonts w:ascii="Times New Roman" w:hAnsi="Times New Roman" w:cs="Times New Roman"/>
        </w:rPr>
        <w:t>Wyoming Rules And Regulations</w:t>
      </w:r>
      <w:r>
        <w:rPr>
          <w:rFonts w:ascii="Times New Roman" w:hAnsi="Times New Roman" w:cs="Times New Roman"/>
        </w:rPr>
        <w:t xml:space="preserve">, </w:t>
      </w:r>
      <w:r w:rsidRPr="000B6075">
        <w:rPr>
          <w:rFonts w:ascii="Times New Roman" w:hAnsi="Times New Roman" w:cs="Times New Roman"/>
        </w:rPr>
        <w:t xml:space="preserve">WY ADC WSD WCD </w:t>
      </w:r>
      <w:hyperlink r:id="rId220" w:history="1">
        <w:r w:rsidRPr="00C27C7D">
          <w:rPr>
            <w:rStyle w:val="Hyperlink"/>
            <w:rFonts w:ascii="Times New Roman" w:hAnsi="Times New Roman" w:cs="Times New Roman"/>
          </w:rPr>
          <w:t>Ch. 1, § 3</w:t>
        </w:r>
      </w:hyperlink>
      <w:r>
        <w:rPr>
          <w:rFonts w:ascii="Times New Roman" w:hAnsi="Times New Roman" w:cs="Times New Roman"/>
        </w:rPr>
        <w:t xml:space="preserve"> (2018).</w:t>
      </w:r>
    </w:p>
    <w:p w14:paraId="52F87CA3" w14:textId="77777777" w:rsidR="00336EDF" w:rsidRDefault="00336EDF" w:rsidP="000B6075">
      <w:pPr>
        <w:pStyle w:val="FootnoteText"/>
        <w:ind w:left="720" w:right="720"/>
        <w:jc w:val="both"/>
        <w:rPr>
          <w:rFonts w:ascii="Times New Roman" w:hAnsi="Times New Roman" w:cs="Times New Roman"/>
        </w:rPr>
      </w:pPr>
    </w:p>
    <w:p w14:paraId="037C3A0F" w14:textId="49D172EE" w:rsidR="00336EDF" w:rsidRPr="00E6126E" w:rsidRDefault="00336EDF" w:rsidP="000B6075">
      <w:pPr>
        <w:pStyle w:val="FootnoteText"/>
        <w:ind w:right="720"/>
        <w:jc w:val="both"/>
        <w:rPr>
          <w:rFonts w:ascii="Times New Roman" w:hAnsi="Times New Roman" w:cs="Times New Roman"/>
        </w:rPr>
      </w:pPr>
      <w:r>
        <w:rPr>
          <w:rFonts w:ascii="Times New Roman" w:hAnsi="Times New Roman" w:cs="Times New Roman"/>
        </w:rPr>
        <w:t xml:space="preserve">The work search rule in this context should be carefully distinguished from the odd lot work search context. </w:t>
      </w:r>
    </w:p>
  </w:footnote>
  <w:footnote w:id="585">
    <w:p w14:paraId="61A46D9F" w14:textId="6DE6BC5F" w:rsidR="00336EDF" w:rsidRDefault="00336EDF">
      <w:pPr>
        <w:pStyle w:val="FootnoteText"/>
      </w:pPr>
      <w:r w:rsidRPr="009D58C5">
        <w:rPr>
          <w:rStyle w:val="FootnoteReference"/>
          <w:rFonts w:ascii="Times New Roman" w:hAnsi="Times New Roman" w:cs="Times New Roman"/>
        </w:rPr>
        <w:footnoteRef/>
      </w:r>
      <w:r>
        <w:t xml:space="preserve"> </w:t>
      </w:r>
      <w:bookmarkStart w:id="828" w:name="f556"/>
      <w:bookmarkEnd w:id="828"/>
      <w:r>
        <w:rPr>
          <w:rFonts w:ascii="Times New Roman" w:hAnsi="Times New Roman" w:cs="Times New Roman"/>
        </w:rPr>
        <w:t>D</w:t>
      </w:r>
      <w:r w:rsidRPr="00176BE0">
        <w:rPr>
          <w:rFonts w:ascii="Times New Roman" w:hAnsi="Times New Roman" w:cs="Times New Roman"/>
          <w:smallCaps/>
        </w:rPr>
        <w:t>uff</w:t>
      </w:r>
      <w:r>
        <w:rPr>
          <w:rFonts w:ascii="Times New Roman" w:hAnsi="Times New Roman" w:cs="Times New Roman"/>
        </w:rPr>
        <w:t>, W</w:t>
      </w:r>
      <w:r w:rsidRPr="00176BE0">
        <w:rPr>
          <w:rFonts w:ascii="Times New Roman" w:hAnsi="Times New Roman" w:cs="Times New Roman"/>
          <w:smallCaps/>
        </w:rPr>
        <w:t>orkers</w:t>
      </w:r>
      <w:r>
        <w:rPr>
          <w:rFonts w:ascii="Times New Roman" w:hAnsi="Times New Roman" w:cs="Times New Roman"/>
        </w:rPr>
        <w:t>’ C</w:t>
      </w:r>
      <w:r w:rsidRPr="00176BE0">
        <w:rPr>
          <w:rFonts w:ascii="Times New Roman" w:hAnsi="Times New Roman" w:cs="Times New Roman"/>
          <w:smallCaps/>
        </w:rPr>
        <w:t>ompensation</w:t>
      </w:r>
      <w:r>
        <w:rPr>
          <w:rFonts w:ascii="Times New Roman" w:hAnsi="Times New Roman" w:cs="Times New Roman"/>
        </w:rPr>
        <w:t xml:space="preserve"> L</w:t>
      </w:r>
      <w:r w:rsidRPr="00176BE0">
        <w:rPr>
          <w:rFonts w:ascii="Times New Roman" w:hAnsi="Times New Roman" w:cs="Times New Roman"/>
          <w:smallCaps/>
        </w:rPr>
        <w:t>aw</w:t>
      </w:r>
      <w:r>
        <w:rPr>
          <w:rFonts w:ascii="Times New Roman" w:hAnsi="Times New Roman" w:cs="Times New Roman"/>
        </w:rPr>
        <w:t xml:space="preserve"> at 120</w:t>
      </w:r>
    </w:p>
  </w:footnote>
  <w:footnote w:id="586">
    <w:p w14:paraId="2082C164" w14:textId="21CF3606" w:rsidR="00336EDF" w:rsidRPr="006A2B67" w:rsidRDefault="00336EDF" w:rsidP="00043861">
      <w:pPr>
        <w:pStyle w:val="FootnoteText"/>
        <w:jc w:val="both"/>
        <w:rPr>
          <w:rFonts w:ascii="Times New Roman" w:hAnsi="Times New Roman" w:cs="Times New Roman"/>
        </w:rPr>
      </w:pPr>
      <w:r w:rsidRPr="006A2B67">
        <w:rPr>
          <w:rStyle w:val="FootnoteReference"/>
          <w:rFonts w:ascii="Times New Roman" w:hAnsi="Times New Roman" w:cs="Times New Roman"/>
        </w:rPr>
        <w:footnoteRef/>
      </w:r>
      <w:r w:rsidRPr="006A2B67">
        <w:rPr>
          <w:rFonts w:ascii="Times New Roman" w:hAnsi="Times New Roman" w:cs="Times New Roman"/>
        </w:rPr>
        <w:t xml:space="preserve"> </w:t>
      </w:r>
      <w:bookmarkStart w:id="829" w:name="f557"/>
      <w:bookmarkEnd w:id="829"/>
      <w:r w:rsidRPr="006A2B67">
        <w:rPr>
          <w:rFonts w:ascii="Times New Roman" w:hAnsi="Times New Roman" w:cs="Times New Roman"/>
        </w:rPr>
        <w:t xml:space="preserve">Bonsell v. Workers’ Safety &amp; Compensation Div., </w:t>
      </w:r>
      <w:hyperlink r:id="rId221" w:history="1">
        <w:r w:rsidRPr="006A2B67">
          <w:rPr>
            <w:rStyle w:val="Hyperlink"/>
            <w:rFonts w:ascii="Times New Roman" w:hAnsi="Times New Roman" w:cs="Times New Roman"/>
          </w:rPr>
          <w:t>142 P.3d 686</w:t>
        </w:r>
      </w:hyperlink>
      <w:r w:rsidRPr="006A2B67">
        <w:rPr>
          <w:rFonts w:ascii="Times New Roman" w:hAnsi="Times New Roman" w:cs="Times New Roman"/>
        </w:rPr>
        <w:t xml:space="preserve"> (Wyo. 2006);  Chavez v. Memorial Hosp. of Sweetwater County, </w:t>
      </w:r>
      <w:hyperlink r:id="rId222" w:history="1">
        <w:r w:rsidRPr="006A2B67">
          <w:rPr>
            <w:rStyle w:val="Hyperlink"/>
            <w:rFonts w:ascii="Times New Roman" w:hAnsi="Times New Roman" w:cs="Times New Roman"/>
          </w:rPr>
          <w:t>138 P.3d 185</w:t>
        </w:r>
      </w:hyperlink>
      <w:r w:rsidRPr="006A2B67">
        <w:rPr>
          <w:rFonts w:ascii="Times New Roman" w:hAnsi="Times New Roman" w:cs="Times New Roman"/>
        </w:rPr>
        <w:t>, 189 (Wyo.2006)</w:t>
      </w:r>
    </w:p>
  </w:footnote>
  <w:footnote w:id="587">
    <w:p w14:paraId="1622D76E" w14:textId="13D58C14" w:rsidR="00336EDF" w:rsidRDefault="00336EDF" w:rsidP="00A328A9">
      <w:pPr>
        <w:pStyle w:val="FootnoteText"/>
        <w:jc w:val="both"/>
      </w:pPr>
      <w:r w:rsidRPr="009D58C5">
        <w:rPr>
          <w:rStyle w:val="FootnoteReference"/>
          <w:rFonts w:ascii="Times New Roman" w:hAnsi="Times New Roman" w:cs="Times New Roman"/>
        </w:rPr>
        <w:footnoteRef/>
      </w:r>
      <w:bookmarkStart w:id="830" w:name="f558"/>
      <w:bookmarkEnd w:id="830"/>
      <w:r>
        <w:t xml:space="preserve"> </w:t>
      </w:r>
      <w:bookmarkStart w:id="831" w:name="_Hlk532321620"/>
      <w:r w:rsidRPr="00091076">
        <w:rPr>
          <w:rFonts w:ascii="Times New Roman" w:hAnsi="Times New Roman" w:cs="Times New Roman"/>
          <w:i/>
        </w:rPr>
        <w:t>See also</w:t>
      </w:r>
      <w:r w:rsidRPr="00091076">
        <w:rPr>
          <w:rFonts w:ascii="Times New Roman" w:hAnsi="Times New Roman" w:cs="Times New Roman"/>
        </w:rPr>
        <w:t xml:space="preserve"> </w:t>
      </w:r>
      <w:r w:rsidRPr="001D24E7">
        <w:rPr>
          <w:rFonts w:ascii="Times New Roman" w:hAnsi="Times New Roman" w:cs="Times New Roman"/>
        </w:rPr>
        <w:t>WY Rules and Regulations 053.0021.7 § 1</w:t>
      </w:r>
      <w:r>
        <w:rPr>
          <w:rFonts w:ascii="Times New Roman" w:hAnsi="Times New Roman" w:cs="Times New Roman"/>
        </w:rPr>
        <w:t xml:space="preserve">(a)(iii), </w:t>
      </w:r>
      <w:r w:rsidRPr="00091076">
        <w:rPr>
          <w:rFonts w:ascii="Times New Roman" w:hAnsi="Times New Roman" w:cs="Times New Roman"/>
        </w:rPr>
        <w:t>WY ADC WSD WCD Ch. 7, § 1</w:t>
      </w:r>
      <w:r>
        <w:rPr>
          <w:rFonts w:ascii="Times New Roman" w:hAnsi="Times New Roman" w:cs="Times New Roman"/>
        </w:rPr>
        <w:t>(a)(iii)</w:t>
      </w:r>
      <w:bookmarkEnd w:id="831"/>
    </w:p>
    <w:bookmarkStart w:id="832" w:name="f559"/>
    <w:bookmarkEnd w:id="832"/>
  </w:footnote>
  <w:footnote w:id="588">
    <w:p w14:paraId="536D6AA5" w14:textId="126602F2" w:rsidR="00336EDF" w:rsidRDefault="00336EDF">
      <w:pPr>
        <w:pStyle w:val="FootnoteText"/>
      </w:pPr>
      <w:bookmarkStart w:id="833" w:name="f559"/>
      <w:bookmarkEnd w:id="833"/>
      <w:r w:rsidRPr="00000400">
        <w:rPr>
          <w:rStyle w:val="FootnoteReference"/>
          <w:rFonts w:ascii="Times New Roman" w:hAnsi="Times New Roman" w:cs="Times New Roman"/>
        </w:rPr>
        <w:footnoteRef/>
      </w:r>
      <w:r w:rsidRPr="00000400">
        <w:rPr>
          <w:rFonts w:ascii="Times New Roman" w:hAnsi="Times New Roman" w:cs="Times New Roman"/>
        </w:rPr>
        <w:t xml:space="preserve"> </w:t>
      </w:r>
      <w:r w:rsidRPr="0082584C">
        <w:rPr>
          <w:rFonts w:ascii="Times New Roman" w:hAnsi="Times New Roman" w:cs="Times New Roman"/>
        </w:rPr>
        <w:t xml:space="preserve">McCarty v. Bear Creek Uranium Co., </w:t>
      </w:r>
      <w:hyperlink r:id="rId223" w:history="1">
        <w:r w:rsidRPr="00C27C7D">
          <w:rPr>
            <w:rStyle w:val="Hyperlink"/>
            <w:rFonts w:ascii="Times New Roman" w:hAnsi="Times New Roman" w:cs="Times New Roman"/>
          </w:rPr>
          <w:t>694 P.2d 93</w:t>
        </w:r>
      </w:hyperlink>
      <w:r w:rsidRPr="0082584C">
        <w:rPr>
          <w:rFonts w:ascii="Times New Roman" w:hAnsi="Times New Roman" w:cs="Times New Roman"/>
        </w:rPr>
        <w:t>, 95 (Wyo. 1985)</w:t>
      </w:r>
    </w:p>
  </w:footnote>
  <w:footnote w:id="589">
    <w:p w14:paraId="7C7BF4CC" w14:textId="00A3586A" w:rsidR="00336EDF" w:rsidRDefault="00336EDF">
      <w:pPr>
        <w:pStyle w:val="FootnoteText"/>
      </w:pPr>
      <w:r w:rsidRPr="00000400">
        <w:rPr>
          <w:rStyle w:val="FootnoteReference"/>
          <w:rFonts w:ascii="Times New Roman" w:hAnsi="Times New Roman" w:cs="Times New Roman"/>
        </w:rPr>
        <w:footnoteRef/>
      </w:r>
      <w:r>
        <w:t xml:space="preserve"> </w:t>
      </w:r>
      <w:bookmarkStart w:id="834" w:name="f560"/>
      <w:bookmarkEnd w:id="834"/>
      <w:r w:rsidRPr="00000400">
        <w:rPr>
          <w:rFonts w:ascii="Times New Roman" w:hAnsi="Times New Roman" w:cs="Times New Roman"/>
          <w:i/>
        </w:rPr>
        <w:t>Id. quoting</w:t>
      </w:r>
      <w:r w:rsidRPr="00000400">
        <w:rPr>
          <w:rFonts w:ascii="Times New Roman" w:hAnsi="Times New Roman" w:cs="Times New Roman"/>
        </w:rPr>
        <w:t xml:space="preserve"> Vetter v. Alaska Workmen’s Compensation Board, </w:t>
      </w:r>
      <w:hyperlink r:id="rId224" w:history="1">
        <w:r w:rsidRPr="00C27C7D">
          <w:rPr>
            <w:rStyle w:val="Hyperlink"/>
            <w:rFonts w:ascii="Times New Roman" w:hAnsi="Times New Roman" w:cs="Times New Roman"/>
          </w:rPr>
          <w:t>524 P.2d 264</w:t>
        </w:r>
      </w:hyperlink>
      <w:r w:rsidRPr="00000400">
        <w:rPr>
          <w:rFonts w:ascii="Times New Roman" w:hAnsi="Times New Roman" w:cs="Times New Roman"/>
        </w:rPr>
        <w:t>, 266 (Ala</w:t>
      </w:r>
      <w:r>
        <w:rPr>
          <w:rFonts w:ascii="Times New Roman" w:hAnsi="Times New Roman" w:cs="Times New Roman"/>
        </w:rPr>
        <w:t>ska</w:t>
      </w:r>
      <w:r w:rsidRPr="00000400">
        <w:rPr>
          <w:rFonts w:ascii="Times New Roman" w:hAnsi="Times New Roman" w:cs="Times New Roman"/>
        </w:rPr>
        <w:t xml:space="preserve"> 1974)</w:t>
      </w:r>
    </w:p>
  </w:footnote>
  <w:footnote w:id="590">
    <w:p w14:paraId="25B1F07F" w14:textId="139B8EA0" w:rsidR="00336EDF" w:rsidRPr="00A15350" w:rsidRDefault="00336EDF" w:rsidP="00A15350">
      <w:pPr>
        <w:pStyle w:val="FootnoteText"/>
        <w:jc w:val="both"/>
        <w:rPr>
          <w:rFonts w:ascii="Times New Roman" w:hAnsi="Times New Roman" w:cs="Times New Roman"/>
        </w:rPr>
      </w:pPr>
      <w:r w:rsidRPr="00A15350">
        <w:rPr>
          <w:rStyle w:val="FootnoteReference"/>
          <w:rFonts w:ascii="Times New Roman" w:hAnsi="Times New Roman" w:cs="Times New Roman"/>
        </w:rPr>
        <w:footnoteRef/>
      </w:r>
      <w:bookmarkStart w:id="836" w:name="f561"/>
      <w:bookmarkEnd w:id="836"/>
      <w:r>
        <w:t xml:space="preserve"> “</w:t>
      </w:r>
      <w:r w:rsidRPr="00A15350">
        <w:rPr>
          <w:rFonts w:ascii="Times New Roman" w:hAnsi="Times New Roman" w:cs="Times New Roman"/>
        </w:rPr>
        <w:t>All lump sum payments shall be discounted using a discount factor determined by the State Treasurer's Office, based upon the average rate of return on the Division's investments for the prior fiscal year.</w:t>
      </w:r>
      <w:r>
        <w:rPr>
          <w:rFonts w:ascii="Times New Roman" w:hAnsi="Times New Roman" w:cs="Times New Roman"/>
        </w:rPr>
        <w:t xml:space="preserve">” WY Rules and Regulations, </w:t>
      </w:r>
      <w:r w:rsidRPr="00A15350">
        <w:rPr>
          <w:rFonts w:ascii="Times New Roman" w:hAnsi="Times New Roman" w:cs="Times New Roman"/>
        </w:rPr>
        <w:t>053.0021.7 § 2</w:t>
      </w:r>
    </w:p>
  </w:footnote>
  <w:footnote w:id="591">
    <w:p w14:paraId="49CB248F" w14:textId="77FF6789" w:rsidR="00336EDF" w:rsidRDefault="00336EDF">
      <w:pPr>
        <w:pStyle w:val="FootnoteText"/>
      </w:pPr>
      <w:r w:rsidRPr="00203C71">
        <w:rPr>
          <w:rStyle w:val="FootnoteReference"/>
          <w:rFonts w:ascii="Times New Roman" w:hAnsi="Times New Roman" w:cs="Times New Roman"/>
        </w:rPr>
        <w:footnoteRef/>
      </w:r>
      <w:r>
        <w:t xml:space="preserve"> </w:t>
      </w:r>
      <w:bookmarkStart w:id="839" w:name="f562"/>
      <w:bookmarkEnd w:id="839"/>
      <w:r w:rsidRPr="00091076">
        <w:rPr>
          <w:rFonts w:ascii="Times New Roman" w:hAnsi="Times New Roman" w:cs="Times New Roman"/>
          <w:i/>
        </w:rPr>
        <w:t xml:space="preserve">See </w:t>
      </w:r>
      <w:r w:rsidRPr="00091076">
        <w:rPr>
          <w:rFonts w:ascii="Times New Roman" w:hAnsi="Times New Roman" w:cs="Times New Roman"/>
        </w:rPr>
        <w:t>W</w:t>
      </w:r>
      <w:r>
        <w:rPr>
          <w:rFonts w:ascii="Times New Roman" w:hAnsi="Times New Roman" w:cs="Times New Roman"/>
        </w:rPr>
        <w:t>Y</w:t>
      </w:r>
      <w:r w:rsidRPr="00091076">
        <w:rPr>
          <w:rFonts w:ascii="Times New Roman" w:hAnsi="Times New Roman" w:cs="Times New Roman"/>
        </w:rPr>
        <w:t xml:space="preserve"> Rules and Regulations</w:t>
      </w:r>
      <w:r>
        <w:rPr>
          <w:rFonts w:ascii="Times New Roman" w:hAnsi="Times New Roman" w:cs="Times New Roman"/>
        </w:rPr>
        <w:t xml:space="preserve">, </w:t>
      </w:r>
      <w:r w:rsidRPr="00A15350">
        <w:rPr>
          <w:rFonts w:ascii="Times New Roman" w:hAnsi="Times New Roman" w:cs="Times New Roman"/>
        </w:rPr>
        <w:t>053.0021.7 § 1</w:t>
      </w:r>
    </w:p>
  </w:footnote>
  <w:footnote w:id="592">
    <w:p w14:paraId="6305D7AD" w14:textId="16475029" w:rsidR="00336EDF" w:rsidRDefault="00336EDF">
      <w:pPr>
        <w:pStyle w:val="FootnoteText"/>
      </w:pPr>
      <w:r w:rsidRPr="004872FB">
        <w:rPr>
          <w:rStyle w:val="FootnoteReference"/>
          <w:rFonts w:ascii="Times New Roman" w:hAnsi="Times New Roman" w:cs="Times New Roman"/>
        </w:rPr>
        <w:footnoteRef/>
      </w:r>
      <w:r>
        <w:t xml:space="preserve"> </w:t>
      </w:r>
      <w:r w:rsidRPr="004872FB">
        <w:rPr>
          <w:rFonts w:ascii="Times New Roman" w:hAnsi="Times New Roman" w:cs="Times New Roman"/>
        </w:rPr>
        <w:t xml:space="preserve">W.S. § </w:t>
      </w:r>
      <w:hyperlink r:id="rId225" w:history="1">
        <w:r w:rsidRPr="004872FB">
          <w:rPr>
            <w:rStyle w:val="Hyperlink"/>
            <w:rFonts w:ascii="Times New Roman" w:hAnsi="Times New Roman" w:cs="Times New Roman"/>
          </w:rPr>
          <w:t>27-14-406</w:t>
        </w:r>
      </w:hyperlink>
      <w:r w:rsidRPr="004872FB">
        <w:rPr>
          <w:rFonts w:ascii="Times New Roman" w:hAnsi="Times New Roman" w:cs="Times New Roman"/>
        </w:rPr>
        <w:t>.</w:t>
      </w:r>
    </w:p>
  </w:footnote>
  <w:footnote w:id="593">
    <w:p w14:paraId="25A91CCC" w14:textId="440C4AB3" w:rsidR="00336EDF" w:rsidRPr="005E34D0" w:rsidRDefault="00336EDF">
      <w:pPr>
        <w:pStyle w:val="FootnoteText"/>
        <w:rPr>
          <w:rFonts w:ascii="Times New Roman" w:hAnsi="Times New Roman" w:cs="Times New Roman"/>
        </w:rPr>
      </w:pPr>
      <w:r w:rsidRPr="005E34D0">
        <w:rPr>
          <w:rStyle w:val="FootnoteReference"/>
          <w:rFonts w:ascii="Times New Roman" w:hAnsi="Times New Roman" w:cs="Times New Roman"/>
        </w:rPr>
        <w:footnoteRef/>
      </w:r>
      <w:r w:rsidRPr="005E34D0">
        <w:rPr>
          <w:rFonts w:ascii="Times New Roman" w:hAnsi="Times New Roman" w:cs="Times New Roman"/>
        </w:rPr>
        <w:t xml:space="preserve"> </w:t>
      </w:r>
      <w:bookmarkStart w:id="841" w:name="f563"/>
      <w:bookmarkEnd w:id="841"/>
      <w:r w:rsidRPr="005E34D0">
        <w:rPr>
          <w:rFonts w:ascii="Times New Roman" w:hAnsi="Times New Roman" w:cs="Times New Roman"/>
        </w:rPr>
        <w:t xml:space="preserve">Workers’ Safety </w:t>
      </w:r>
      <w:r>
        <w:rPr>
          <w:rFonts w:ascii="Times New Roman" w:hAnsi="Times New Roman" w:cs="Times New Roman"/>
        </w:rPr>
        <w:t>&amp;</w:t>
      </w:r>
      <w:r w:rsidRPr="005E34D0">
        <w:rPr>
          <w:rFonts w:ascii="Times New Roman" w:hAnsi="Times New Roman" w:cs="Times New Roman"/>
        </w:rPr>
        <w:t xml:space="preserve"> Compensation Div</w:t>
      </w:r>
      <w:r>
        <w:rPr>
          <w:rFonts w:ascii="Times New Roman" w:hAnsi="Times New Roman" w:cs="Times New Roman"/>
        </w:rPr>
        <w:t>.</w:t>
      </w:r>
      <w:r w:rsidRPr="005E34D0">
        <w:rPr>
          <w:rFonts w:ascii="Times New Roman" w:hAnsi="Times New Roman" w:cs="Times New Roman"/>
        </w:rPr>
        <w:t xml:space="preserve"> v. Singer, </w:t>
      </w:r>
      <w:hyperlink r:id="rId226" w:history="1">
        <w:r w:rsidRPr="007D1628">
          <w:rPr>
            <w:rStyle w:val="Hyperlink"/>
            <w:rFonts w:ascii="Times New Roman" w:hAnsi="Times New Roman" w:cs="Times New Roman"/>
          </w:rPr>
          <w:t>248 P.3d 1155</w:t>
        </w:r>
      </w:hyperlink>
      <w:r w:rsidRPr="005E34D0">
        <w:rPr>
          <w:rFonts w:ascii="Times New Roman" w:hAnsi="Times New Roman" w:cs="Times New Roman"/>
        </w:rPr>
        <w:t>, 11</w:t>
      </w:r>
      <w:r>
        <w:rPr>
          <w:rFonts w:ascii="Times New Roman" w:hAnsi="Times New Roman" w:cs="Times New Roman"/>
        </w:rPr>
        <w:t>61</w:t>
      </w:r>
      <w:r w:rsidRPr="005E34D0">
        <w:rPr>
          <w:rFonts w:ascii="Times New Roman" w:hAnsi="Times New Roman" w:cs="Times New Roman"/>
        </w:rPr>
        <w:t xml:space="preserve"> (Wyo. 2011)</w:t>
      </w:r>
    </w:p>
  </w:footnote>
  <w:footnote w:id="594">
    <w:p w14:paraId="3BEF60BF" w14:textId="2EBA601A" w:rsidR="00336EDF" w:rsidRDefault="00336EDF" w:rsidP="00411A49">
      <w:pPr>
        <w:spacing w:after="0"/>
      </w:pPr>
      <w:r w:rsidRPr="00485112">
        <w:rPr>
          <w:rStyle w:val="FootnoteReference"/>
          <w:rFonts w:ascii="Times New Roman" w:hAnsi="Times New Roman" w:cs="Times New Roman"/>
          <w:sz w:val="20"/>
          <w:szCs w:val="20"/>
        </w:rPr>
        <w:footnoteRef/>
      </w:r>
      <w:r w:rsidRPr="00485112">
        <w:rPr>
          <w:rFonts w:ascii="Times New Roman" w:hAnsi="Times New Roman" w:cs="Times New Roman"/>
          <w:sz w:val="20"/>
          <w:szCs w:val="20"/>
        </w:rPr>
        <w:t xml:space="preserve"> </w:t>
      </w:r>
      <w:bookmarkStart w:id="843" w:name="f564"/>
      <w:bookmarkEnd w:id="843"/>
      <w:r w:rsidRPr="00411A49">
        <w:rPr>
          <w:rFonts w:ascii="Times New Roman" w:hAnsi="Times New Roman" w:cs="Times New Roman"/>
          <w:i/>
          <w:sz w:val="20"/>
          <w:szCs w:val="20"/>
        </w:rPr>
        <w:t xml:space="preserve">See </w:t>
      </w:r>
      <w:r w:rsidRPr="00485112">
        <w:rPr>
          <w:rFonts w:ascii="Times New Roman" w:hAnsi="Times New Roman" w:cs="Times New Roman"/>
          <w:sz w:val="20"/>
          <w:szCs w:val="20"/>
        </w:rPr>
        <w:t xml:space="preserve">Malone, </w:t>
      </w:r>
      <w:r w:rsidRPr="00485112">
        <w:rPr>
          <w:rFonts w:ascii="Times New Roman" w:hAnsi="Times New Roman" w:cs="Times New Roman"/>
          <w:i/>
          <w:sz w:val="20"/>
          <w:szCs w:val="20"/>
        </w:rPr>
        <w:t>American Fatal Accident Statutes—Part I: The Legislative Birth Pains</w:t>
      </w:r>
      <w:r w:rsidRPr="00485112">
        <w:rPr>
          <w:rFonts w:ascii="Times New Roman" w:hAnsi="Times New Roman" w:cs="Times New Roman"/>
          <w:sz w:val="20"/>
          <w:szCs w:val="20"/>
        </w:rPr>
        <w:t xml:space="preserve">, </w:t>
      </w:r>
      <w:hyperlink r:id="rId227" w:history="1">
        <w:r w:rsidRPr="007D1628">
          <w:rPr>
            <w:rStyle w:val="Hyperlink"/>
            <w:rFonts w:ascii="Times New Roman" w:hAnsi="Times New Roman" w:cs="Times New Roman"/>
            <w:sz w:val="20"/>
            <w:szCs w:val="20"/>
          </w:rPr>
          <w:t>1965 D</w:t>
        </w:r>
        <w:r w:rsidRPr="007D1628">
          <w:rPr>
            <w:rStyle w:val="Hyperlink"/>
            <w:rFonts w:ascii="Times New Roman" w:hAnsi="Times New Roman" w:cs="Times New Roman"/>
            <w:smallCaps/>
            <w:sz w:val="20"/>
            <w:szCs w:val="20"/>
          </w:rPr>
          <w:t>uke</w:t>
        </w:r>
        <w:r w:rsidRPr="007D1628">
          <w:rPr>
            <w:rStyle w:val="Hyperlink"/>
            <w:rFonts w:ascii="Times New Roman" w:hAnsi="Times New Roman" w:cs="Times New Roman"/>
            <w:sz w:val="20"/>
            <w:szCs w:val="20"/>
          </w:rPr>
          <w:t xml:space="preserve"> L.J. 673</w:t>
        </w:r>
      </w:hyperlink>
      <w:r w:rsidRPr="00485112">
        <w:rPr>
          <w:rFonts w:ascii="Times New Roman" w:hAnsi="Times New Roman" w:cs="Times New Roman"/>
          <w:sz w:val="20"/>
          <w:szCs w:val="20"/>
        </w:rPr>
        <w:t>, 678-82.</w:t>
      </w:r>
    </w:p>
  </w:footnote>
  <w:footnote w:id="595">
    <w:p w14:paraId="2F31C856" w14:textId="42AD9F7E" w:rsidR="00336EDF" w:rsidRDefault="00336EDF" w:rsidP="00411A49">
      <w:pPr>
        <w:pStyle w:val="FootnoteText"/>
      </w:pPr>
      <w:r w:rsidRPr="00411A49">
        <w:rPr>
          <w:rStyle w:val="FootnoteReference"/>
          <w:rFonts w:ascii="Times New Roman" w:hAnsi="Times New Roman" w:cs="Times New Roman"/>
        </w:rPr>
        <w:footnoteRef/>
      </w:r>
      <w:r>
        <w:t xml:space="preserve"> </w:t>
      </w:r>
      <w:bookmarkStart w:id="844" w:name="f565"/>
      <w:bookmarkEnd w:id="844"/>
      <w:r w:rsidRPr="00411A49">
        <w:rPr>
          <w:rFonts w:ascii="Times New Roman" w:hAnsi="Times New Roman" w:cs="Times New Roman"/>
          <w:smallCaps/>
        </w:rPr>
        <w:t>F. Tiffany, Death By Wrongful Act</w:t>
      </w:r>
      <w:r w:rsidRPr="00411A49">
        <w:rPr>
          <w:rFonts w:ascii="Times New Roman" w:hAnsi="Times New Roman" w:cs="Times New Roman"/>
        </w:rPr>
        <w:t xml:space="preserve"> 17-18 (1st ed.1893)</w:t>
      </w:r>
    </w:p>
  </w:footnote>
  <w:footnote w:id="596">
    <w:p w14:paraId="1096CFC3" w14:textId="0CAD2647" w:rsidR="00336EDF" w:rsidRDefault="00336EDF">
      <w:pPr>
        <w:pStyle w:val="FootnoteText"/>
      </w:pPr>
      <w:r w:rsidRPr="00411A49">
        <w:rPr>
          <w:rStyle w:val="FootnoteReference"/>
          <w:rFonts w:ascii="Times New Roman" w:hAnsi="Times New Roman" w:cs="Times New Roman"/>
        </w:rPr>
        <w:footnoteRef/>
      </w:r>
      <w:r>
        <w:t xml:space="preserve"> </w:t>
      </w:r>
      <w:bookmarkStart w:id="845" w:name="f566"/>
      <w:bookmarkStart w:id="846" w:name="_Hlk534905241"/>
      <w:bookmarkEnd w:id="845"/>
      <w:r>
        <w:rPr>
          <w:rFonts w:ascii="Times New Roman" w:hAnsi="Times New Roman" w:cs="Times New Roman"/>
        </w:rPr>
        <w:t>8</w:t>
      </w:r>
      <w:r w:rsidRPr="006B5502">
        <w:rPr>
          <w:rFonts w:ascii="Times New Roman" w:hAnsi="Times New Roman" w:cs="Times New Roman"/>
        </w:rPr>
        <w:t xml:space="preserve"> L</w:t>
      </w:r>
      <w:r w:rsidRPr="006B5502">
        <w:rPr>
          <w:rFonts w:ascii="Times New Roman" w:hAnsi="Times New Roman" w:cs="Times New Roman"/>
          <w:smallCaps/>
        </w:rPr>
        <w:t>arson</w:t>
      </w:r>
      <w:r>
        <w:rPr>
          <w:rFonts w:ascii="Times New Roman" w:hAnsi="Times New Roman" w:cs="Times New Roman"/>
          <w:smallCaps/>
        </w:rPr>
        <w:t>’</w:t>
      </w:r>
      <w:r w:rsidRPr="006B5502">
        <w:rPr>
          <w:rFonts w:ascii="Times New Roman" w:hAnsi="Times New Roman" w:cs="Times New Roman"/>
          <w:smallCaps/>
        </w:rPr>
        <w:t>s</w:t>
      </w:r>
      <w:r w:rsidRPr="006B5502">
        <w:rPr>
          <w:rFonts w:ascii="Times New Roman" w:hAnsi="Times New Roman" w:cs="Times New Roman"/>
        </w:rPr>
        <w:t xml:space="preserve"> W</w:t>
      </w:r>
      <w:r w:rsidRPr="006B5502">
        <w:rPr>
          <w:rFonts w:ascii="Times New Roman" w:hAnsi="Times New Roman" w:cs="Times New Roman"/>
          <w:smallCaps/>
        </w:rPr>
        <w:t>orkers</w:t>
      </w:r>
      <w:r w:rsidRPr="006B5502">
        <w:rPr>
          <w:rFonts w:ascii="Times New Roman" w:hAnsi="Times New Roman" w:cs="Times New Roman"/>
        </w:rPr>
        <w:t>' C</w:t>
      </w:r>
      <w:r w:rsidRPr="006B5502">
        <w:rPr>
          <w:rFonts w:ascii="Times New Roman" w:hAnsi="Times New Roman" w:cs="Times New Roman"/>
          <w:smallCaps/>
        </w:rPr>
        <w:t xml:space="preserve">ompensation </w:t>
      </w:r>
      <w:r w:rsidRPr="006B5502">
        <w:rPr>
          <w:rFonts w:ascii="Times New Roman" w:hAnsi="Times New Roman" w:cs="Times New Roman"/>
        </w:rPr>
        <w:t>L</w:t>
      </w:r>
      <w:r w:rsidRPr="006B5502">
        <w:rPr>
          <w:rFonts w:ascii="Times New Roman" w:hAnsi="Times New Roman" w:cs="Times New Roman"/>
          <w:smallCaps/>
        </w:rPr>
        <w:t>aw</w:t>
      </w:r>
      <w:r w:rsidRPr="006B5502">
        <w:rPr>
          <w:rFonts w:ascii="Times New Roman" w:hAnsi="Times New Roman" w:cs="Times New Roman"/>
        </w:rPr>
        <w:t xml:space="preserve"> § </w:t>
      </w:r>
      <w:r>
        <w:rPr>
          <w:rFonts w:ascii="Times New Roman" w:hAnsi="Times New Roman" w:cs="Times New Roman"/>
        </w:rPr>
        <w:t>96</w:t>
      </w:r>
      <w:r w:rsidRPr="006B5502">
        <w:rPr>
          <w:rFonts w:ascii="Times New Roman" w:hAnsi="Times New Roman" w:cs="Times New Roman"/>
        </w:rPr>
        <w:t>.0</w:t>
      </w:r>
      <w:r>
        <w:rPr>
          <w:rFonts w:ascii="Times New Roman" w:hAnsi="Times New Roman" w:cs="Times New Roman"/>
        </w:rPr>
        <w:t>1</w:t>
      </w:r>
      <w:bookmarkEnd w:id="846"/>
    </w:p>
  </w:footnote>
  <w:footnote w:id="597">
    <w:p w14:paraId="2794603B" w14:textId="714B41E1" w:rsidR="00336EDF" w:rsidRDefault="00336EDF">
      <w:pPr>
        <w:pStyle w:val="FootnoteText"/>
      </w:pPr>
      <w:r w:rsidRPr="00A330D8">
        <w:rPr>
          <w:rStyle w:val="FootnoteReference"/>
          <w:rFonts w:ascii="Times New Roman" w:hAnsi="Times New Roman" w:cs="Times New Roman"/>
        </w:rPr>
        <w:footnoteRef/>
      </w:r>
      <w:r>
        <w:t xml:space="preserve"> </w:t>
      </w:r>
      <w:bookmarkStart w:id="847" w:name="f567"/>
      <w:bookmarkEnd w:id="847"/>
      <w:r w:rsidRPr="00A330D8">
        <w:rPr>
          <w:rFonts w:ascii="Times New Roman" w:hAnsi="Times New Roman" w:cs="Times New Roman"/>
          <w:smallCaps/>
        </w:rPr>
        <w:t>Duff, Workers’ Compensation Law, 297-21</w:t>
      </w:r>
    </w:p>
  </w:footnote>
  <w:footnote w:id="598">
    <w:p w14:paraId="187C4537" w14:textId="3311FBC6" w:rsidR="00336EDF" w:rsidRPr="00BF7EF1" w:rsidRDefault="00336EDF" w:rsidP="00BF7EF1">
      <w:pPr>
        <w:pStyle w:val="FootnoteText"/>
        <w:jc w:val="both"/>
        <w:rPr>
          <w:rFonts w:ascii="Times New Roman" w:hAnsi="Times New Roman" w:cs="Times New Roman"/>
        </w:rPr>
      </w:pPr>
      <w:r w:rsidRPr="00BF7EF1">
        <w:rPr>
          <w:rStyle w:val="FootnoteReference"/>
          <w:rFonts w:ascii="Times New Roman" w:hAnsi="Times New Roman" w:cs="Times New Roman"/>
        </w:rPr>
        <w:footnoteRef/>
      </w:r>
      <w:r>
        <w:t xml:space="preserve"> </w:t>
      </w:r>
      <w:bookmarkStart w:id="851" w:name="f568"/>
      <w:bookmarkEnd w:id="851"/>
      <w:r w:rsidRPr="00BF7EF1">
        <w:rPr>
          <w:rFonts w:ascii="Times New Roman" w:hAnsi="Times New Roman" w:cs="Times New Roman"/>
        </w:rPr>
        <w:t xml:space="preserve">In re Fisher, </w:t>
      </w:r>
      <w:bookmarkStart w:id="852" w:name="_Hlk534900793"/>
      <w:r>
        <w:rPr>
          <w:rFonts w:ascii="Times New Roman" w:hAnsi="Times New Roman" w:cs="Times New Roman"/>
        </w:rPr>
        <w:fldChar w:fldCharType="begin"/>
      </w:r>
      <w:r>
        <w:rPr>
          <w:rFonts w:ascii="Times New Roman" w:hAnsi="Times New Roman" w:cs="Times New Roman"/>
        </w:rPr>
        <w:instrText xml:space="preserve"> HYPERLINK "https://law.justia.com/cases/wyoming/supreme-court/2008/452396.html" </w:instrText>
      </w:r>
      <w:r>
        <w:rPr>
          <w:rFonts w:ascii="Times New Roman" w:hAnsi="Times New Roman" w:cs="Times New Roman"/>
        </w:rPr>
        <w:fldChar w:fldCharType="separate"/>
      </w:r>
      <w:r w:rsidRPr="007D1628">
        <w:rPr>
          <w:rStyle w:val="Hyperlink"/>
          <w:rFonts w:ascii="Times New Roman" w:hAnsi="Times New Roman" w:cs="Times New Roman"/>
        </w:rPr>
        <w:t>189 P.3d 866</w:t>
      </w:r>
      <w:bookmarkEnd w:id="852"/>
      <w:r>
        <w:rPr>
          <w:rFonts w:ascii="Times New Roman" w:hAnsi="Times New Roman" w:cs="Times New Roman"/>
        </w:rPr>
        <w:fldChar w:fldCharType="end"/>
      </w:r>
      <w:r w:rsidRPr="00BF7EF1">
        <w:rPr>
          <w:rFonts w:ascii="Times New Roman" w:hAnsi="Times New Roman" w:cs="Times New Roman"/>
        </w:rPr>
        <w:t xml:space="preserve">, 868 (Wyo. 2008) </w:t>
      </w:r>
      <w:r w:rsidRPr="00BF7EF1">
        <w:rPr>
          <w:rFonts w:ascii="Times New Roman" w:hAnsi="Times New Roman" w:cs="Times New Roman"/>
          <w:i/>
        </w:rPr>
        <w:t>quoting</w:t>
      </w:r>
      <w:r w:rsidRPr="00BF7EF1">
        <w:rPr>
          <w:rFonts w:ascii="Times New Roman" w:hAnsi="Times New Roman" w:cs="Times New Roman"/>
        </w:rPr>
        <w:t xml:space="preserve"> Workers</w:t>
      </w:r>
      <w:r>
        <w:rPr>
          <w:rFonts w:ascii="Times New Roman" w:hAnsi="Times New Roman" w:cs="Times New Roman"/>
        </w:rPr>
        <w:t>’</w:t>
      </w:r>
      <w:r w:rsidRPr="00BF7EF1">
        <w:rPr>
          <w:rFonts w:ascii="Times New Roman" w:hAnsi="Times New Roman" w:cs="Times New Roman"/>
        </w:rPr>
        <w:t xml:space="preserve"> Safety </w:t>
      </w:r>
      <w:r>
        <w:rPr>
          <w:rFonts w:ascii="Times New Roman" w:hAnsi="Times New Roman" w:cs="Times New Roman"/>
        </w:rPr>
        <w:t>&amp;</w:t>
      </w:r>
      <w:r w:rsidRPr="00BF7EF1">
        <w:rPr>
          <w:rFonts w:ascii="Times New Roman" w:hAnsi="Times New Roman" w:cs="Times New Roman"/>
        </w:rPr>
        <w:t xml:space="preserve"> Compensation Div</w:t>
      </w:r>
      <w:r>
        <w:rPr>
          <w:rFonts w:ascii="Times New Roman" w:hAnsi="Times New Roman" w:cs="Times New Roman"/>
        </w:rPr>
        <w:t>.</w:t>
      </w:r>
      <w:r w:rsidRPr="00BF7EF1">
        <w:rPr>
          <w:rFonts w:ascii="Times New Roman" w:hAnsi="Times New Roman" w:cs="Times New Roman"/>
        </w:rPr>
        <w:t xml:space="preserve"> v. Bruhn</w:t>
      </w:r>
      <w:hyperlink r:id="rId228" w:history="1">
        <w:r w:rsidRPr="007D1628">
          <w:rPr>
            <w:rStyle w:val="Hyperlink"/>
            <w:rFonts w:ascii="Times New Roman" w:hAnsi="Times New Roman" w:cs="Times New Roman"/>
          </w:rPr>
          <w:t>, 951 P.2d 373</w:t>
        </w:r>
      </w:hyperlink>
      <w:r w:rsidRPr="00BF7EF1">
        <w:rPr>
          <w:rFonts w:ascii="Times New Roman" w:hAnsi="Times New Roman" w:cs="Times New Roman"/>
        </w:rPr>
        <w:t>, 377 (Wyo.1997)</w:t>
      </w:r>
    </w:p>
  </w:footnote>
  <w:footnote w:id="599">
    <w:p w14:paraId="53CB923F" w14:textId="38DDBC69" w:rsidR="00336EDF" w:rsidRDefault="00336EDF">
      <w:pPr>
        <w:pStyle w:val="FootnoteText"/>
      </w:pPr>
      <w:r w:rsidRPr="0055212F">
        <w:rPr>
          <w:rStyle w:val="FootnoteReference"/>
          <w:rFonts w:ascii="Times New Roman" w:hAnsi="Times New Roman" w:cs="Times New Roman"/>
        </w:rPr>
        <w:footnoteRef/>
      </w:r>
      <w:r>
        <w:t xml:space="preserve"> </w:t>
      </w:r>
      <w:bookmarkStart w:id="853" w:name="f569"/>
      <w:bookmarkStart w:id="854" w:name="_Hlk534902793"/>
      <w:bookmarkEnd w:id="853"/>
      <w:r w:rsidRPr="00F55473">
        <w:rPr>
          <w:rFonts w:ascii="Times New Roman" w:hAnsi="Times New Roman" w:cs="Times New Roman"/>
        </w:rPr>
        <w:t xml:space="preserve">W.S. § </w:t>
      </w:r>
      <w:hyperlink r:id="rId229" w:history="1">
        <w:r w:rsidRPr="00F55473">
          <w:rPr>
            <w:rStyle w:val="Hyperlink"/>
            <w:rFonts w:ascii="Times New Roman" w:hAnsi="Times New Roman" w:cs="Times New Roman"/>
          </w:rPr>
          <w:t>27-14-403</w:t>
        </w:r>
      </w:hyperlink>
      <w:r w:rsidRPr="0055212F">
        <w:rPr>
          <w:rFonts w:ascii="Times New Roman" w:hAnsi="Times New Roman" w:cs="Times New Roman"/>
        </w:rPr>
        <w:t>(e)</w:t>
      </w:r>
      <w:bookmarkEnd w:id="854"/>
    </w:p>
  </w:footnote>
  <w:footnote w:id="600">
    <w:p w14:paraId="4BCAB1A8" w14:textId="2DA1B421" w:rsidR="00336EDF" w:rsidRPr="0055212F" w:rsidRDefault="00336EDF">
      <w:pPr>
        <w:pStyle w:val="FootnoteText"/>
      </w:pPr>
      <w:r w:rsidRPr="00155FAB">
        <w:rPr>
          <w:rStyle w:val="FootnoteReference"/>
          <w:rFonts w:ascii="Times New Roman" w:hAnsi="Times New Roman" w:cs="Times New Roman"/>
        </w:rPr>
        <w:footnoteRef/>
      </w:r>
      <w:r w:rsidRPr="00155FAB">
        <w:rPr>
          <w:rFonts w:ascii="Times New Roman" w:hAnsi="Times New Roman" w:cs="Times New Roman"/>
        </w:rPr>
        <w:t xml:space="preserve"> </w:t>
      </w:r>
      <w:bookmarkStart w:id="855" w:name="f570"/>
      <w:bookmarkEnd w:id="855"/>
      <w:r w:rsidRPr="00155FAB">
        <w:rPr>
          <w:rFonts w:ascii="Times New Roman" w:hAnsi="Times New Roman" w:cs="Times New Roman"/>
          <w:i/>
        </w:rPr>
        <w:t xml:space="preserve">See </w:t>
      </w:r>
      <w:r w:rsidRPr="0055212F">
        <w:rPr>
          <w:rFonts w:ascii="Times New Roman" w:hAnsi="Times New Roman" w:cs="Times New Roman"/>
        </w:rPr>
        <w:t>Fisher</w:t>
      </w:r>
      <w:r>
        <w:rPr>
          <w:rFonts w:ascii="Times New Roman" w:hAnsi="Times New Roman" w:cs="Times New Roman"/>
          <w:i/>
        </w:rPr>
        <w:t xml:space="preserve">, </w:t>
      </w:r>
      <w:r w:rsidRPr="00155FAB">
        <w:rPr>
          <w:rFonts w:ascii="Times New Roman" w:hAnsi="Times New Roman" w:cs="Times New Roman"/>
          <w:i/>
        </w:rPr>
        <w:t>supra.</w:t>
      </w:r>
      <w:r>
        <w:rPr>
          <w:rFonts w:ascii="Times New Roman" w:hAnsi="Times New Roman" w:cs="Times New Roman"/>
        </w:rPr>
        <w:t xml:space="preserve">, </w:t>
      </w:r>
      <w:r w:rsidRPr="0055212F">
        <w:rPr>
          <w:rFonts w:ascii="Times New Roman" w:hAnsi="Times New Roman" w:cs="Times New Roman"/>
        </w:rPr>
        <w:t xml:space="preserve">189 P.3d </w:t>
      </w:r>
      <w:r>
        <w:rPr>
          <w:rFonts w:ascii="Times New Roman" w:hAnsi="Times New Roman" w:cs="Times New Roman"/>
        </w:rPr>
        <w:t xml:space="preserve">at </w:t>
      </w:r>
      <w:r w:rsidRPr="0055212F">
        <w:rPr>
          <w:rFonts w:ascii="Times New Roman" w:hAnsi="Times New Roman" w:cs="Times New Roman"/>
        </w:rPr>
        <w:t>866</w:t>
      </w:r>
      <w:r>
        <w:rPr>
          <w:rFonts w:ascii="Times New Roman" w:hAnsi="Times New Roman" w:cs="Times New Roman"/>
        </w:rPr>
        <w:t>.</w:t>
      </w:r>
    </w:p>
  </w:footnote>
  <w:footnote w:id="601">
    <w:p w14:paraId="6683E074" w14:textId="5BA71318" w:rsidR="00336EDF" w:rsidRDefault="00336EDF">
      <w:pPr>
        <w:pStyle w:val="FootnoteText"/>
      </w:pPr>
      <w:r w:rsidRPr="00155FAB">
        <w:rPr>
          <w:rStyle w:val="FootnoteReference"/>
          <w:rFonts w:ascii="Times New Roman" w:hAnsi="Times New Roman" w:cs="Times New Roman"/>
        </w:rPr>
        <w:footnoteRef/>
      </w:r>
      <w:r>
        <w:t xml:space="preserve"> </w:t>
      </w:r>
      <w:bookmarkStart w:id="856" w:name="f571"/>
      <w:bookmarkEnd w:id="856"/>
      <w:r>
        <w:rPr>
          <w:rFonts w:ascii="Times New Roman" w:hAnsi="Times New Roman" w:cs="Times New Roman"/>
          <w:i/>
        </w:rPr>
        <w:t>Id</w:t>
      </w:r>
      <w:r>
        <w:t xml:space="preserve">. </w:t>
      </w:r>
      <w:r w:rsidRPr="00155FAB">
        <w:rPr>
          <w:rFonts w:ascii="Times New Roman" w:hAnsi="Times New Roman" w:cs="Times New Roman"/>
        </w:rPr>
        <w:t>at 867-868</w:t>
      </w:r>
    </w:p>
  </w:footnote>
  <w:footnote w:id="602">
    <w:p w14:paraId="1FB4A6EC" w14:textId="42F75F92" w:rsidR="00336EDF" w:rsidRPr="00155FAB" w:rsidRDefault="00336EDF">
      <w:pPr>
        <w:pStyle w:val="FootnoteText"/>
        <w:rPr>
          <w:rFonts w:ascii="Times New Roman" w:hAnsi="Times New Roman" w:cs="Times New Roman"/>
        </w:rPr>
      </w:pPr>
      <w:r w:rsidRPr="00155FAB">
        <w:rPr>
          <w:rStyle w:val="FootnoteReference"/>
          <w:rFonts w:ascii="Times New Roman" w:hAnsi="Times New Roman" w:cs="Times New Roman"/>
        </w:rPr>
        <w:footnoteRef/>
      </w:r>
      <w:r w:rsidRPr="00155FAB">
        <w:rPr>
          <w:rFonts w:ascii="Times New Roman" w:hAnsi="Times New Roman" w:cs="Times New Roman"/>
        </w:rPr>
        <w:t xml:space="preserve"> </w:t>
      </w:r>
      <w:bookmarkStart w:id="857" w:name="f572"/>
      <w:bookmarkEnd w:id="857"/>
      <w:r w:rsidRPr="00155FAB">
        <w:rPr>
          <w:rFonts w:ascii="Times New Roman" w:hAnsi="Times New Roman" w:cs="Times New Roman"/>
          <w:i/>
        </w:rPr>
        <w:t>Id.</w:t>
      </w:r>
      <w:r>
        <w:rPr>
          <w:rFonts w:ascii="Times New Roman" w:hAnsi="Times New Roman" w:cs="Times New Roman"/>
        </w:rPr>
        <w:t xml:space="preserve"> at 871</w:t>
      </w:r>
    </w:p>
  </w:footnote>
  <w:footnote w:id="603">
    <w:p w14:paraId="1AD1711D" w14:textId="6E2AE8DE" w:rsidR="00336EDF" w:rsidRDefault="00336EDF">
      <w:pPr>
        <w:pStyle w:val="FootnoteText"/>
      </w:pPr>
      <w:r w:rsidRPr="00D07CDC">
        <w:rPr>
          <w:rStyle w:val="FootnoteReference"/>
          <w:rFonts w:ascii="Times New Roman" w:hAnsi="Times New Roman" w:cs="Times New Roman"/>
        </w:rPr>
        <w:footnoteRef/>
      </w:r>
      <w:r w:rsidRPr="00D07CDC">
        <w:rPr>
          <w:rFonts w:ascii="Times New Roman" w:hAnsi="Times New Roman" w:cs="Times New Roman"/>
        </w:rPr>
        <w:t xml:space="preserve"> </w:t>
      </w:r>
      <w:bookmarkStart w:id="858" w:name="f573"/>
      <w:bookmarkEnd w:id="858"/>
      <w:r w:rsidRPr="00D07CDC">
        <w:rPr>
          <w:rFonts w:ascii="Times New Roman" w:hAnsi="Times New Roman" w:cs="Times New Roman"/>
          <w:i/>
        </w:rPr>
        <w:t>Id</w:t>
      </w:r>
      <w:r>
        <w:rPr>
          <w:rFonts w:ascii="Times New Roman" w:hAnsi="Times New Roman" w:cs="Times New Roman"/>
        </w:rPr>
        <w:t>. at 871</w:t>
      </w:r>
    </w:p>
  </w:footnote>
  <w:footnote w:id="604">
    <w:p w14:paraId="72700D92" w14:textId="37699CD9" w:rsidR="00336EDF" w:rsidRPr="00911682" w:rsidRDefault="00336EDF">
      <w:pPr>
        <w:pStyle w:val="FootnoteText"/>
        <w:rPr>
          <w:rFonts w:ascii="Times New Roman" w:hAnsi="Times New Roman" w:cs="Times New Roman"/>
        </w:rPr>
      </w:pPr>
      <w:r w:rsidRPr="00911682">
        <w:rPr>
          <w:rStyle w:val="FootnoteReference"/>
          <w:rFonts w:ascii="Times New Roman" w:hAnsi="Times New Roman" w:cs="Times New Roman"/>
        </w:rPr>
        <w:footnoteRef/>
      </w:r>
      <w:r w:rsidRPr="00911682">
        <w:rPr>
          <w:rFonts w:ascii="Times New Roman" w:hAnsi="Times New Roman" w:cs="Times New Roman"/>
        </w:rPr>
        <w:t xml:space="preserve"> </w:t>
      </w:r>
      <w:bookmarkStart w:id="859" w:name="f574"/>
      <w:bookmarkEnd w:id="859"/>
      <w:r w:rsidRPr="00911682">
        <w:rPr>
          <w:rFonts w:ascii="Times New Roman" w:hAnsi="Times New Roman" w:cs="Times New Roman"/>
          <w:i/>
        </w:rPr>
        <w:t>Id</w:t>
      </w:r>
      <w:r>
        <w:rPr>
          <w:rFonts w:ascii="Times New Roman" w:hAnsi="Times New Roman" w:cs="Times New Roman"/>
        </w:rPr>
        <w:t>. at 867</w:t>
      </w:r>
    </w:p>
  </w:footnote>
  <w:footnote w:id="605">
    <w:p w14:paraId="7A298B03" w14:textId="225426F1" w:rsidR="00336EDF" w:rsidRDefault="00336EDF">
      <w:pPr>
        <w:pStyle w:val="FootnoteText"/>
      </w:pPr>
      <w:r w:rsidRPr="00D07CDC">
        <w:rPr>
          <w:rStyle w:val="FootnoteReference"/>
          <w:rFonts w:ascii="Times New Roman" w:hAnsi="Times New Roman" w:cs="Times New Roman"/>
        </w:rPr>
        <w:footnoteRef/>
      </w:r>
      <w:r>
        <w:t xml:space="preserve"> </w:t>
      </w:r>
      <w:bookmarkStart w:id="860" w:name="f575"/>
      <w:bookmarkEnd w:id="860"/>
      <w:r w:rsidRPr="00911682">
        <w:rPr>
          <w:rFonts w:ascii="Times New Roman" w:hAnsi="Times New Roman" w:cs="Times New Roman"/>
        </w:rPr>
        <w:t>Bruhn,</w:t>
      </w:r>
      <w:r w:rsidRPr="00911682">
        <w:rPr>
          <w:rFonts w:ascii="Times New Roman" w:hAnsi="Times New Roman" w:cs="Times New Roman"/>
          <w:i/>
        </w:rPr>
        <w:t xml:space="preserve"> supra</w:t>
      </w:r>
      <w:r w:rsidRPr="00911682">
        <w:rPr>
          <w:rFonts w:ascii="Times New Roman" w:hAnsi="Times New Roman" w:cs="Times New Roman"/>
        </w:rPr>
        <w:t xml:space="preserve">., </w:t>
      </w:r>
      <w:r w:rsidRPr="00D07CDC">
        <w:rPr>
          <w:rFonts w:ascii="Times New Roman" w:hAnsi="Times New Roman" w:cs="Times New Roman"/>
        </w:rPr>
        <w:t xml:space="preserve">951 P.2d </w:t>
      </w:r>
      <w:r>
        <w:rPr>
          <w:rFonts w:ascii="Times New Roman" w:hAnsi="Times New Roman" w:cs="Times New Roman"/>
        </w:rPr>
        <w:t xml:space="preserve">at </w:t>
      </w:r>
      <w:r w:rsidRPr="00D07CDC">
        <w:rPr>
          <w:rFonts w:ascii="Times New Roman" w:hAnsi="Times New Roman" w:cs="Times New Roman"/>
        </w:rPr>
        <w:t>373.</w:t>
      </w:r>
    </w:p>
  </w:footnote>
  <w:footnote w:id="606">
    <w:p w14:paraId="0FEDB1E0" w14:textId="70771253" w:rsidR="00336EDF" w:rsidRDefault="00336EDF">
      <w:pPr>
        <w:pStyle w:val="FootnoteText"/>
      </w:pPr>
      <w:r w:rsidRPr="00CF4B80">
        <w:rPr>
          <w:rStyle w:val="FootnoteReference"/>
          <w:rFonts w:ascii="Times New Roman" w:hAnsi="Times New Roman" w:cs="Times New Roman"/>
        </w:rPr>
        <w:footnoteRef/>
      </w:r>
      <w:r>
        <w:t xml:space="preserve"> </w:t>
      </w:r>
      <w:bookmarkStart w:id="861" w:name="f576"/>
      <w:bookmarkEnd w:id="861"/>
      <w:r w:rsidRPr="00CF4B80">
        <w:rPr>
          <w:rFonts w:ascii="Times New Roman" w:hAnsi="Times New Roman" w:cs="Times New Roman"/>
          <w:i/>
        </w:rPr>
        <w:t xml:space="preserve">Id. </w:t>
      </w:r>
      <w:r w:rsidRPr="00CF4B80">
        <w:rPr>
          <w:rFonts w:ascii="Times New Roman" w:hAnsi="Times New Roman" w:cs="Times New Roman"/>
        </w:rPr>
        <w:t>at 374</w:t>
      </w:r>
    </w:p>
  </w:footnote>
  <w:footnote w:id="607">
    <w:p w14:paraId="16643B03" w14:textId="555D7EDB" w:rsidR="00336EDF" w:rsidRDefault="00336EDF">
      <w:pPr>
        <w:pStyle w:val="FootnoteText"/>
      </w:pPr>
      <w:r w:rsidRPr="00CF4B80">
        <w:rPr>
          <w:rStyle w:val="FootnoteReference"/>
          <w:rFonts w:ascii="Times New Roman" w:hAnsi="Times New Roman" w:cs="Times New Roman"/>
        </w:rPr>
        <w:footnoteRef/>
      </w:r>
      <w:r>
        <w:t xml:space="preserve"> </w:t>
      </w:r>
      <w:bookmarkStart w:id="862" w:name="f577"/>
      <w:bookmarkEnd w:id="862"/>
      <w:r w:rsidRPr="00CF4B80">
        <w:rPr>
          <w:rFonts w:ascii="Times New Roman" w:hAnsi="Times New Roman" w:cs="Times New Roman"/>
          <w:i/>
        </w:rPr>
        <w:t>Id</w:t>
      </w:r>
      <w:r w:rsidRPr="00CF4B80">
        <w:rPr>
          <w:rFonts w:ascii="Times New Roman" w:hAnsi="Times New Roman" w:cs="Times New Roman"/>
        </w:rPr>
        <w:t>. at 377</w:t>
      </w:r>
    </w:p>
  </w:footnote>
  <w:footnote w:id="608">
    <w:p w14:paraId="0FC4C48F" w14:textId="76BC204F" w:rsidR="00336EDF" w:rsidRDefault="00336EDF">
      <w:pPr>
        <w:pStyle w:val="FootnoteText"/>
        <w:rPr>
          <w:rFonts w:ascii="Times New Roman" w:hAnsi="Times New Roman" w:cs="Times New Roman"/>
        </w:rPr>
      </w:pPr>
      <w:r w:rsidRPr="0058280B">
        <w:rPr>
          <w:rStyle w:val="FootnoteReference"/>
          <w:rFonts w:ascii="Times New Roman" w:hAnsi="Times New Roman" w:cs="Times New Roman"/>
        </w:rPr>
        <w:footnoteRef/>
      </w:r>
      <w:r>
        <w:t xml:space="preserve"> </w:t>
      </w:r>
      <w:bookmarkStart w:id="863" w:name="f578"/>
      <w:bookmarkEnd w:id="863"/>
      <w:r w:rsidRPr="0058280B">
        <w:rPr>
          <w:rFonts w:ascii="Times New Roman" w:hAnsi="Times New Roman" w:cs="Times New Roman"/>
        </w:rPr>
        <w:t>Located currently at</w:t>
      </w:r>
      <w:r>
        <w:t xml:space="preserve"> </w:t>
      </w:r>
      <w:r>
        <w:rPr>
          <w:rFonts w:ascii="Times New Roman" w:hAnsi="Times New Roman" w:cs="Times New Roman"/>
        </w:rPr>
        <w:t>1</w:t>
      </w:r>
      <w:r w:rsidRPr="006B5502">
        <w:rPr>
          <w:rFonts w:ascii="Times New Roman" w:hAnsi="Times New Roman" w:cs="Times New Roman"/>
        </w:rPr>
        <w:t xml:space="preserve"> L</w:t>
      </w:r>
      <w:r w:rsidRPr="006B5502">
        <w:rPr>
          <w:rFonts w:ascii="Times New Roman" w:hAnsi="Times New Roman" w:cs="Times New Roman"/>
          <w:smallCaps/>
        </w:rPr>
        <w:t>arson</w:t>
      </w:r>
      <w:r>
        <w:rPr>
          <w:rFonts w:ascii="Times New Roman" w:hAnsi="Times New Roman" w:cs="Times New Roman"/>
          <w:smallCaps/>
        </w:rPr>
        <w:t>’</w:t>
      </w:r>
      <w:r w:rsidRPr="006B5502">
        <w:rPr>
          <w:rFonts w:ascii="Times New Roman" w:hAnsi="Times New Roman" w:cs="Times New Roman"/>
          <w:smallCaps/>
        </w:rPr>
        <w:t>s</w:t>
      </w:r>
      <w:r w:rsidRPr="006B5502">
        <w:rPr>
          <w:rFonts w:ascii="Times New Roman" w:hAnsi="Times New Roman" w:cs="Times New Roman"/>
        </w:rPr>
        <w:t xml:space="preserve"> W</w:t>
      </w:r>
      <w:r w:rsidRPr="006B5502">
        <w:rPr>
          <w:rFonts w:ascii="Times New Roman" w:hAnsi="Times New Roman" w:cs="Times New Roman"/>
          <w:smallCaps/>
        </w:rPr>
        <w:t>orkers</w:t>
      </w:r>
      <w:r w:rsidRPr="006B5502">
        <w:rPr>
          <w:rFonts w:ascii="Times New Roman" w:hAnsi="Times New Roman" w:cs="Times New Roman"/>
        </w:rPr>
        <w:t>' C</w:t>
      </w:r>
      <w:r w:rsidRPr="006B5502">
        <w:rPr>
          <w:rFonts w:ascii="Times New Roman" w:hAnsi="Times New Roman" w:cs="Times New Roman"/>
          <w:smallCaps/>
        </w:rPr>
        <w:t xml:space="preserve">ompensation </w:t>
      </w:r>
      <w:r w:rsidRPr="006B5502">
        <w:rPr>
          <w:rFonts w:ascii="Times New Roman" w:hAnsi="Times New Roman" w:cs="Times New Roman"/>
        </w:rPr>
        <w:t>L</w:t>
      </w:r>
      <w:r w:rsidRPr="006B5502">
        <w:rPr>
          <w:rFonts w:ascii="Times New Roman" w:hAnsi="Times New Roman" w:cs="Times New Roman"/>
          <w:smallCaps/>
        </w:rPr>
        <w:t>aw</w:t>
      </w:r>
      <w:r w:rsidRPr="006B5502">
        <w:rPr>
          <w:rFonts w:ascii="Times New Roman" w:hAnsi="Times New Roman" w:cs="Times New Roman"/>
        </w:rPr>
        <w:t xml:space="preserve"> § </w:t>
      </w:r>
      <w:r>
        <w:rPr>
          <w:rFonts w:ascii="Times New Roman" w:hAnsi="Times New Roman" w:cs="Times New Roman"/>
        </w:rPr>
        <w:t>10</w:t>
      </w:r>
      <w:r w:rsidRPr="006B5502">
        <w:rPr>
          <w:rFonts w:ascii="Times New Roman" w:hAnsi="Times New Roman" w:cs="Times New Roman"/>
        </w:rPr>
        <w:t>.0</w:t>
      </w:r>
      <w:r>
        <w:rPr>
          <w:rFonts w:ascii="Times New Roman" w:hAnsi="Times New Roman" w:cs="Times New Roman"/>
        </w:rPr>
        <w:t>5:</w:t>
      </w:r>
    </w:p>
    <w:p w14:paraId="27418702" w14:textId="77777777" w:rsidR="00336EDF" w:rsidRDefault="00336EDF" w:rsidP="0058280B">
      <w:pPr>
        <w:pStyle w:val="FootnoteText"/>
        <w:ind w:left="720" w:right="720"/>
        <w:rPr>
          <w:rFonts w:ascii="Times New Roman" w:hAnsi="Times New Roman" w:cs="Times New Roman"/>
        </w:rPr>
      </w:pPr>
    </w:p>
    <w:p w14:paraId="70D9175C" w14:textId="0B2861ED" w:rsidR="00336EDF" w:rsidRPr="0058280B" w:rsidRDefault="00336EDF" w:rsidP="0058280B">
      <w:pPr>
        <w:pStyle w:val="FootnoteText"/>
        <w:ind w:left="720" w:right="720"/>
        <w:jc w:val="both"/>
        <w:rPr>
          <w:rFonts w:ascii="Times New Roman" w:hAnsi="Times New Roman" w:cs="Times New Roman"/>
        </w:rPr>
      </w:pPr>
      <w:r w:rsidRPr="0058280B">
        <w:rPr>
          <w:rFonts w:ascii="Times New Roman" w:hAnsi="Times New Roman" w:cs="Times New Roman"/>
        </w:rPr>
        <w:t>When the injury following the initial compensable injury arises out of a quasi-course activity, such as a trip to the doctor’s office, the chain of causation should not be deemed broken by mere negligence in the performance of that activity, but only by intentional conduct which may be regarded as expressly or impliedly prohibited by the employer.</w:t>
      </w:r>
    </w:p>
    <w:p w14:paraId="5362120B" w14:textId="77777777" w:rsidR="00336EDF" w:rsidRPr="0058280B" w:rsidRDefault="00336EDF" w:rsidP="0058280B">
      <w:pPr>
        <w:pStyle w:val="FootnoteText"/>
        <w:ind w:left="720" w:right="720"/>
        <w:rPr>
          <w:rFonts w:ascii="Times New Roman" w:hAnsi="Times New Roman" w:cs="Times New Roman"/>
        </w:rPr>
      </w:pPr>
    </w:p>
    <w:p w14:paraId="58E33803" w14:textId="745AFFF1" w:rsidR="00336EDF" w:rsidRPr="0058280B" w:rsidRDefault="00336EDF" w:rsidP="0058280B">
      <w:pPr>
        <w:pStyle w:val="FootnoteText"/>
        <w:ind w:left="720" w:right="720"/>
        <w:jc w:val="both"/>
        <w:rPr>
          <w:rFonts w:ascii="Times New Roman" w:hAnsi="Times New Roman" w:cs="Times New Roman"/>
        </w:rPr>
      </w:pPr>
      <w:r w:rsidRPr="0058280B">
        <w:rPr>
          <w:rFonts w:ascii="Times New Roman" w:hAnsi="Times New Roman" w:cs="Times New Roman"/>
        </w:rPr>
        <w:t>When, however, the injury following the initial compensable injury does not arise out of a quasi-course activity, as when a claimant with an injured hand engages in a boxing match, the chain of causation may be deemed broken by either intentional or negligent claimant misconduct.</w:t>
      </w:r>
    </w:p>
  </w:footnote>
  <w:footnote w:id="609">
    <w:p w14:paraId="54610D60" w14:textId="1FF15C8B" w:rsidR="00336EDF" w:rsidRDefault="00336EDF">
      <w:pPr>
        <w:pStyle w:val="FootnoteText"/>
      </w:pPr>
      <w:r w:rsidRPr="002404B7">
        <w:rPr>
          <w:rStyle w:val="FootnoteReference"/>
          <w:rFonts w:ascii="Times New Roman" w:hAnsi="Times New Roman" w:cs="Times New Roman"/>
        </w:rPr>
        <w:footnoteRef/>
      </w:r>
      <w:r w:rsidRPr="002404B7">
        <w:rPr>
          <w:rFonts w:ascii="Times New Roman" w:hAnsi="Times New Roman" w:cs="Times New Roman"/>
        </w:rPr>
        <w:t xml:space="preserve"> </w:t>
      </w:r>
      <w:bookmarkStart w:id="865" w:name="f579"/>
      <w:bookmarkEnd w:id="865"/>
      <w:r w:rsidRPr="00F55473">
        <w:rPr>
          <w:rFonts w:ascii="Times New Roman" w:hAnsi="Times New Roman" w:cs="Times New Roman"/>
        </w:rPr>
        <w:t xml:space="preserve">W.S. § </w:t>
      </w:r>
      <w:hyperlink r:id="rId230" w:history="1">
        <w:r w:rsidRPr="00F55473">
          <w:rPr>
            <w:rStyle w:val="Hyperlink"/>
            <w:rFonts w:ascii="Times New Roman" w:hAnsi="Times New Roman" w:cs="Times New Roman"/>
          </w:rPr>
          <w:t>27-14-403</w:t>
        </w:r>
      </w:hyperlink>
      <w:r w:rsidRPr="00F55473">
        <w:rPr>
          <w:rFonts w:ascii="Times New Roman" w:hAnsi="Times New Roman" w:cs="Times New Roman"/>
        </w:rPr>
        <w:t>(</w:t>
      </w:r>
      <w:r>
        <w:rPr>
          <w:rFonts w:ascii="Times New Roman" w:hAnsi="Times New Roman" w:cs="Times New Roman"/>
        </w:rPr>
        <w:t>d</w:t>
      </w:r>
      <w:r w:rsidRPr="002404B7">
        <w:rPr>
          <w:rFonts w:ascii="Times New Roman" w:hAnsi="Times New Roman" w:cs="Times New Roman"/>
        </w:rPr>
        <w:t>)</w:t>
      </w:r>
    </w:p>
  </w:footnote>
  <w:footnote w:id="610">
    <w:p w14:paraId="57AD1A51" w14:textId="6BEAF1F6" w:rsidR="00336EDF" w:rsidRDefault="00336EDF">
      <w:pPr>
        <w:pStyle w:val="FootnoteText"/>
      </w:pPr>
      <w:r w:rsidRPr="0062130D">
        <w:rPr>
          <w:rStyle w:val="FootnoteReference"/>
          <w:rFonts w:ascii="Times New Roman" w:hAnsi="Times New Roman" w:cs="Times New Roman"/>
        </w:rPr>
        <w:footnoteRef/>
      </w:r>
      <w:r w:rsidRPr="0062130D">
        <w:rPr>
          <w:rFonts w:ascii="Times New Roman" w:hAnsi="Times New Roman" w:cs="Times New Roman"/>
        </w:rPr>
        <w:t xml:space="preserve"> </w:t>
      </w:r>
      <w:bookmarkStart w:id="866" w:name="f580"/>
      <w:bookmarkEnd w:id="866"/>
      <w:r w:rsidRPr="0062130D">
        <w:rPr>
          <w:rFonts w:ascii="Times New Roman" w:hAnsi="Times New Roman" w:cs="Times New Roman"/>
        </w:rPr>
        <w:t>Whatever type of “death benefits” are at issue, lump sum settlements are statutorily discouraged.</w:t>
      </w:r>
      <w:r>
        <w:rPr>
          <w:rFonts w:ascii="Times New Roman" w:hAnsi="Times New Roman" w:cs="Times New Roman"/>
        </w:rPr>
        <w:t xml:space="preserve"> </w:t>
      </w:r>
      <w:r w:rsidRPr="00F55473">
        <w:rPr>
          <w:rFonts w:ascii="Times New Roman" w:hAnsi="Times New Roman" w:cs="Times New Roman"/>
        </w:rPr>
        <w:t xml:space="preserve">W.S. § </w:t>
      </w:r>
      <w:hyperlink r:id="rId231" w:history="1">
        <w:r w:rsidRPr="00F55473">
          <w:rPr>
            <w:rStyle w:val="Hyperlink"/>
            <w:rFonts w:ascii="Times New Roman" w:hAnsi="Times New Roman" w:cs="Times New Roman"/>
          </w:rPr>
          <w:t>27-14-403</w:t>
        </w:r>
      </w:hyperlink>
      <w:r w:rsidRPr="0055212F">
        <w:rPr>
          <w:rFonts w:ascii="Times New Roman" w:hAnsi="Times New Roman" w:cs="Times New Roman"/>
        </w:rPr>
        <w:t>(</w:t>
      </w:r>
      <w:r>
        <w:rPr>
          <w:rFonts w:ascii="Times New Roman" w:hAnsi="Times New Roman" w:cs="Times New Roman"/>
        </w:rPr>
        <w:t>f</w:t>
      </w:r>
      <w:r w:rsidRPr="0055212F">
        <w:rPr>
          <w:rFonts w:ascii="Times New Roman" w:hAnsi="Times New Roman" w:cs="Times New Roman"/>
        </w:rPr>
        <w:t>)</w:t>
      </w:r>
    </w:p>
  </w:footnote>
  <w:footnote w:id="611">
    <w:p w14:paraId="281150FD" w14:textId="241775A4" w:rsidR="00336EDF" w:rsidRPr="002404B7" w:rsidRDefault="00336EDF" w:rsidP="00911682">
      <w:pPr>
        <w:pStyle w:val="FootnoteText"/>
        <w:jc w:val="both"/>
        <w:rPr>
          <w:rFonts w:ascii="Times New Roman" w:hAnsi="Times New Roman" w:cs="Times New Roman"/>
        </w:rPr>
      </w:pPr>
      <w:r w:rsidRPr="002404B7">
        <w:rPr>
          <w:rStyle w:val="FootnoteReference"/>
          <w:rFonts w:ascii="Times New Roman" w:hAnsi="Times New Roman" w:cs="Times New Roman"/>
        </w:rPr>
        <w:footnoteRef/>
      </w:r>
      <w:r>
        <w:t xml:space="preserve"> </w:t>
      </w:r>
      <w:bookmarkStart w:id="867" w:name="f581"/>
      <w:bookmarkEnd w:id="867"/>
      <w:r w:rsidRPr="002404B7">
        <w:rPr>
          <w:rFonts w:ascii="Times New Roman" w:hAnsi="Times New Roman" w:cs="Times New Roman"/>
        </w:rPr>
        <w:t>Survivors of injured workers are not barred from filing for disability</w:t>
      </w:r>
      <w:r>
        <w:rPr>
          <w:rFonts w:ascii="Times New Roman" w:hAnsi="Times New Roman" w:cs="Times New Roman"/>
        </w:rPr>
        <w:t xml:space="preserve"> or impairment</w:t>
      </w:r>
      <w:r w:rsidRPr="002404B7">
        <w:rPr>
          <w:rFonts w:ascii="Times New Roman" w:hAnsi="Times New Roman" w:cs="Times New Roman"/>
        </w:rPr>
        <w:t xml:space="preserve"> benefits where their decedent dies before an award </w:t>
      </w:r>
      <w:r>
        <w:rPr>
          <w:rFonts w:ascii="Times New Roman" w:hAnsi="Times New Roman" w:cs="Times New Roman"/>
        </w:rPr>
        <w:t xml:space="preserve">could be made. Of course, the rule presumes that the claim is filed during the statute of limitations period and can otherwise be proved. Matter of Cordova, </w:t>
      </w:r>
      <w:hyperlink r:id="rId232" w:history="1">
        <w:r w:rsidRPr="007D1628">
          <w:rPr>
            <w:rStyle w:val="Hyperlink"/>
            <w:rFonts w:ascii="Times New Roman" w:hAnsi="Times New Roman" w:cs="Times New Roman"/>
          </w:rPr>
          <w:t>882 P.2d 880</w:t>
        </w:r>
      </w:hyperlink>
      <w:r>
        <w:rPr>
          <w:rFonts w:ascii="Times New Roman" w:hAnsi="Times New Roman" w:cs="Times New Roman"/>
        </w:rPr>
        <w:t xml:space="preserve"> (Wyo. 1994).</w:t>
      </w:r>
    </w:p>
  </w:footnote>
  <w:footnote w:id="612">
    <w:p w14:paraId="26955BF6" w14:textId="318CF98A" w:rsidR="00336EDF" w:rsidRPr="009E2C19" w:rsidRDefault="00336EDF" w:rsidP="009E2C19">
      <w:pPr>
        <w:pStyle w:val="FootnoteText"/>
        <w:jc w:val="both"/>
        <w:rPr>
          <w:rFonts w:ascii="Times New Roman" w:hAnsi="Times New Roman" w:cs="Times New Roman"/>
        </w:rPr>
      </w:pPr>
      <w:r w:rsidRPr="009E2C19">
        <w:rPr>
          <w:rStyle w:val="FootnoteReference"/>
          <w:rFonts w:ascii="Times New Roman" w:hAnsi="Times New Roman" w:cs="Times New Roman"/>
        </w:rPr>
        <w:footnoteRef/>
      </w:r>
      <w:bookmarkStart w:id="868" w:name="f582"/>
      <w:bookmarkEnd w:id="868"/>
      <w:r>
        <w:t xml:space="preserve"> “ . . . </w:t>
      </w:r>
      <w:r w:rsidRPr="009E2C19">
        <w:rPr>
          <w:rFonts w:ascii="Times New Roman" w:hAnsi="Times New Roman" w:cs="Times New Roman"/>
        </w:rPr>
        <w:t>in the proportion that the number of months from the death or remarriage until the child attains the age of majority, or if the child is physically or mentally incapacitated until the child attains the age of twenty-one (21) years, bears to the total number of months until all children will attain these ages</w:t>
      </w:r>
      <w:r>
        <w:rPr>
          <w:rFonts w:ascii="Times New Roman" w:hAnsi="Times New Roman" w:cs="Times New Roman"/>
        </w:rPr>
        <w:t>.”</w:t>
      </w:r>
    </w:p>
  </w:footnote>
  <w:footnote w:id="613">
    <w:p w14:paraId="361444DF" w14:textId="72538FCF" w:rsidR="00336EDF" w:rsidRDefault="00336EDF">
      <w:pPr>
        <w:pStyle w:val="FootnoteText"/>
      </w:pPr>
      <w:r w:rsidRPr="00B335FA">
        <w:rPr>
          <w:rStyle w:val="FootnoteReference"/>
          <w:rFonts w:ascii="Times New Roman" w:hAnsi="Times New Roman" w:cs="Times New Roman"/>
        </w:rPr>
        <w:footnoteRef/>
      </w:r>
      <w:r w:rsidRPr="00B335FA">
        <w:rPr>
          <w:rFonts w:ascii="Times New Roman" w:hAnsi="Times New Roman" w:cs="Times New Roman"/>
        </w:rPr>
        <w:t xml:space="preserve"> </w:t>
      </w:r>
      <w:bookmarkStart w:id="869" w:name="f583"/>
      <w:bookmarkEnd w:id="869"/>
      <w:r w:rsidRPr="00B335FA">
        <w:rPr>
          <w:rFonts w:ascii="Times New Roman" w:hAnsi="Times New Roman" w:cs="Times New Roman"/>
        </w:rPr>
        <w:t>Twenty-one is the presumptive age of majority if the child is “physically or mentally incapacitated.”</w:t>
      </w:r>
      <w:r>
        <w:t xml:space="preserve"> </w:t>
      </w:r>
    </w:p>
  </w:footnote>
  <w:footnote w:id="614">
    <w:p w14:paraId="34902AB3" w14:textId="67A3DD69" w:rsidR="00336EDF" w:rsidRDefault="00336EDF">
      <w:pPr>
        <w:pStyle w:val="FootnoteText"/>
      </w:pPr>
      <w:r w:rsidRPr="002404B7">
        <w:rPr>
          <w:rStyle w:val="FootnoteReference"/>
          <w:rFonts w:ascii="Times New Roman" w:hAnsi="Times New Roman" w:cs="Times New Roman"/>
        </w:rPr>
        <w:footnoteRef/>
      </w:r>
      <w:r>
        <w:t xml:space="preserve"> </w:t>
      </w:r>
      <w:bookmarkStart w:id="871" w:name="f584"/>
      <w:bookmarkEnd w:id="871"/>
      <w:r w:rsidRPr="00F55473">
        <w:rPr>
          <w:rFonts w:ascii="Times New Roman" w:hAnsi="Times New Roman" w:cs="Times New Roman"/>
        </w:rPr>
        <w:t xml:space="preserve">W.S. § </w:t>
      </w:r>
      <w:hyperlink r:id="rId233" w:history="1">
        <w:r w:rsidRPr="00F55473">
          <w:rPr>
            <w:rStyle w:val="Hyperlink"/>
            <w:rFonts w:ascii="Times New Roman" w:hAnsi="Times New Roman" w:cs="Times New Roman"/>
          </w:rPr>
          <w:t>27-14-403</w:t>
        </w:r>
      </w:hyperlink>
      <w:r w:rsidRPr="002404B7">
        <w:rPr>
          <w:rFonts w:ascii="Times New Roman" w:hAnsi="Times New Roman" w:cs="Times New Roman"/>
        </w:rPr>
        <w:t>(</w:t>
      </w:r>
      <w:r>
        <w:rPr>
          <w:rFonts w:ascii="Times New Roman" w:hAnsi="Times New Roman" w:cs="Times New Roman"/>
        </w:rPr>
        <w:t>e</w:t>
      </w:r>
      <w:r w:rsidRPr="002404B7">
        <w:rPr>
          <w:rFonts w:ascii="Times New Roman" w:hAnsi="Times New Roman" w:cs="Times New Roman"/>
        </w:rPr>
        <w:t>)</w:t>
      </w:r>
    </w:p>
  </w:footnote>
  <w:footnote w:id="615">
    <w:p w14:paraId="58938A22" w14:textId="54CE719F" w:rsidR="00336EDF" w:rsidRDefault="00336EDF">
      <w:pPr>
        <w:pStyle w:val="FootnoteText"/>
      </w:pPr>
      <w:r w:rsidRPr="00FA3D37">
        <w:rPr>
          <w:rStyle w:val="FootnoteReference"/>
          <w:rFonts w:ascii="Times New Roman" w:hAnsi="Times New Roman" w:cs="Times New Roman"/>
        </w:rPr>
        <w:footnoteRef/>
      </w:r>
      <w:r>
        <w:t xml:space="preserve"> </w:t>
      </w:r>
      <w:bookmarkStart w:id="872" w:name="f585"/>
      <w:bookmarkStart w:id="873" w:name="_Hlk1316210"/>
      <w:bookmarkEnd w:id="872"/>
      <w:r w:rsidRPr="00F55473">
        <w:rPr>
          <w:rFonts w:ascii="Times New Roman" w:hAnsi="Times New Roman" w:cs="Times New Roman"/>
        </w:rPr>
        <w:t xml:space="preserve">W.S. § </w:t>
      </w:r>
      <w:hyperlink r:id="rId234" w:history="1">
        <w:r w:rsidRPr="00F55473">
          <w:rPr>
            <w:rStyle w:val="Hyperlink"/>
            <w:rFonts w:ascii="Times New Roman" w:hAnsi="Times New Roman" w:cs="Times New Roman"/>
          </w:rPr>
          <w:t>27-14-403</w:t>
        </w:r>
      </w:hyperlink>
      <w:r w:rsidRPr="00FA3D37">
        <w:rPr>
          <w:rFonts w:ascii="Times New Roman" w:hAnsi="Times New Roman" w:cs="Times New Roman"/>
        </w:rPr>
        <w:t>(b)</w:t>
      </w:r>
      <w:bookmarkEnd w:id="873"/>
    </w:p>
  </w:footnote>
  <w:footnote w:id="616">
    <w:p w14:paraId="2AA4D650" w14:textId="46EC24EC" w:rsidR="00336EDF" w:rsidRPr="003B144F" w:rsidRDefault="00336EDF" w:rsidP="003B144F">
      <w:pPr>
        <w:pStyle w:val="FootnoteText"/>
        <w:jc w:val="both"/>
        <w:rPr>
          <w:rFonts w:ascii="Times New Roman" w:hAnsi="Times New Roman" w:cs="Times New Roman"/>
        </w:rPr>
      </w:pPr>
      <w:r w:rsidRPr="003B144F">
        <w:rPr>
          <w:rStyle w:val="FootnoteReference"/>
          <w:rFonts w:ascii="Times New Roman" w:hAnsi="Times New Roman" w:cs="Times New Roman"/>
        </w:rPr>
        <w:footnoteRef/>
      </w:r>
      <w:r>
        <w:t xml:space="preserve"> </w:t>
      </w:r>
      <w:bookmarkStart w:id="875" w:name="f586"/>
      <w:bookmarkEnd w:id="875"/>
      <w:r w:rsidRPr="003B144F">
        <w:rPr>
          <w:rFonts w:ascii="Times New Roman" w:hAnsi="Times New Roman" w:cs="Times New Roman"/>
        </w:rPr>
        <w:t xml:space="preserve">Heather v. Delta Drilling Co., </w:t>
      </w:r>
      <w:hyperlink r:id="rId235" w:history="1">
        <w:r w:rsidRPr="007D1628">
          <w:rPr>
            <w:rStyle w:val="Hyperlink"/>
            <w:rFonts w:ascii="Times New Roman" w:hAnsi="Times New Roman" w:cs="Times New Roman"/>
          </w:rPr>
          <w:t>533 P.2d 1211</w:t>
        </w:r>
      </w:hyperlink>
      <w:r w:rsidRPr="003B144F">
        <w:rPr>
          <w:rFonts w:ascii="Times New Roman" w:hAnsi="Times New Roman" w:cs="Times New Roman"/>
        </w:rPr>
        <w:t xml:space="preserve"> (Wyo. 1975); </w:t>
      </w:r>
      <w:bookmarkStart w:id="876" w:name="_Hlk1318470"/>
      <w:r w:rsidRPr="003B144F">
        <w:rPr>
          <w:rFonts w:ascii="Times New Roman" w:hAnsi="Times New Roman" w:cs="Times New Roman"/>
        </w:rPr>
        <w:t xml:space="preserve">Workers’ Compensation Div. v. Halstead, </w:t>
      </w:r>
      <w:hyperlink r:id="rId236" w:history="1">
        <w:r w:rsidRPr="00006CD3">
          <w:rPr>
            <w:rStyle w:val="Hyperlink"/>
            <w:rFonts w:ascii="Times New Roman" w:hAnsi="Times New Roman" w:cs="Times New Roman"/>
          </w:rPr>
          <w:t>795 P.2d 760</w:t>
        </w:r>
      </w:hyperlink>
      <w:r w:rsidRPr="003B144F">
        <w:rPr>
          <w:rFonts w:ascii="Times New Roman" w:hAnsi="Times New Roman" w:cs="Times New Roman"/>
        </w:rPr>
        <w:t xml:space="preserve"> (Wyo. 1990)</w:t>
      </w:r>
    </w:p>
    <w:bookmarkEnd w:id="876"/>
  </w:footnote>
  <w:footnote w:id="617">
    <w:p w14:paraId="33F87D59" w14:textId="523D4B34" w:rsidR="00336EDF" w:rsidRPr="003B144F" w:rsidRDefault="00336EDF">
      <w:pPr>
        <w:pStyle w:val="FootnoteText"/>
        <w:rPr>
          <w:rFonts w:ascii="Times New Roman" w:hAnsi="Times New Roman" w:cs="Times New Roman"/>
        </w:rPr>
      </w:pPr>
      <w:r w:rsidRPr="003B144F">
        <w:rPr>
          <w:rStyle w:val="FootnoteReference"/>
          <w:rFonts w:ascii="Times New Roman" w:hAnsi="Times New Roman" w:cs="Times New Roman"/>
        </w:rPr>
        <w:footnoteRef/>
      </w:r>
      <w:r w:rsidRPr="003B144F">
        <w:rPr>
          <w:rFonts w:ascii="Times New Roman" w:hAnsi="Times New Roman" w:cs="Times New Roman"/>
        </w:rPr>
        <w:t xml:space="preserve"> </w:t>
      </w:r>
      <w:bookmarkStart w:id="877" w:name="f587"/>
      <w:bookmarkEnd w:id="877"/>
      <w:r w:rsidRPr="003B144F">
        <w:rPr>
          <w:rFonts w:ascii="Times New Roman" w:hAnsi="Times New Roman" w:cs="Times New Roman"/>
        </w:rPr>
        <w:t xml:space="preserve">Workers’ Compensation Div. v. Halstead, 795 P.2d </w:t>
      </w:r>
      <w:r>
        <w:rPr>
          <w:rFonts w:ascii="Times New Roman" w:hAnsi="Times New Roman" w:cs="Times New Roman"/>
        </w:rPr>
        <w:t>at 767.</w:t>
      </w:r>
    </w:p>
  </w:footnote>
  <w:footnote w:id="618">
    <w:p w14:paraId="27719DCA" w14:textId="1DDC945D" w:rsidR="00336EDF" w:rsidRPr="00D80E8C" w:rsidRDefault="00336EDF" w:rsidP="00D26FF7">
      <w:pPr>
        <w:pStyle w:val="FootnoteText"/>
        <w:jc w:val="both"/>
        <w:rPr>
          <w:rFonts w:ascii="Times New Roman" w:hAnsi="Times New Roman" w:cs="Times New Roman"/>
        </w:rPr>
      </w:pPr>
      <w:r w:rsidRPr="00D80E8C">
        <w:rPr>
          <w:rStyle w:val="FootnoteReference"/>
          <w:rFonts w:ascii="Times New Roman" w:hAnsi="Times New Roman" w:cs="Times New Roman"/>
        </w:rPr>
        <w:footnoteRef/>
      </w:r>
      <w:r>
        <w:t xml:space="preserve"> </w:t>
      </w:r>
      <w:bookmarkStart w:id="878" w:name="f588"/>
      <w:bookmarkEnd w:id="878"/>
      <w:r w:rsidRPr="00D80E8C">
        <w:rPr>
          <w:rFonts w:ascii="Times New Roman" w:hAnsi="Times New Roman" w:cs="Times New Roman"/>
        </w:rPr>
        <w:t xml:space="preserve">Jim’s Water Service v. Eayrs, </w:t>
      </w:r>
      <w:hyperlink r:id="rId237" w:history="1">
        <w:r w:rsidRPr="00006CD3">
          <w:rPr>
            <w:rStyle w:val="Hyperlink"/>
            <w:rFonts w:ascii="Times New Roman" w:hAnsi="Times New Roman" w:cs="Times New Roman"/>
          </w:rPr>
          <w:t>590 P.2d 1346</w:t>
        </w:r>
      </w:hyperlink>
      <w:r w:rsidRPr="00D80E8C">
        <w:rPr>
          <w:rFonts w:ascii="Times New Roman" w:hAnsi="Times New Roman" w:cs="Times New Roman"/>
        </w:rPr>
        <w:t>, 1351 (Wyo. 1979) (reversed on other grounds)</w:t>
      </w:r>
    </w:p>
  </w:footnote>
  <w:footnote w:id="619">
    <w:p w14:paraId="4F2CFE75" w14:textId="531938B1" w:rsidR="00336EDF" w:rsidRDefault="00336EDF">
      <w:pPr>
        <w:pStyle w:val="FootnoteText"/>
      </w:pPr>
      <w:r w:rsidRPr="00603DB6">
        <w:rPr>
          <w:rStyle w:val="FootnoteReference"/>
          <w:rFonts w:ascii="Times New Roman" w:hAnsi="Times New Roman" w:cs="Times New Roman"/>
        </w:rPr>
        <w:footnoteRef/>
      </w:r>
      <w:r>
        <w:t xml:space="preserve"> </w:t>
      </w:r>
      <w:bookmarkStart w:id="881" w:name="f589"/>
      <w:bookmarkEnd w:id="881"/>
      <w:r w:rsidRPr="00F55473">
        <w:rPr>
          <w:rFonts w:ascii="Times New Roman" w:hAnsi="Times New Roman" w:cs="Times New Roman"/>
        </w:rPr>
        <w:t xml:space="preserve">W.S. § </w:t>
      </w:r>
      <w:hyperlink r:id="rId238" w:history="1">
        <w:r w:rsidRPr="00F55473">
          <w:rPr>
            <w:rStyle w:val="Hyperlink"/>
            <w:rFonts w:ascii="Times New Roman" w:hAnsi="Times New Roman" w:cs="Times New Roman"/>
          </w:rPr>
          <w:t>27-14-403</w:t>
        </w:r>
      </w:hyperlink>
      <w:r w:rsidRPr="00A82AFD">
        <w:rPr>
          <w:rFonts w:ascii="Times New Roman" w:hAnsi="Times New Roman" w:cs="Times New Roman"/>
        </w:rPr>
        <w:t>(c)(iv)</w:t>
      </w:r>
    </w:p>
  </w:footnote>
  <w:footnote w:id="620">
    <w:p w14:paraId="6FB2637E" w14:textId="0B333D16" w:rsidR="00336EDF" w:rsidRPr="00D26FF7" w:rsidRDefault="00336EDF" w:rsidP="00D26FF7">
      <w:pPr>
        <w:pStyle w:val="FootnoteText"/>
        <w:jc w:val="both"/>
        <w:rPr>
          <w:rFonts w:ascii="Times New Roman" w:hAnsi="Times New Roman" w:cs="Times New Roman"/>
        </w:rPr>
      </w:pPr>
      <w:r w:rsidRPr="00D26FF7">
        <w:rPr>
          <w:rStyle w:val="FootnoteReference"/>
          <w:rFonts w:ascii="Times New Roman" w:hAnsi="Times New Roman" w:cs="Times New Roman"/>
        </w:rPr>
        <w:footnoteRef/>
      </w:r>
      <w:r>
        <w:t xml:space="preserve"> </w:t>
      </w:r>
      <w:bookmarkStart w:id="884" w:name="f590"/>
      <w:bookmarkEnd w:id="884"/>
      <w:r w:rsidRPr="00D26FF7">
        <w:rPr>
          <w:rFonts w:ascii="Times New Roman" w:hAnsi="Times New Roman" w:cs="Times New Roman"/>
          <w:i/>
        </w:rPr>
        <w:t>See supra</w:t>
      </w:r>
      <w:r w:rsidRPr="00D26FF7">
        <w:rPr>
          <w:rFonts w:ascii="Times New Roman" w:hAnsi="Times New Roman" w:cs="Times New Roman"/>
        </w:rPr>
        <w:t xml:space="preserve">. in </w:t>
      </w:r>
      <w:r>
        <w:rPr>
          <w:rFonts w:ascii="Times New Roman" w:hAnsi="Times New Roman" w:cs="Times New Roman"/>
        </w:rPr>
        <w:t>T</w:t>
      </w:r>
      <w:r w:rsidRPr="00D26FF7">
        <w:rPr>
          <w:rFonts w:ascii="Times New Roman" w:hAnsi="Times New Roman" w:cs="Times New Roman"/>
        </w:rPr>
        <w:t xml:space="preserve">reatise Section 3.19; </w:t>
      </w:r>
      <w:r w:rsidRPr="00D26FF7">
        <w:rPr>
          <w:rFonts w:ascii="Times New Roman" w:hAnsi="Times New Roman" w:cs="Times New Roman"/>
          <w:i/>
        </w:rPr>
        <w:t>see also</w:t>
      </w:r>
      <w:r w:rsidRPr="00D26FF7">
        <w:rPr>
          <w:rFonts w:ascii="Times New Roman" w:hAnsi="Times New Roman" w:cs="Times New Roman"/>
        </w:rPr>
        <w:t xml:space="preserve"> Workers’ Compensation Div. v. Ramsey, </w:t>
      </w:r>
      <w:hyperlink r:id="rId239" w:history="1">
        <w:r w:rsidRPr="00006CD3">
          <w:rPr>
            <w:rStyle w:val="Hyperlink"/>
            <w:rFonts w:ascii="Times New Roman" w:hAnsi="Times New Roman" w:cs="Times New Roman"/>
          </w:rPr>
          <w:t>839 P.2d 936</w:t>
        </w:r>
      </w:hyperlink>
      <w:r w:rsidRPr="00D26FF7">
        <w:rPr>
          <w:rFonts w:ascii="Times New Roman" w:hAnsi="Times New Roman" w:cs="Times New Roman"/>
        </w:rPr>
        <w:t xml:space="preserve"> (Wyo. 1992).</w:t>
      </w:r>
    </w:p>
  </w:footnote>
  <w:footnote w:id="621">
    <w:p w14:paraId="50B089D3" w14:textId="11AC750F" w:rsidR="00336EDF" w:rsidRDefault="00336EDF" w:rsidP="00414B58">
      <w:pPr>
        <w:pStyle w:val="FootnoteText"/>
        <w:jc w:val="both"/>
      </w:pPr>
      <w:r w:rsidRPr="00414B58">
        <w:rPr>
          <w:rStyle w:val="FootnoteReference"/>
          <w:rFonts w:ascii="Times New Roman" w:hAnsi="Times New Roman" w:cs="Times New Roman"/>
        </w:rPr>
        <w:footnoteRef/>
      </w:r>
      <w:r>
        <w:t xml:space="preserve"> </w:t>
      </w:r>
      <w:bookmarkStart w:id="886" w:name="f591"/>
      <w:bookmarkEnd w:id="886"/>
      <w:r w:rsidRPr="00617864">
        <w:rPr>
          <w:rFonts w:ascii="Times New Roman" w:hAnsi="Times New Roman" w:cs="Times New Roman"/>
          <w:smallCaps/>
        </w:rPr>
        <w:t>Workers’ Compensation: Benefits, Coverage and Costs, The National Academy of Social Insurance</w:t>
      </w:r>
      <w:r w:rsidRPr="00414B58">
        <w:rPr>
          <w:rFonts w:ascii="Times New Roman" w:hAnsi="Times New Roman" w:cs="Times New Roman"/>
        </w:rPr>
        <w:t xml:space="preserve"> 37 (2017), </w:t>
      </w:r>
      <w:hyperlink r:id="rId240" w:history="1">
        <w:r w:rsidRPr="00414B58">
          <w:rPr>
            <w:rStyle w:val="Hyperlink"/>
            <w:rFonts w:ascii="Times New Roman" w:hAnsi="Times New Roman" w:cs="Times New Roman"/>
          </w:rPr>
          <w:t>https://www.nasi.org/sites/default/files/research/NASI_Workers%20Comp%20Report%202017_web.pdf</w:t>
        </w:r>
      </w:hyperlink>
      <w:r w:rsidRPr="00414B58">
        <w:rPr>
          <w:rFonts w:ascii="Times New Roman" w:hAnsi="Times New Roman" w:cs="Times New Roman"/>
        </w:rPr>
        <w:t xml:space="preserve"> at </w:t>
      </w:r>
      <w:r>
        <w:rPr>
          <w:rFonts w:ascii="Times New Roman" w:hAnsi="Times New Roman" w:cs="Times New Roman"/>
        </w:rPr>
        <w:t xml:space="preserve">5; </w:t>
      </w:r>
      <w:r w:rsidRPr="00617864">
        <w:rPr>
          <w:rFonts w:ascii="Times New Roman" w:hAnsi="Times New Roman" w:cs="Times New Roman"/>
        </w:rPr>
        <w:t>8 Larson's Workers' Compensation Law § 94.0</w:t>
      </w:r>
      <w:r>
        <w:rPr>
          <w:rFonts w:ascii="Times New Roman" w:hAnsi="Times New Roman" w:cs="Times New Roman"/>
        </w:rPr>
        <w:t>3</w:t>
      </w:r>
    </w:p>
  </w:footnote>
  <w:footnote w:id="622">
    <w:p w14:paraId="0E167EE5" w14:textId="609DD8BA" w:rsidR="00336EDF" w:rsidRDefault="00336EDF">
      <w:pPr>
        <w:pStyle w:val="FootnoteText"/>
      </w:pPr>
      <w:r w:rsidRPr="00617864">
        <w:rPr>
          <w:rStyle w:val="FootnoteReference"/>
          <w:rFonts w:ascii="Times New Roman" w:hAnsi="Times New Roman" w:cs="Times New Roman"/>
        </w:rPr>
        <w:footnoteRef/>
      </w:r>
      <w:r w:rsidRPr="00617864">
        <w:rPr>
          <w:rFonts w:ascii="Times New Roman" w:hAnsi="Times New Roman" w:cs="Times New Roman"/>
        </w:rPr>
        <w:t xml:space="preserve"> </w:t>
      </w:r>
      <w:bookmarkStart w:id="887" w:name="f592"/>
      <w:bookmarkEnd w:id="887"/>
      <w:r w:rsidRPr="00617864">
        <w:rPr>
          <w:rFonts w:ascii="Times New Roman" w:hAnsi="Times New Roman" w:cs="Times New Roman"/>
          <w:smallCaps/>
        </w:rPr>
        <w:t>8 Larson's Workers' Compensation Law § 94.0</w:t>
      </w:r>
      <w:r>
        <w:rPr>
          <w:rFonts w:ascii="Times New Roman" w:hAnsi="Times New Roman" w:cs="Times New Roman"/>
          <w:smallCaps/>
        </w:rPr>
        <w:t>1</w:t>
      </w:r>
    </w:p>
  </w:footnote>
  <w:footnote w:id="623">
    <w:p w14:paraId="5A8989C3" w14:textId="022CF186" w:rsidR="00336EDF" w:rsidRDefault="00336EDF">
      <w:pPr>
        <w:pStyle w:val="FootnoteText"/>
      </w:pPr>
      <w:r w:rsidRPr="00414B58">
        <w:rPr>
          <w:rStyle w:val="FootnoteReference"/>
          <w:rFonts w:ascii="Times New Roman" w:hAnsi="Times New Roman" w:cs="Times New Roman"/>
        </w:rPr>
        <w:footnoteRef/>
      </w:r>
      <w:r w:rsidRPr="00414B58">
        <w:rPr>
          <w:rFonts w:ascii="Times New Roman" w:hAnsi="Times New Roman" w:cs="Times New Roman"/>
        </w:rPr>
        <w:t xml:space="preserve"> </w:t>
      </w:r>
      <w:bookmarkStart w:id="888" w:name="f593"/>
      <w:bookmarkEnd w:id="888"/>
      <w:r w:rsidRPr="00617864">
        <w:rPr>
          <w:rFonts w:ascii="Times New Roman" w:hAnsi="Times New Roman" w:cs="Times New Roman"/>
          <w:smallCaps/>
        </w:rPr>
        <w:t xml:space="preserve">6 Edw. VII, c.58, First Schedule, as reproduced in </w:t>
      </w:r>
      <w:bookmarkStart w:id="889" w:name="_Hlk521527092"/>
      <w:r w:rsidRPr="00617864">
        <w:rPr>
          <w:rFonts w:ascii="Times New Roman" w:hAnsi="Times New Roman" w:cs="Times New Roman"/>
          <w:smallCaps/>
        </w:rPr>
        <w:t>2 Harry B. Bradbury 1735</w:t>
      </w:r>
      <w:bookmarkEnd w:id="889"/>
      <w:r w:rsidRPr="00414B58">
        <w:rPr>
          <w:rFonts w:ascii="Times New Roman" w:hAnsi="Times New Roman" w:cs="Times New Roman"/>
        </w:rPr>
        <w:t xml:space="preserve"> (2nd. Ed. 1914).</w:t>
      </w:r>
    </w:p>
  </w:footnote>
  <w:footnote w:id="624">
    <w:p w14:paraId="214C9BE3" w14:textId="5F205CBB" w:rsidR="00336EDF" w:rsidRDefault="00336EDF" w:rsidP="00617864">
      <w:pPr>
        <w:pStyle w:val="FootnoteText"/>
        <w:jc w:val="both"/>
      </w:pPr>
      <w:r w:rsidRPr="00617864">
        <w:rPr>
          <w:rStyle w:val="FootnoteReference"/>
          <w:rFonts w:ascii="Times New Roman" w:hAnsi="Times New Roman" w:cs="Times New Roman"/>
        </w:rPr>
        <w:footnoteRef/>
      </w:r>
      <w:r w:rsidRPr="00617864">
        <w:rPr>
          <w:rFonts w:ascii="Times New Roman" w:hAnsi="Times New Roman" w:cs="Times New Roman"/>
        </w:rPr>
        <w:t xml:space="preserve"> </w:t>
      </w:r>
      <w:bookmarkStart w:id="890" w:name="f594"/>
      <w:bookmarkEnd w:id="890"/>
      <w:r w:rsidRPr="00617864">
        <w:rPr>
          <w:i/>
        </w:rPr>
        <w:t>See</w:t>
      </w:r>
      <w:r w:rsidRPr="00617864">
        <w:t xml:space="preserve"> </w:t>
      </w:r>
      <w:r w:rsidRPr="00617864">
        <w:rPr>
          <w:rFonts w:ascii="Times New Roman" w:hAnsi="Times New Roman" w:cs="Times New Roman"/>
          <w:smallCaps/>
        </w:rPr>
        <w:t>John Henry Watt, The Law Relating to National Insurance: with an explanatory introduction</w:t>
      </w:r>
      <w:r w:rsidRPr="00617864">
        <w:t xml:space="preserve"> </w:t>
      </w:r>
      <w:r w:rsidRPr="00617864">
        <w:rPr>
          <w:rFonts w:ascii="Times New Roman" w:hAnsi="Times New Roman" w:cs="Times New Roman"/>
        </w:rPr>
        <w:t>76 (Stevens and Sons 1913) (defining covered individuals as all persons employed).</w:t>
      </w:r>
    </w:p>
  </w:footnote>
  <w:footnote w:id="625">
    <w:p w14:paraId="20885A97" w14:textId="10868DDE" w:rsidR="00336EDF" w:rsidRDefault="00336EDF">
      <w:pPr>
        <w:pStyle w:val="FootnoteText"/>
      </w:pPr>
      <w:r w:rsidRPr="00566846">
        <w:rPr>
          <w:rStyle w:val="FootnoteReference"/>
          <w:rFonts w:ascii="Times New Roman" w:hAnsi="Times New Roman" w:cs="Times New Roman"/>
        </w:rPr>
        <w:footnoteRef/>
      </w:r>
      <w:r w:rsidRPr="00566846">
        <w:rPr>
          <w:rFonts w:ascii="Times New Roman" w:hAnsi="Times New Roman" w:cs="Times New Roman"/>
        </w:rPr>
        <w:t xml:space="preserve"> </w:t>
      </w:r>
      <w:bookmarkStart w:id="894" w:name="f595"/>
      <w:bookmarkEnd w:id="894"/>
      <w:r w:rsidRPr="00566846">
        <w:rPr>
          <w:rFonts w:ascii="Times New Roman" w:hAnsi="Times New Roman" w:cs="Times New Roman"/>
        </w:rPr>
        <w:t xml:space="preserve">Fuhs v. Swenson, </w:t>
      </w:r>
      <w:hyperlink r:id="rId241" w:history="1">
        <w:r w:rsidRPr="00006CD3">
          <w:rPr>
            <w:rStyle w:val="Hyperlink"/>
            <w:rFonts w:ascii="Times New Roman" w:hAnsi="Times New Roman" w:cs="Times New Roman"/>
          </w:rPr>
          <w:t>131 P.2d 333</w:t>
        </w:r>
      </w:hyperlink>
      <w:r w:rsidRPr="00566846">
        <w:rPr>
          <w:rFonts w:ascii="Times New Roman" w:hAnsi="Times New Roman" w:cs="Times New Roman"/>
        </w:rPr>
        <w:t xml:space="preserve"> (Wyo. 1942)</w:t>
      </w:r>
    </w:p>
  </w:footnote>
  <w:footnote w:id="626">
    <w:p w14:paraId="231E5E30" w14:textId="1D9D0FA9" w:rsidR="00336EDF" w:rsidRDefault="00336EDF">
      <w:pPr>
        <w:pStyle w:val="FootnoteText"/>
      </w:pPr>
      <w:r w:rsidRPr="00F721A0">
        <w:rPr>
          <w:rStyle w:val="FootnoteReference"/>
          <w:rFonts w:ascii="Times New Roman" w:hAnsi="Times New Roman" w:cs="Times New Roman"/>
        </w:rPr>
        <w:footnoteRef/>
      </w:r>
      <w:r>
        <w:t xml:space="preserve"> </w:t>
      </w:r>
      <w:bookmarkStart w:id="895" w:name="f596"/>
      <w:bookmarkEnd w:id="895"/>
      <w:r w:rsidRPr="00F721A0">
        <w:rPr>
          <w:rFonts w:ascii="Times New Roman" w:hAnsi="Times New Roman" w:cs="Times New Roman"/>
        </w:rPr>
        <w:t xml:space="preserve">In re Armstong, </w:t>
      </w:r>
      <w:hyperlink r:id="rId242" w:history="1">
        <w:r w:rsidRPr="00006CD3">
          <w:rPr>
            <w:rStyle w:val="Hyperlink"/>
            <w:rFonts w:ascii="Times New Roman" w:hAnsi="Times New Roman" w:cs="Times New Roman"/>
          </w:rPr>
          <w:t>991 P.2d 140</w:t>
        </w:r>
      </w:hyperlink>
      <w:r w:rsidRPr="00F721A0">
        <w:rPr>
          <w:rFonts w:ascii="Times New Roman" w:hAnsi="Times New Roman" w:cs="Times New Roman"/>
        </w:rPr>
        <w:t xml:space="preserve"> (Wyo. 1999)</w:t>
      </w:r>
      <w:r>
        <w:rPr>
          <w:rFonts w:ascii="Times New Roman" w:hAnsi="Times New Roman" w:cs="Times New Roman"/>
        </w:rPr>
        <w:t xml:space="preserve">; Moller v. Workers’ Compensation &amp; Safety Div., </w:t>
      </w:r>
      <w:hyperlink r:id="rId243" w:history="1">
        <w:r w:rsidRPr="00006CD3">
          <w:rPr>
            <w:rStyle w:val="Hyperlink"/>
            <w:rFonts w:ascii="Times New Roman" w:hAnsi="Times New Roman" w:cs="Times New Roman"/>
          </w:rPr>
          <w:t>12 P.3d 702</w:t>
        </w:r>
      </w:hyperlink>
      <w:r>
        <w:rPr>
          <w:rFonts w:ascii="Times New Roman" w:hAnsi="Times New Roman" w:cs="Times New Roman"/>
        </w:rPr>
        <w:t xml:space="preserve"> (Wyo. 2000) (upholding conclusion that personal items are not medical expenses unless approved in advance by Division).</w:t>
      </w:r>
      <w:r>
        <w:t xml:space="preserve"> </w:t>
      </w:r>
    </w:p>
  </w:footnote>
  <w:footnote w:id="627">
    <w:p w14:paraId="21483FE2" w14:textId="6D300994" w:rsidR="00336EDF" w:rsidRDefault="00336EDF">
      <w:pPr>
        <w:pStyle w:val="FootnoteText"/>
      </w:pPr>
      <w:r w:rsidRPr="00B03A6E">
        <w:rPr>
          <w:rStyle w:val="FootnoteReference"/>
          <w:rFonts w:ascii="Times New Roman" w:hAnsi="Times New Roman" w:cs="Times New Roman"/>
        </w:rPr>
        <w:footnoteRef/>
      </w:r>
      <w:r>
        <w:t xml:space="preserve"> </w:t>
      </w:r>
      <w:bookmarkStart w:id="896" w:name="f597"/>
      <w:bookmarkEnd w:id="896"/>
      <w:r w:rsidRPr="00B03A6E">
        <w:rPr>
          <w:rFonts w:ascii="Times New Roman" w:hAnsi="Times New Roman" w:cs="Times New Roman"/>
        </w:rPr>
        <w:t>B</w:t>
      </w:r>
      <w:r>
        <w:rPr>
          <w:rFonts w:ascii="Times New Roman" w:hAnsi="Times New Roman" w:cs="Times New Roman"/>
        </w:rPr>
        <w:t>i</w:t>
      </w:r>
      <w:r w:rsidRPr="00B03A6E">
        <w:rPr>
          <w:rFonts w:ascii="Times New Roman" w:hAnsi="Times New Roman" w:cs="Times New Roman"/>
        </w:rPr>
        <w:t xml:space="preserve">rch v. Workers’ Safety </w:t>
      </w:r>
      <w:r>
        <w:rPr>
          <w:rFonts w:ascii="Times New Roman" w:hAnsi="Times New Roman" w:cs="Times New Roman"/>
        </w:rPr>
        <w:t>&amp;</w:t>
      </w:r>
      <w:r w:rsidRPr="00B03A6E">
        <w:rPr>
          <w:rFonts w:ascii="Times New Roman" w:hAnsi="Times New Roman" w:cs="Times New Roman"/>
        </w:rPr>
        <w:t xml:space="preserve"> Compensation Div</w:t>
      </w:r>
      <w:r>
        <w:rPr>
          <w:rFonts w:ascii="Times New Roman" w:hAnsi="Times New Roman" w:cs="Times New Roman"/>
        </w:rPr>
        <w:t>.</w:t>
      </w:r>
      <w:r w:rsidRPr="00B03A6E">
        <w:rPr>
          <w:rFonts w:ascii="Times New Roman" w:hAnsi="Times New Roman" w:cs="Times New Roman"/>
        </w:rPr>
        <w:t xml:space="preserve">, </w:t>
      </w:r>
      <w:hyperlink r:id="rId244" w:history="1">
        <w:r w:rsidRPr="00006CD3">
          <w:rPr>
            <w:rStyle w:val="Hyperlink"/>
            <w:rFonts w:ascii="Times New Roman" w:hAnsi="Times New Roman" w:cs="Times New Roman"/>
          </w:rPr>
          <w:t>319 P.3d 901</w:t>
        </w:r>
      </w:hyperlink>
      <w:r w:rsidRPr="00B03A6E">
        <w:rPr>
          <w:rFonts w:ascii="Times New Roman" w:hAnsi="Times New Roman" w:cs="Times New Roman"/>
        </w:rPr>
        <w:t xml:space="preserve"> (Wyo. 2014)</w:t>
      </w:r>
    </w:p>
  </w:footnote>
  <w:footnote w:id="628">
    <w:p w14:paraId="19867AE7" w14:textId="73BAAA28" w:rsidR="00336EDF" w:rsidRDefault="00336EDF">
      <w:pPr>
        <w:pStyle w:val="FootnoteText"/>
      </w:pPr>
      <w:r w:rsidRPr="008B2D82">
        <w:rPr>
          <w:rStyle w:val="FootnoteReference"/>
          <w:rFonts w:ascii="Times New Roman" w:hAnsi="Times New Roman" w:cs="Times New Roman"/>
        </w:rPr>
        <w:footnoteRef/>
      </w:r>
      <w:r>
        <w:t xml:space="preserve"> </w:t>
      </w:r>
      <w:bookmarkStart w:id="897" w:name="f598"/>
      <w:bookmarkEnd w:id="897"/>
      <w:r w:rsidRPr="002D1642">
        <w:rPr>
          <w:rFonts w:ascii="Times New Roman" w:hAnsi="Times New Roman" w:cs="Times New Roman"/>
        </w:rPr>
        <w:t>WY Rules and Regulations 053.0021.10 § 3</w:t>
      </w:r>
      <w:r>
        <w:rPr>
          <w:rFonts w:ascii="Times New Roman" w:hAnsi="Times New Roman" w:cs="Times New Roman"/>
        </w:rPr>
        <w:t>;</w:t>
      </w:r>
      <w:r w:rsidRPr="002D1642">
        <w:rPr>
          <w:rFonts w:ascii="Times New Roman" w:hAnsi="Times New Roman" w:cs="Times New Roman"/>
        </w:rPr>
        <w:t xml:space="preserve"> Workers’ Compensation Division Rules, ch. 10, § 3.</w:t>
      </w:r>
    </w:p>
  </w:footnote>
  <w:footnote w:id="629">
    <w:p w14:paraId="0C7B9065" w14:textId="45871957" w:rsidR="00336EDF" w:rsidRDefault="00336EDF">
      <w:pPr>
        <w:pStyle w:val="FootnoteText"/>
      </w:pPr>
      <w:r w:rsidRPr="0076540D">
        <w:rPr>
          <w:rStyle w:val="FootnoteReference"/>
          <w:rFonts w:ascii="Times New Roman" w:hAnsi="Times New Roman" w:cs="Times New Roman"/>
        </w:rPr>
        <w:footnoteRef/>
      </w:r>
      <w:r>
        <w:t xml:space="preserve"> </w:t>
      </w:r>
      <w:bookmarkStart w:id="898" w:name="f599"/>
      <w:bookmarkEnd w:id="898"/>
      <w:r>
        <w:fldChar w:fldCharType="begin"/>
      </w:r>
      <w:r>
        <w:instrText xml:space="preserve"> HYPERLINK "https://www.leagle.com/decision/inwyco20180822g79" </w:instrText>
      </w:r>
      <w:r>
        <w:fldChar w:fldCharType="separate"/>
      </w:r>
      <w:r w:rsidRPr="00F85B09">
        <w:rPr>
          <w:rStyle w:val="Hyperlink"/>
          <w:rFonts w:ascii="Times New Roman" w:hAnsi="Times New Roman" w:cs="Times New Roman"/>
        </w:rPr>
        <w:t>424 P.3d 1261</w:t>
      </w:r>
      <w:r>
        <w:rPr>
          <w:rStyle w:val="Hyperlink"/>
          <w:rFonts w:ascii="Times New Roman" w:hAnsi="Times New Roman" w:cs="Times New Roman"/>
        </w:rPr>
        <w:fldChar w:fldCharType="end"/>
      </w:r>
      <w:r w:rsidRPr="0076540D">
        <w:rPr>
          <w:rFonts w:ascii="Times New Roman" w:hAnsi="Times New Roman" w:cs="Times New Roman"/>
        </w:rPr>
        <w:t xml:space="preserve"> (Wyo. 2018)</w:t>
      </w:r>
    </w:p>
  </w:footnote>
  <w:footnote w:id="630">
    <w:p w14:paraId="161E6559" w14:textId="56E73AB7" w:rsidR="00336EDF" w:rsidRDefault="00336EDF">
      <w:pPr>
        <w:pStyle w:val="FootnoteText"/>
      </w:pPr>
      <w:r w:rsidRPr="008B2D82">
        <w:rPr>
          <w:rStyle w:val="FootnoteReference"/>
          <w:rFonts w:ascii="Times New Roman" w:hAnsi="Times New Roman" w:cs="Times New Roman"/>
        </w:rPr>
        <w:footnoteRef/>
      </w:r>
      <w:r>
        <w:t xml:space="preserve"> </w:t>
      </w:r>
      <w:bookmarkStart w:id="899" w:name="f600"/>
      <w:bookmarkEnd w:id="899"/>
      <w:r w:rsidRPr="008B2D82">
        <w:rPr>
          <w:rFonts w:ascii="Times New Roman" w:hAnsi="Times New Roman" w:cs="Times New Roman"/>
          <w:i/>
        </w:rPr>
        <w:t>Id</w:t>
      </w:r>
      <w:r w:rsidRPr="008B2D82">
        <w:rPr>
          <w:rFonts w:ascii="Times New Roman" w:hAnsi="Times New Roman" w:cs="Times New Roman"/>
        </w:rPr>
        <w:t>. at 1271</w:t>
      </w:r>
    </w:p>
  </w:footnote>
  <w:footnote w:id="631">
    <w:p w14:paraId="7CDA1596" w14:textId="381896E8" w:rsidR="00336EDF" w:rsidRDefault="00336EDF">
      <w:pPr>
        <w:pStyle w:val="FootnoteText"/>
      </w:pPr>
      <w:r w:rsidRPr="00EE4063">
        <w:rPr>
          <w:rStyle w:val="FootnoteReference"/>
          <w:rFonts w:ascii="Times New Roman" w:hAnsi="Times New Roman" w:cs="Times New Roman"/>
        </w:rPr>
        <w:footnoteRef/>
      </w:r>
      <w:bookmarkStart w:id="900" w:name="f601"/>
      <w:bookmarkEnd w:id="900"/>
      <w:r>
        <w:t xml:space="preserve"> </w:t>
      </w:r>
      <w:r w:rsidRPr="00EE4063">
        <w:rPr>
          <w:rFonts w:ascii="Times New Roman" w:hAnsi="Times New Roman" w:cs="Times New Roman"/>
        </w:rPr>
        <w:t>Snyder v. Workers’ Compensation Div</w:t>
      </w:r>
      <w:r>
        <w:rPr>
          <w:rFonts w:ascii="Times New Roman" w:hAnsi="Times New Roman" w:cs="Times New Roman"/>
        </w:rPr>
        <w:t>.</w:t>
      </w:r>
      <w:r w:rsidRPr="00EE4063">
        <w:rPr>
          <w:rFonts w:ascii="Times New Roman" w:hAnsi="Times New Roman" w:cs="Times New Roman"/>
        </w:rPr>
        <w:t xml:space="preserve">, </w:t>
      </w:r>
      <w:hyperlink r:id="rId245" w:history="1">
        <w:r w:rsidRPr="00F85B09">
          <w:rPr>
            <w:rStyle w:val="Hyperlink"/>
            <w:rFonts w:ascii="Times New Roman" w:hAnsi="Times New Roman" w:cs="Times New Roman"/>
          </w:rPr>
          <w:t>957 P.2d 289</w:t>
        </w:r>
      </w:hyperlink>
      <w:r w:rsidRPr="00EE4063">
        <w:rPr>
          <w:rFonts w:ascii="Times New Roman" w:hAnsi="Times New Roman" w:cs="Times New Roman"/>
        </w:rPr>
        <w:t xml:space="preserve"> (Wyo. 1998)</w:t>
      </w:r>
    </w:p>
  </w:footnote>
  <w:footnote w:id="632">
    <w:p w14:paraId="15193F23" w14:textId="56B62F11" w:rsidR="00336EDF" w:rsidRPr="00763F80" w:rsidRDefault="00336EDF">
      <w:pPr>
        <w:pStyle w:val="FootnoteText"/>
        <w:rPr>
          <w:rFonts w:ascii="Times New Roman" w:hAnsi="Times New Roman" w:cs="Times New Roman"/>
        </w:rPr>
      </w:pPr>
      <w:r w:rsidRPr="002E39B1">
        <w:rPr>
          <w:rStyle w:val="FootnoteReference"/>
          <w:rFonts w:ascii="Times New Roman" w:hAnsi="Times New Roman" w:cs="Times New Roman"/>
        </w:rPr>
        <w:footnoteRef/>
      </w:r>
      <w:r w:rsidRPr="002E39B1">
        <w:rPr>
          <w:rFonts w:ascii="Times New Roman" w:hAnsi="Times New Roman" w:cs="Times New Roman"/>
        </w:rPr>
        <w:t xml:space="preserve"> </w:t>
      </w:r>
      <w:bookmarkStart w:id="901" w:name="f602"/>
      <w:bookmarkEnd w:id="901"/>
      <w:r w:rsidRPr="00BE6DB7">
        <w:rPr>
          <w:rFonts w:ascii="Times New Roman" w:hAnsi="Times New Roman" w:cs="Times New Roman"/>
        </w:rPr>
        <w:t xml:space="preserve">Casper Oil Co. v. Evenson, </w:t>
      </w:r>
      <w:hyperlink r:id="rId246" w:history="1">
        <w:r w:rsidRPr="00F85B09">
          <w:rPr>
            <w:rStyle w:val="Hyperlink"/>
            <w:rFonts w:ascii="Times New Roman" w:hAnsi="Times New Roman" w:cs="Times New Roman"/>
          </w:rPr>
          <w:t>888 P.2d 221</w:t>
        </w:r>
      </w:hyperlink>
      <w:r w:rsidRPr="00BE6DB7">
        <w:rPr>
          <w:rFonts w:ascii="Times New Roman" w:hAnsi="Times New Roman" w:cs="Times New Roman"/>
        </w:rPr>
        <w:t xml:space="preserve"> (Wyo. 1995); Matter of Hall, </w:t>
      </w:r>
      <w:hyperlink r:id="rId247" w:history="1">
        <w:r w:rsidRPr="00F85B09">
          <w:rPr>
            <w:rStyle w:val="Hyperlink"/>
            <w:rFonts w:ascii="Times New Roman" w:hAnsi="Times New Roman" w:cs="Times New Roman"/>
          </w:rPr>
          <w:t>414 P.3d 622</w:t>
        </w:r>
      </w:hyperlink>
      <w:r w:rsidRPr="00BE6DB7">
        <w:rPr>
          <w:rFonts w:ascii="Times New Roman" w:hAnsi="Times New Roman" w:cs="Times New Roman"/>
        </w:rPr>
        <w:t xml:space="preserve"> (Wyo. 2018)</w:t>
      </w:r>
    </w:p>
  </w:footnote>
  <w:footnote w:id="633">
    <w:p w14:paraId="6A0FDB61" w14:textId="7FFD8499" w:rsidR="00336EDF" w:rsidRDefault="00336EDF">
      <w:pPr>
        <w:pStyle w:val="FootnoteText"/>
      </w:pPr>
      <w:r w:rsidRPr="002E39B1">
        <w:rPr>
          <w:rStyle w:val="FootnoteReference"/>
          <w:rFonts w:ascii="Times New Roman" w:hAnsi="Times New Roman" w:cs="Times New Roman"/>
        </w:rPr>
        <w:footnoteRef/>
      </w:r>
      <w:r>
        <w:t xml:space="preserve"> </w:t>
      </w:r>
      <w:bookmarkStart w:id="902" w:name="f603"/>
      <w:bookmarkEnd w:id="902"/>
      <w:r w:rsidRPr="00BE6DB7">
        <w:rPr>
          <w:rFonts w:ascii="Times New Roman" w:hAnsi="Times New Roman" w:cs="Times New Roman"/>
        </w:rPr>
        <w:t xml:space="preserve">Spletzer v. Workers’ Safety </w:t>
      </w:r>
      <w:r>
        <w:rPr>
          <w:rFonts w:ascii="Times New Roman" w:hAnsi="Times New Roman" w:cs="Times New Roman"/>
        </w:rPr>
        <w:t>&amp;</w:t>
      </w:r>
      <w:r w:rsidRPr="00BE6DB7">
        <w:rPr>
          <w:rFonts w:ascii="Times New Roman" w:hAnsi="Times New Roman" w:cs="Times New Roman"/>
        </w:rPr>
        <w:t xml:space="preserve"> Compensation Div</w:t>
      </w:r>
      <w:r>
        <w:rPr>
          <w:rFonts w:ascii="Times New Roman" w:hAnsi="Times New Roman" w:cs="Times New Roman"/>
        </w:rPr>
        <w:t>.</w:t>
      </w:r>
      <w:r w:rsidRPr="00BE6DB7">
        <w:rPr>
          <w:rFonts w:ascii="Times New Roman" w:hAnsi="Times New Roman" w:cs="Times New Roman"/>
        </w:rPr>
        <w:t xml:space="preserve">, </w:t>
      </w:r>
      <w:hyperlink r:id="rId248" w:history="1">
        <w:r w:rsidRPr="00F85B09">
          <w:rPr>
            <w:rStyle w:val="Hyperlink"/>
            <w:rFonts w:ascii="Times New Roman" w:hAnsi="Times New Roman" w:cs="Times New Roman"/>
          </w:rPr>
          <w:t>116 P.3d 1103</w:t>
        </w:r>
      </w:hyperlink>
      <w:r w:rsidRPr="00BE6DB7">
        <w:rPr>
          <w:rFonts w:ascii="Times New Roman" w:hAnsi="Times New Roman" w:cs="Times New Roman"/>
        </w:rPr>
        <w:t xml:space="preserve"> (Wyo. 2005)</w:t>
      </w:r>
      <w:r>
        <w:t xml:space="preserve"> </w:t>
      </w:r>
    </w:p>
  </w:footnote>
  <w:footnote w:id="634">
    <w:p w14:paraId="649FB62D" w14:textId="050F7136" w:rsidR="00336EDF" w:rsidRDefault="00336EDF">
      <w:pPr>
        <w:pStyle w:val="FootnoteText"/>
      </w:pPr>
      <w:r w:rsidRPr="00BE6DB7">
        <w:rPr>
          <w:rStyle w:val="FootnoteReference"/>
          <w:rFonts w:ascii="Times New Roman" w:hAnsi="Times New Roman" w:cs="Times New Roman"/>
        </w:rPr>
        <w:footnoteRef/>
      </w:r>
      <w:r>
        <w:t xml:space="preserve"> </w:t>
      </w:r>
      <w:bookmarkStart w:id="903" w:name="f604"/>
      <w:bookmarkEnd w:id="903"/>
      <w:r>
        <w:fldChar w:fldCharType="begin"/>
      </w:r>
      <w:r>
        <w:instrText xml:space="preserve"> HYPERLINK "https://www.leagle.com/decision/inwyco20170427h28" </w:instrText>
      </w:r>
      <w:r>
        <w:fldChar w:fldCharType="separate"/>
      </w:r>
      <w:r w:rsidRPr="00F85B09">
        <w:rPr>
          <w:rStyle w:val="Hyperlink"/>
          <w:rFonts w:ascii="Times New Roman" w:hAnsi="Times New Roman" w:cs="Times New Roman"/>
        </w:rPr>
        <w:t>394 P.3d 454</w:t>
      </w:r>
      <w:r>
        <w:rPr>
          <w:rStyle w:val="Hyperlink"/>
          <w:rFonts w:ascii="Times New Roman" w:hAnsi="Times New Roman" w:cs="Times New Roman"/>
        </w:rPr>
        <w:fldChar w:fldCharType="end"/>
      </w:r>
      <w:r w:rsidRPr="00BE6DB7">
        <w:rPr>
          <w:rFonts w:ascii="Times New Roman" w:hAnsi="Times New Roman" w:cs="Times New Roman"/>
        </w:rPr>
        <w:t xml:space="preserve"> (Wyo. 2017)</w:t>
      </w:r>
    </w:p>
  </w:footnote>
  <w:footnote w:id="635">
    <w:p w14:paraId="77A0FDE2" w14:textId="585B817E" w:rsidR="00336EDF" w:rsidRDefault="00336EDF">
      <w:pPr>
        <w:pStyle w:val="FootnoteText"/>
      </w:pPr>
      <w:r w:rsidRPr="00BE6DB7">
        <w:rPr>
          <w:rStyle w:val="FootnoteReference"/>
          <w:rFonts w:ascii="Times New Roman" w:hAnsi="Times New Roman" w:cs="Times New Roman"/>
        </w:rPr>
        <w:footnoteRef/>
      </w:r>
      <w:r>
        <w:t xml:space="preserve"> </w:t>
      </w:r>
      <w:bookmarkStart w:id="904" w:name="f605"/>
      <w:bookmarkEnd w:id="904"/>
      <w:r w:rsidRPr="00BE6DB7">
        <w:rPr>
          <w:rFonts w:ascii="Times New Roman" w:hAnsi="Times New Roman" w:cs="Times New Roman"/>
          <w:i/>
        </w:rPr>
        <w:t>Id</w:t>
      </w:r>
      <w:r w:rsidRPr="00BE6DB7">
        <w:rPr>
          <w:rFonts w:ascii="Times New Roman" w:hAnsi="Times New Roman" w:cs="Times New Roman"/>
        </w:rPr>
        <w:t>. at 458 (internal citations omitted)</w:t>
      </w:r>
    </w:p>
  </w:footnote>
  <w:footnote w:id="636">
    <w:p w14:paraId="418F70C5" w14:textId="7E9DE722" w:rsidR="00336EDF" w:rsidRDefault="00336EDF">
      <w:pPr>
        <w:pStyle w:val="FootnoteText"/>
      </w:pPr>
      <w:r w:rsidRPr="0062650E">
        <w:rPr>
          <w:rStyle w:val="FootnoteReference"/>
          <w:rFonts w:ascii="Times New Roman" w:hAnsi="Times New Roman" w:cs="Times New Roman"/>
        </w:rPr>
        <w:footnoteRef/>
      </w:r>
      <w:r w:rsidRPr="0062650E">
        <w:rPr>
          <w:rFonts w:ascii="Times New Roman" w:hAnsi="Times New Roman" w:cs="Times New Roman"/>
        </w:rPr>
        <w:t xml:space="preserve"> </w:t>
      </w:r>
      <w:bookmarkStart w:id="906" w:name="f606"/>
      <w:bookmarkEnd w:id="906"/>
      <w:r w:rsidRPr="0062650E">
        <w:rPr>
          <w:rFonts w:ascii="Times New Roman" w:hAnsi="Times New Roman" w:cs="Times New Roman"/>
        </w:rPr>
        <w:t>WY Rules and Regulations 053.0021.7 § 3</w:t>
      </w:r>
    </w:p>
  </w:footnote>
  <w:footnote w:id="637">
    <w:p w14:paraId="1C512AD9" w14:textId="330C588B" w:rsidR="00336EDF" w:rsidRDefault="00336EDF">
      <w:pPr>
        <w:pStyle w:val="FootnoteText"/>
      </w:pPr>
      <w:r w:rsidRPr="00B7099A">
        <w:rPr>
          <w:rStyle w:val="FootnoteReference"/>
          <w:rFonts w:ascii="Times New Roman" w:hAnsi="Times New Roman" w:cs="Times New Roman"/>
        </w:rPr>
        <w:footnoteRef/>
      </w:r>
      <w:r w:rsidRPr="00B7099A">
        <w:rPr>
          <w:rFonts w:ascii="Times New Roman" w:hAnsi="Times New Roman" w:cs="Times New Roman"/>
        </w:rPr>
        <w:t xml:space="preserve"> </w:t>
      </w:r>
      <w:bookmarkStart w:id="907" w:name="f607"/>
      <w:bookmarkStart w:id="908" w:name="_Hlk13326144"/>
      <w:bookmarkEnd w:id="907"/>
      <w:r w:rsidRPr="00B7099A">
        <w:rPr>
          <w:rFonts w:ascii="Times New Roman" w:hAnsi="Times New Roman" w:cs="Times New Roman"/>
          <w:i/>
          <w:iCs/>
        </w:rPr>
        <w:t>Id.</w:t>
      </w:r>
      <w:bookmarkEnd w:id="908"/>
    </w:p>
  </w:footnote>
  <w:footnote w:id="638">
    <w:p w14:paraId="38A28FA1" w14:textId="53B8BB22" w:rsidR="00336EDF" w:rsidRDefault="00336EDF">
      <w:pPr>
        <w:pStyle w:val="FootnoteText"/>
      </w:pPr>
      <w:r w:rsidRPr="00B7099A">
        <w:rPr>
          <w:rStyle w:val="FootnoteReference"/>
          <w:rFonts w:ascii="Times New Roman" w:hAnsi="Times New Roman" w:cs="Times New Roman"/>
        </w:rPr>
        <w:footnoteRef/>
      </w:r>
      <w:r>
        <w:t xml:space="preserve"> </w:t>
      </w:r>
      <w:bookmarkStart w:id="909" w:name="f608"/>
      <w:bookmarkEnd w:id="909"/>
      <w:r w:rsidRPr="00B7099A">
        <w:rPr>
          <w:rFonts w:ascii="Times New Roman" w:hAnsi="Times New Roman" w:cs="Times New Roman"/>
          <w:i/>
          <w:iCs/>
        </w:rPr>
        <w:t>Id.</w:t>
      </w:r>
    </w:p>
  </w:footnote>
  <w:footnote w:id="639">
    <w:p w14:paraId="003FCC30" w14:textId="537668D3" w:rsidR="00336EDF" w:rsidRDefault="00336EDF">
      <w:pPr>
        <w:pStyle w:val="FootnoteText"/>
      </w:pPr>
      <w:r w:rsidRPr="00C02540">
        <w:rPr>
          <w:rStyle w:val="FootnoteReference"/>
          <w:rFonts w:ascii="Times New Roman" w:hAnsi="Times New Roman" w:cs="Times New Roman"/>
        </w:rPr>
        <w:footnoteRef/>
      </w:r>
      <w:r w:rsidRPr="00C02540">
        <w:rPr>
          <w:rFonts w:ascii="Times New Roman" w:hAnsi="Times New Roman" w:cs="Times New Roman"/>
        </w:rPr>
        <w:t xml:space="preserve"> </w:t>
      </w:r>
      <w:bookmarkStart w:id="910" w:name="f609"/>
      <w:bookmarkEnd w:id="910"/>
      <w:r>
        <w:fldChar w:fldCharType="begin"/>
      </w:r>
      <w:r>
        <w:instrText xml:space="preserve"> HYPERLINK "https://casetext.com/case/dyna-drill-v-wallingford" </w:instrText>
      </w:r>
      <w:r>
        <w:fldChar w:fldCharType="separate"/>
      </w:r>
      <w:r w:rsidRPr="00C02540">
        <w:rPr>
          <w:rStyle w:val="Hyperlink"/>
          <w:rFonts w:ascii="Times New Roman" w:hAnsi="Times New Roman" w:cs="Times New Roman"/>
        </w:rPr>
        <w:t>605 P.2d 1301</w:t>
      </w:r>
      <w:r>
        <w:rPr>
          <w:rStyle w:val="Hyperlink"/>
          <w:rFonts w:ascii="Times New Roman" w:hAnsi="Times New Roman" w:cs="Times New Roman"/>
        </w:rPr>
        <w:fldChar w:fldCharType="end"/>
      </w:r>
      <w:r w:rsidRPr="00C02540">
        <w:rPr>
          <w:rFonts w:ascii="Times New Roman" w:hAnsi="Times New Roman" w:cs="Times New Roman"/>
        </w:rPr>
        <w:t xml:space="preserve"> (Wyo. 1980)</w:t>
      </w:r>
    </w:p>
  </w:footnote>
  <w:footnote w:id="640">
    <w:p w14:paraId="1EBD149D" w14:textId="57EF3FD1" w:rsidR="00336EDF" w:rsidRDefault="00336EDF">
      <w:pPr>
        <w:pStyle w:val="FootnoteText"/>
      </w:pPr>
      <w:r w:rsidRPr="00C02540">
        <w:rPr>
          <w:rStyle w:val="FootnoteReference"/>
          <w:rFonts w:ascii="Times New Roman" w:hAnsi="Times New Roman" w:cs="Times New Roman"/>
        </w:rPr>
        <w:footnoteRef/>
      </w:r>
      <w:r>
        <w:t xml:space="preserve"> </w:t>
      </w:r>
      <w:bookmarkStart w:id="911" w:name="f610"/>
      <w:bookmarkEnd w:id="911"/>
      <w:r w:rsidRPr="00C02540">
        <w:rPr>
          <w:rFonts w:ascii="Times New Roman" w:hAnsi="Times New Roman" w:cs="Times New Roman"/>
          <w:i/>
          <w:iCs/>
        </w:rPr>
        <w:t>Id</w:t>
      </w:r>
      <w:r w:rsidRPr="00C02540">
        <w:rPr>
          <w:rFonts w:ascii="Times New Roman" w:hAnsi="Times New Roman" w:cs="Times New Roman"/>
        </w:rPr>
        <w:t>. at 1303</w:t>
      </w:r>
    </w:p>
  </w:footnote>
  <w:footnote w:id="641">
    <w:p w14:paraId="012C694E" w14:textId="09FAFE84" w:rsidR="00336EDF" w:rsidRDefault="00336EDF">
      <w:pPr>
        <w:pStyle w:val="FootnoteText"/>
      </w:pPr>
      <w:r w:rsidRPr="000B4E6E">
        <w:rPr>
          <w:rStyle w:val="FootnoteReference"/>
          <w:rFonts w:ascii="Times New Roman" w:hAnsi="Times New Roman" w:cs="Times New Roman"/>
        </w:rPr>
        <w:footnoteRef/>
      </w:r>
      <w:r>
        <w:t xml:space="preserve"> </w:t>
      </w:r>
      <w:bookmarkStart w:id="912" w:name="f611"/>
      <w:bookmarkEnd w:id="912"/>
      <w:r w:rsidRPr="00F55473">
        <w:rPr>
          <w:rFonts w:ascii="Times New Roman" w:hAnsi="Times New Roman" w:cs="Times New Roman"/>
        </w:rPr>
        <w:t xml:space="preserve">W.S. § </w:t>
      </w:r>
      <w:hyperlink r:id="rId249" w:history="1">
        <w:r w:rsidRPr="00F55473">
          <w:rPr>
            <w:rStyle w:val="Hyperlink"/>
            <w:rFonts w:ascii="Times New Roman" w:hAnsi="Times New Roman" w:cs="Times New Roman"/>
          </w:rPr>
          <w:t>27-14-501</w:t>
        </w:r>
      </w:hyperlink>
    </w:p>
  </w:footnote>
  <w:footnote w:id="642">
    <w:p w14:paraId="0119D477" w14:textId="19EBD420" w:rsidR="00336EDF" w:rsidRDefault="00336EDF">
      <w:pPr>
        <w:pStyle w:val="FootnoteText"/>
      </w:pPr>
      <w:r w:rsidRPr="00081377">
        <w:rPr>
          <w:rStyle w:val="FootnoteReference"/>
          <w:rFonts w:ascii="Times New Roman" w:hAnsi="Times New Roman" w:cs="Times New Roman"/>
        </w:rPr>
        <w:footnoteRef/>
      </w:r>
      <w:r>
        <w:t xml:space="preserve"> </w:t>
      </w:r>
      <w:bookmarkStart w:id="914" w:name="f612"/>
      <w:bookmarkEnd w:id="914"/>
      <w:r>
        <w:fldChar w:fldCharType="begin"/>
      </w:r>
      <w:r>
        <w:instrText xml:space="preserve"> HYPERLINK "https://www.leagle.com/decision/infco20170822070" </w:instrText>
      </w:r>
      <w:r>
        <w:fldChar w:fldCharType="separate"/>
      </w:r>
      <w:r w:rsidRPr="00F85B09">
        <w:rPr>
          <w:rStyle w:val="Hyperlink"/>
          <w:rFonts w:ascii="Times New Roman" w:hAnsi="Times New Roman" w:cs="Times New Roman"/>
        </w:rPr>
        <w:t>868 F.3d 893</w:t>
      </w:r>
      <w:r>
        <w:rPr>
          <w:rStyle w:val="Hyperlink"/>
          <w:rFonts w:ascii="Times New Roman" w:hAnsi="Times New Roman" w:cs="Times New Roman"/>
        </w:rPr>
        <w:fldChar w:fldCharType="end"/>
      </w:r>
      <w:r w:rsidRPr="00081377">
        <w:rPr>
          <w:rFonts w:ascii="Times New Roman" w:hAnsi="Times New Roman" w:cs="Times New Roman"/>
        </w:rPr>
        <w:t xml:space="preserve"> (10th Cir. 2017)</w:t>
      </w:r>
      <w:r>
        <w:t xml:space="preserve"> </w:t>
      </w:r>
    </w:p>
  </w:footnote>
  <w:footnote w:id="643">
    <w:p w14:paraId="374916D4" w14:textId="3E90D699" w:rsidR="00336EDF" w:rsidRPr="00504A0A" w:rsidRDefault="00336EDF" w:rsidP="00504A0A">
      <w:pPr>
        <w:pStyle w:val="FootnoteText"/>
        <w:jc w:val="both"/>
        <w:rPr>
          <w:rFonts w:ascii="Times New Roman" w:hAnsi="Times New Roman" w:cs="Times New Roman"/>
        </w:rPr>
      </w:pPr>
      <w:r w:rsidRPr="00504A0A">
        <w:rPr>
          <w:rStyle w:val="FootnoteReference"/>
          <w:rFonts w:ascii="Times New Roman" w:hAnsi="Times New Roman" w:cs="Times New Roman"/>
        </w:rPr>
        <w:footnoteRef/>
      </w:r>
      <w:r w:rsidRPr="00504A0A">
        <w:rPr>
          <w:rFonts w:ascii="Times New Roman" w:hAnsi="Times New Roman" w:cs="Times New Roman"/>
        </w:rPr>
        <w:t xml:space="preserve"> </w:t>
      </w:r>
      <w:bookmarkStart w:id="915" w:name="f613"/>
      <w:bookmarkEnd w:id="915"/>
      <w:r w:rsidRPr="00F55473">
        <w:rPr>
          <w:rFonts w:ascii="Times New Roman" w:hAnsi="Times New Roman" w:cs="Times New Roman"/>
        </w:rPr>
        <w:t xml:space="preserve">W.S. § </w:t>
      </w:r>
      <w:hyperlink r:id="rId250" w:history="1">
        <w:r w:rsidRPr="00F55473">
          <w:rPr>
            <w:rStyle w:val="Hyperlink"/>
            <w:rFonts w:ascii="Times New Roman" w:hAnsi="Times New Roman" w:cs="Times New Roman"/>
          </w:rPr>
          <w:t>27-14-401</w:t>
        </w:r>
      </w:hyperlink>
      <w:r w:rsidRPr="00504A0A">
        <w:rPr>
          <w:rFonts w:ascii="Times New Roman" w:hAnsi="Times New Roman" w:cs="Times New Roman"/>
        </w:rPr>
        <w:t>(e) applies to reimbursement ambulance services generally. No provision under the Wyoming Act specifically addresses air ambulance service reimbursement. The preemption issue arose because Wyoming treated air ambulance expense under the</w:t>
      </w:r>
      <w:r>
        <w:rPr>
          <w:rFonts w:ascii="Times New Roman" w:hAnsi="Times New Roman" w:cs="Times New Roman"/>
        </w:rPr>
        <w:t xml:space="preserve"> general ambulance reimbursement provision.</w:t>
      </w:r>
      <w:r w:rsidRPr="00504A0A">
        <w:rPr>
          <w:rFonts w:ascii="Times New Roman" w:hAnsi="Times New Roman" w:cs="Times New Roman"/>
        </w:rPr>
        <w:t xml:space="preserve">  </w:t>
      </w:r>
    </w:p>
  </w:footnote>
  <w:footnote w:id="644">
    <w:p w14:paraId="008B1121" w14:textId="1AD3BE66" w:rsidR="00336EDF" w:rsidRDefault="00336EDF">
      <w:pPr>
        <w:pStyle w:val="FootnoteText"/>
      </w:pPr>
      <w:r w:rsidRPr="00504A0A">
        <w:rPr>
          <w:rStyle w:val="FootnoteReference"/>
          <w:rFonts w:ascii="Times New Roman" w:hAnsi="Times New Roman" w:cs="Times New Roman"/>
        </w:rPr>
        <w:footnoteRef/>
      </w:r>
      <w:r>
        <w:t xml:space="preserve"> </w:t>
      </w:r>
      <w:bookmarkStart w:id="916" w:name="f614"/>
      <w:bookmarkEnd w:id="916"/>
      <w:r w:rsidRPr="00504A0A">
        <w:rPr>
          <w:rFonts w:ascii="Times New Roman" w:hAnsi="Times New Roman" w:cs="Times New Roman"/>
          <w:i/>
        </w:rPr>
        <w:t>See e.g.</w:t>
      </w:r>
      <w:r w:rsidRPr="00504A0A">
        <w:rPr>
          <w:rFonts w:ascii="Times New Roman" w:hAnsi="Times New Roman" w:cs="Times New Roman"/>
        </w:rPr>
        <w:t xml:space="preserve"> Valley Med Flight, Inc. v. Dwelle, </w:t>
      </w:r>
      <w:hyperlink r:id="rId251" w:history="1">
        <w:r w:rsidRPr="00F85B09">
          <w:rPr>
            <w:rStyle w:val="Hyperlink"/>
            <w:rFonts w:ascii="Times New Roman" w:hAnsi="Times New Roman" w:cs="Times New Roman"/>
          </w:rPr>
          <w:t>171 F.Supp.3d 930</w:t>
        </w:r>
      </w:hyperlink>
      <w:r w:rsidRPr="00504A0A">
        <w:rPr>
          <w:rFonts w:ascii="Times New Roman" w:hAnsi="Times New Roman" w:cs="Times New Roman"/>
        </w:rPr>
        <w:t xml:space="preserve"> (Dist. North Dakota 2016)</w:t>
      </w:r>
      <w:r>
        <w:rPr>
          <w:rFonts w:ascii="Times New Roman" w:hAnsi="Times New Roman" w:cs="Times New Roman"/>
        </w:rPr>
        <w:t xml:space="preserve">; Air Evac EMS, Inc. v. Sullivan, </w:t>
      </w:r>
      <w:hyperlink r:id="rId252" w:history="1">
        <w:r w:rsidRPr="00F85B09">
          <w:rPr>
            <w:rStyle w:val="Hyperlink"/>
            <w:rFonts w:ascii="Times New Roman" w:hAnsi="Times New Roman" w:cs="Times New Roman"/>
          </w:rPr>
          <w:t>331 F.Supp.3d 650</w:t>
        </w:r>
      </w:hyperlink>
      <w:r>
        <w:rPr>
          <w:rFonts w:ascii="Times New Roman" w:hAnsi="Times New Roman" w:cs="Times New Roman"/>
        </w:rPr>
        <w:t xml:space="preserve"> (W.D. Texas 2018)</w:t>
      </w:r>
    </w:p>
  </w:footnote>
  <w:footnote w:id="645">
    <w:p w14:paraId="5EF1F0EA" w14:textId="1B43B80A" w:rsidR="00336EDF" w:rsidRPr="00862688" w:rsidRDefault="00336EDF" w:rsidP="00862688">
      <w:pPr>
        <w:pStyle w:val="FootnoteText"/>
        <w:jc w:val="both"/>
        <w:rPr>
          <w:rFonts w:ascii="Times New Roman" w:hAnsi="Times New Roman" w:cs="Times New Roman"/>
        </w:rPr>
      </w:pPr>
      <w:r w:rsidRPr="00862688">
        <w:rPr>
          <w:rStyle w:val="FootnoteReference"/>
          <w:rFonts w:ascii="Times New Roman" w:hAnsi="Times New Roman" w:cs="Times New Roman"/>
        </w:rPr>
        <w:footnoteRef/>
      </w:r>
      <w:r w:rsidRPr="00862688">
        <w:rPr>
          <w:rFonts w:ascii="Times New Roman" w:hAnsi="Times New Roman" w:cs="Times New Roman"/>
        </w:rPr>
        <w:t xml:space="preserve"> </w:t>
      </w:r>
      <w:bookmarkStart w:id="917" w:name="f615"/>
      <w:bookmarkEnd w:id="917"/>
      <w:r w:rsidRPr="00862688">
        <w:rPr>
          <w:rFonts w:ascii="Times New Roman" w:hAnsi="Times New Roman" w:cs="Times New Roman"/>
        </w:rPr>
        <w:t>49 U.S.C. § 41713(b). (The “related to” phraseology is strongly reminiscent of the preemption provision found in Section 514 of the Employee Retirement Income and Security act of 1974--ERISA).</w:t>
      </w:r>
    </w:p>
  </w:footnote>
  <w:footnote w:id="646">
    <w:p w14:paraId="6809B2DB" w14:textId="75A30125" w:rsidR="00336EDF" w:rsidRDefault="00336EDF">
      <w:pPr>
        <w:pStyle w:val="FootnoteText"/>
      </w:pPr>
      <w:r w:rsidRPr="005E2576">
        <w:rPr>
          <w:rStyle w:val="FootnoteReference"/>
          <w:rFonts w:ascii="Times New Roman" w:hAnsi="Times New Roman" w:cs="Times New Roman"/>
        </w:rPr>
        <w:footnoteRef/>
      </w:r>
      <w:r w:rsidRPr="005E2576">
        <w:rPr>
          <w:rFonts w:ascii="Times New Roman" w:hAnsi="Times New Roman" w:cs="Times New Roman"/>
        </w:rPr>
        <w:t xml:space="preserve"> </w:t>
      </w:r>
      <w:bookmarkStart w:id="918" w:name="f616"/>
      <w:bookmarkEnd w:id="918"/>
      <w:r w:rsidRPr="005E2576">
        <w:rPr>
          <w:rFonts w:ascii="Times New Roman" w:hAnsi="Times New Roman" w:cs="Times New Roman"/>
        </w:rPr>
        <w:t xml:space="preserve">Dan's City Used Cars, Inc. v. Pelkey, </w:t>
      </w:r>
      <w:hyperlink r:id="rId253" w:history="1">
        <w:r w:rsidRPr="00F85B09">
          <w:rPr>
            <w:rStyle w:val="Hyperlink"/>
            <w:rFonts w:ascii="Times New Roman" w:hAnsi="Times New Roman" w:cs="Times New Roman"/>
          </w:rPr>
          <w:t>569 U.S. 251</w:t>
        </w:r>
      </w:hyperlink>
      <w:r w:rsidRPr="005E2576">
        <w:rPr>
          <w:rFonts w:ascii="Times New Roman" w:hAnsi="Times New Roman" w:cs="Times New Roman"/>
        </w:rPr>
        <w:t xml:space="preserve"> (2013)</w:t>
      </w:r>
    </w:p>
  </w:footnote>
  <w:footnote w:id="647">
    <w:p w14:paraId="72DCC6D6" w14:textId="7119B412" w:rsidR="00336EDF" w:rsidRDefault="00336EDF">
      <w:pPr>
        <w:pStyle w:val="FootnoteText"/>
      </w:pPr>
      <w:r w:rsidRPr="00D12948">
        <w:rPr>
          <w:rStyle w:val="FootnoteReference"/>
          <w:rFonts w:ascii="Times New Roman" w:hAnsi="Times New Roman" w:cs="Times New Roman"/>
        </w:rPr>
        <w:footnoteRef/>
      </w:r>
      <w:r w:rsidRPr="00D12948">
        <w:rPr>
          <w:rFonts w:ascii="Times New Roman" w:hAnsi="Times New Roman" w:cs="Times New Roman"/>
        </w:rPr>
        <w:t xml:space="preserve"> </w:t>
      </w:r>
      <w:bookmarkStart w:id="920" w:name="f617"/>
      <w:bookmarkEnd w:id="920"/>
      <w:r w:rsidRPr="00D12948">
        <w:rPr>
          <w:rFonts w:ascii="Times New Roman" w:hAnsi="Times New Roman" w:cs="Times New Roman"/>
        </w:rPr>
        <w:t xml:space="preserve">For a description see </w:t>
      </w:r>
      <w:hyperlink r:id="rId254" w:history="1">
        <w:r w:rsidRPr="00E8656B">
          <w:rPr>
            <w:rStyle w:val="Hyperlink"/>
            <w:rFonts w:ascii="Times New Roman" w:hAnsi="Times New Roman" w:cs="Times New Roman"/>
          </w:rPr>
          <w:t>https://www2.ed.gov/about/offices/list/osers/rsa/wioa-reauthorization.html</w:t>
        </w:r>
      </w:hyperlink>
    </w:p>
  </w:footnote>
  <w:footnote w:id="648">
    <w:p w14:paraId="4833EA14" w14:textId="19105EDA" w:rsidR="00336EDF" w:rsidRDefault="00336EDF">
      <w:pPr>
        <w:pStyle w:val="FootnoteText"/>
      </w:pPr>
      <w:r w:rsidRPr="00BE1F0F">
        <w:rPr>
          <w:rStyle w:val="FootnoteReference"/>
          <w:rFonts w:ascii="Times New Roman" w:hAnsi="Times New Roman" w:cs="Times New Roman"/>
        </w:rPr>
        <w:footnoteRef/>
      </w:r>
      <w:r w:rsidRPr="00BE1F0F">
        <w:rPr>
          <w:rFonts w:ascii="Times New Roman" w:hAnsi="Times New Roman" w:cs="Times New Roman"/>
        </w:rPr>
        <w:t xml:space="preserve"> </w:t>
      </w:r>
      <w:bookmarkStart w:id="921" w:name="f618"/>
      <w:bookmarkStart w:id="922" w:name="_Hlk3824363"/>
      <w:bookmarkEnd w:id="921"/>
      <w:r w:rsidRPr="00F55473">
        <w:rPr>
          <w:rFonts w:ascii="Times New Roman" w:hAnsi="Times New Roman" w:cs="Times New Roman"/>
        </w:rPr>
        <w:t xml:space="preserve">W.S. §  </w:t>
      </w:r>
      <w:hyperlink r:id="rId255" w:history="1">
        <w:r w:rsidRPr="00F55473">
          <w:rPr>
            <w:rStyle w:val="Hyperlink"/>
            <w:rFonts w:ascii="Times New Roman" w:hAnsi="Times New Roman" w:cs="Times New Roman"/>
          </w:rPr>
          <w:t>27-14-408</w:t>
        </w:r>
      </w:hyperlink>
      <w:r w:rsidRPr="00BE1F0F">
        <w:rPr>
          <w:rFonts w:ascii="Times New Roman" w:hAnsi="Times New Roman" w:cs="Times New Roman"/>
        </w:rPr>
        <w:t>(a)(i)</w:t>
      </w:r>
      <w:bookmarkEnd w:id="922"/>
    </w:p>
  </w:footnote>
  <w:footnote w:id="649">
    <w:p w14:paraId="658E129E" w14:textId="56A7C9B8" w:rsidR="00336EDF" w:rsidRDefault="00336EDF">
      <w:pPr>
        <w:pStyle w:val="FootnoteText"/>
      </w:pPr>
      <w:r w:rsidRPr="00BE1F0F">
        <w:rPr>
          <w:rStyle w:val="FootnoteReference"/>
          <w:rFonts w:ascii="Times New Roman" w:hAnsi="Times New Roman" w:cs="Times New Roman"/>
        </w:rPr>
        <w:footnoteRef/>
      </w:r>
      <w:r>
        <w:t xml:space="preserve"> </w:t>
      </w:r>
      <w:bookmarkStart w:id="923" w:name="f619"/>
      <w:bookmarkEnd w:id="923"/>
      <w:r w:rsidRPr="00F55473">
        <w:rPr>
          <w:rFonts w:ascii="Times New Roman" w:hAnsi="Times New Roman" w:cs="Times New Roman"/>
        </w:rPr>
        <w:t xml:space="preserve">W.S. §  </w:t>
      </w:r>
      <w:hyperlink r:id="rId256" w:history="1">
        <w:r w:rsidRPr="00F55473">
          <w:rPr>
            <w:rStyle w:val="Hyperlink"/>
            <w:rFonts w:ascii="Times New Roman" w:hAnsi="Times New Roman" w:cs="Times New Roman"/>
          </w:rPr>
          <w:t>27-14-408</w:t>
        </w:r>
      </w:hyperlink>
      <w:r w:rsidRPr="00BE1F0F">
        <w:rPr>
          <w:rFonts w:ascii="Times New Roman" w:hAnsi="Times New Roman" w:cs="Times New Roman"/>
        </w:rPr>
        <w:t>(a)(iv)</w:t>
      </w:r>
    </w:p>
  </w:footnote>
  <w:footnote w:id="650">
    <w:p w14:paraId="48FC32DA" w14:textId="17D3DCAB" w:rsidR="00336EDF" w:rsidRDefault="00336EDF">
      <w:pPr>
        <w:pStyle w:val="FootnoteText"/>
      </w:pPr>
      <w:r w:rsidRPr="00BE1F0F">
        <w:rPr>
          <w:rStyle w:val="FootnoteReference"/>
          <w:rFonts w:ascii="Times New Roman" w:hAnsi="Times New Roman" w:cs="Times New Roman"/>
        </w:rPr>
        <w:footnoteRef/>
      </w:r>
      <w:r w:rsidRPr="00BE1F0F">
        <w:rPr>
          <w:rStyle w:val="FootnoteReference"/>
          <w:rFonts w:ascii="Times New Roman" w:hAnsi="Times New Roman" w:cs="Times New Roman"/>
        </w:rPr>
        <w:t xml:space="preserve"> </w:t>
      </w:r>
      <w:bookmarkStart w:id="924" w:name="f620"/>
      <w:bookmarkEnd w:id="924"/>
      <w:r w:rsidRPr="00F55473">
        <w:rPr>
          <w:rFonts w:ascii="Times New Roman" w:hAnsi="Times New Roman" w:cs="Times New Roman"/>
        </w:rPr>
        <w:t xml:space="preserve">W.S. §  </w:t>
      </w:r>
      <w:hyperlink r:id="rId257" w:history="1">
        <w:r w:rsidRPr="00F55473">
          <w:rPr>
            <w:rStyle w:val="Hyperlink"/>
            <w:rFonts w:ascii="Times New Roman" w:hAnsi="Times New Roman" w:cs="Times New Roman"/>
          </w:rPr>
          <w:t>27-14-408</w:t>
        </w:r>
      </w:hyperlink>
      <w:r w:rsidRPr="00BE1F0F">
        <w:rPr>
          <w:rFonts w:ascii="Times New Roman" w:hAnsi="Times New Roman" w:cs="Times New Roman"/>
        </w:rPr>
        <w:t>(e)(ii)</w:t>
      </w:r>
    </w:p>
  </w:footnote>
  <w:footnote w:id="651">
    <w:p w14:paraId="062602F4" w14:textId="28E7B93C" w:rsidR="00336EDF" w:rsidRDefault="00336EDF">
      <w:pPr>
        <w:pStyle w:val="FootnoteText"/>
      </w:pPr>
      <w:r w:rsidRPr="00E96034">
        <w:rPr>
          <w:rStyle w:val="FootnoteReference"/>
          <w:rFonts w:ascii="Times New Roman" w:hAnsi="Times New Roman" w:cs="Times New Roman"/>
        </w:rPr>
        <w:footnoteRef/>
      </w:r>
      <w:r>
        <w:t xml:space="preserve"> </w:t>
      </w:r>
      <w:bookmarkStart w:id="925" w:name="f621"/>
      <w:bookmarkEnd w:id="925"/>
      <w:r w:rsidRPr="00E96034">
        <w:rPr>
          <w:rFonts w:ascii="Times New Roman" w:hAnsi="Times New Roman" w:cs="Times New Roman"/>
          <w:i/>
        </w:rPr>
        <w:t>See</w:t>
      </w:r>
      <w:r w:rsidRPr="00E96034">
        <w:rPr>
          <w:rFonts w:ascii="Times New Roman" w:hAnsi="Times New Roman" w:cs="Times New Roman"/>
        </w:rPr>
        <w:t xml:space="preserve"> </w:t>
      </w:r>
      <w:bookmarkStart w:id="926" w:name="_Hlk11685098"/>
      <w:r w:rsidRPr="00E96034">
        <w:rPr>
          <w:rFonts w:ascii="Times New Roman" w:hAnsi="Times New Roman" w:cs="Times New Roman"/>
        </w:rPr>
        <w:t xml:space="preserve">8 </w:t>
      </w:r>
      <w:r w:rsidRPr="00E96034">
        <w:rPr>
          <w:rFonts w:ascii="Times New Roman" w:hAnsi="Times New Roman" w:cs="Times New Roman"/>
          <w:smallCaps/>
        </w:rPr>
        <w:t>Larson’s Workers’ Compensation Law</w:t>
      </w:r>
      <w:r w:rsidRPr="00E96034">
        <w:rPr>
          <w:rFonts w:ascii="Times New Roman" w:hAnsi="Times New Roman" w:cs="Times New Roman"/>
        </w:rPr>
        <w:t xml:space="preserve"> § 95.01</w:t>
      </w:r>
      <w:bookmarkEnd w:id="926"/>
    </w:p>
  </w:footnote>
  <w:footnote w:id="652">
    <w:p w14:paraId="217C18F2" w14:textId="0F7C4087" w:rsidR="00336EDF" w:rsidRDefault="00336EDF">
      <w:pPr>
        <w:pStyle w:val="FootnoteText"/>
      </w:pPr>
      <w:r w:rsidRPr="00D64E8B">
        <w:rPr>
          <w:rStyle w:val="FootnoteReference"/>
          <w:rFonts w:ascii="Times New Roman" w:hAnsi="Times New Roman" w:cs="Times New Roman"/>
        </w:rPr>
        <w:footnoteRef/>
      </w:r>
      <w:bookmarkStart w:id="930" w:name="f622"/>
      <w:bookmarkEnd w:id="930"/>
      <w:r>
        <w:t xml:space="preserve"> </w:t>
      </w:r>
      <w:r w:rsidRPr="00D64E8B">
        <w:rPr>
          <w:rFonts w:ascii="Times New Roman" w:hAnsi="Times New Roman" w:cs="Times New Roman"/>
        </w:rPr>
        <w:t xml:space="preserve">Matter of Everheart, </w:t>
      </w:r>
      <w:hyperlink r:id="rId258" w:history="1">
        <w:r w:rsidRPr="009C70A2">
          <w:rPr>
            <w:rStyle w:val="Hyperlink"/>
            <w:rFonts w:ascii="Times New Roman" w:hAnsi="Times New Roman" w:cs="Times New Roman"/>
          </w:rPr>
          <w:t>957 P.2d 847</w:t>
        </w:r>
      </w:hyperlink>
      <w:r w:rsidRPr="00D64E8B">
        <w:rPr>
          <w:rFonts w:ascii="Times New Roman" w:hAnsi="Times New Roman" w:cs="Times New Roman"/>
        </w:rPr>
        <w:t>, 853 (Wyo. 1998) (internal citations omitted</w:t>
      </w:r>
      <w:r>
        <w:rPr>
          <w:rFonts w:ascii="Times New Roman" w:hAnsi="Times New Roman" w:cs="Times New Roman"/>
        </w:rPr>
        <w:t>)</w:t>
      </w:r>
      <w:r w:rsidRPr="00D64E8B">
        <w:rPr>
          <w:rFonts w:ascii="Times New Roman" w:hAnsi="Times New Roman" w:cs="Times New Roman"/>
        </w:rPr>
        <w:t>.</w:t>
      </w:r>
      <w:r>
        <w:rPr>
          <w:rFonts w:ascii="Times New Roman" w:hAnsi="Times New Roman" w:cs="Times New Roman"/>
        </w:rPr>
        <w:t xml:space="preserve"> The formulation is from the Wyoming Contested Case Procedures applicable in the state to administrative proceedings generally. </w:t>
      </w:r>
      <w:r w:rsidRPr="009C70A2">
        <w:rPr>
          <w:rFonts w:ascii="Times New Roman" w:hAnsi="Times New Roman" w:cs="Times New Roman"/>
          <w:i/>
          <w:iCs/>
        </w:rPr>
        <w:t>See infra</w:t>
      </w:r>
      <w:r>
        <w:rPr>
          <w:rFonts w:ascii="Times New Roman" w:hAnsi="Times New Roman" w:cs="Times New Roman"/>
        </w:rPr>
        <w:t>.</w:t>
      </w:r>
    </w:p>
  </w:footnote>
  <w:footnote w:id="653">
    <w:p w14:paraId="0AD7233C" w14:textId="018E6D8D" w:rsidR="00336EDF" w:rsidRDefault="00336EDF" w:rsidP="006B0442">
      <w:pPr>
        <w:pStyle w:val="FootnoteText"/>
        <w:jc w:val="both"/>
      </w:pPr>
      <w:r w:rsidRPr="006B0442">
        <w:rPr>
          <w:rStyle w:val="FootnoteReference"/>
          <w:rFonts w:ascii="Times New Roman" w:hAnsi="Times New Roman" w:cs="Times New Roman"/>
        </w:rPr>
        <w:footnoteRef/>
      </w:r>
      <w:r>
        <w:t xml:space="preserve"> </w:t>
      </w:r>
      <w:bookmarkStart w:id="931" w:name="f623"/>
      <w:bookmarkEnd w:id="931"/>
      <w:r w:rsidRPr="006B0442">
        <w:rPr>
          <w:rFonts w:ascii="Times New Roman" w:hAnsi="Times New Roman" w:cs="Times New Roman"/>
        </w:rPr>
        <w:t xml:space="preserve">Gray v. Workers’ Safety </w:t>
      </w:r>
      <w:r>
        <w:rPr>
          <w:rFonts w:ascii="Times New Roman" w:hAnsi="Times New Roman" w:cs="Times New Roman"/>
        </w:rPr>
        <w:t>&amp;</w:t>
      </w:r>
      <w:r w:rsidRPr="006B0442">
        <w:rPr>
          <w:rFonts w:ascii="Times New Roman" w:hAnsi="Times New Roman" w:cs="Times New Roman"/>
        </w:rPr>
        <w:t xml:space="preserve"> Compensation Div</w:t>
      </w:r>
      <w:r>
        <w:rPr>
          <w:rFonts w:ascii="Times New Roman" w:hAnsi="Times New Roman" w:cs="Times New Roman"/>
        </w:rPr>
        <w:t>.</w:t>
      </w:r>
      <w:r w:rsidRPr="006B0442">
        <w:rPr>
          <w:rFonts w:ascii="Times New Roman" w:hAnsi="Times New Roman" w:cs="Times New Roman"/>
        </w:rPr>
        <w:t xml:space="preserve">, </w:t>
      </w:r>
      <w:hyperlink r:id="rId259" w:history="1">
        <w:r w:rsidRPr="009C70A2">
          <w:rPr>
            <w:rStyle w:val="Hyperlink"/>
            <w:rFonts w:ascii="Times New Roman" w:hAnsi="Times New Roman" w:cs="Times New Roman"/>
          </w:rPr>
          <w:t>193 P.3d 246</w:t>
        </w:r>
      </w:hyperlink>
      <w:r w:rsidRPr="006B0442">
        <w:rPr>
          <w:rFonts w:ascii="Times New Roman" w:hAnsi="Times New Roman" w:cs="Times New Roman"/>
        </w:rPr>
        <w:t>, 252 (Wyo. 2008)</w:t>
      </w:r>
      <w:r>
        <w:rPr>
          <w:rFonts w:ascii="Times New Roman" w:hAnsi="Times New Roman" w:cs="Times New Roman"/>
        </w:rPr>
        <w:t xml:space="preserve"> </w:t>
      </w:r>
      <w:r w:rsidRPr="006A1342">
        <w:rPr>
          <w:rFonts w:ascii="Times New Roman" w:hAnsi="Times New Roman" w:cs="Times New Roman"/>
          <w:i/>
          <w:iCs/>
        </w:rPr>
        <w:t>quoting</w:t>
      </w:r>
      <w:r>
        <w:rPr>
          <w:rFonts w:ascii="Times New Roman" w:hAnsi="Times New Roman" w:cs="Times New Roman"/>
        </w:rPr>
        <w:t xml:space="preserve"> Story v. Wyo. State Bd. Of Med. Exam’rs, </w:t>
      </w:r>
      <w:hyperlink r:id="rId260" w:history="1">
        <w:r w:rsidRPr="009C70A2">
          <w:rPr>
            <w:rStyle w:val="Hyperlink"/>
            <w:rFonts w:ascii="Times New Roman" w:hAnsi="Times New Roman" w:cs="Times New Roman"/>
          </w:rPr>
          <w:t>721 P.2d 1013</w:t>
        </w:r>
      </w:hyperlink>
      <w:r>
        <w:rPr>
          <w:rFonts w:ascii="Times New Roman" w:hAnsi="Times New Roman" w:cs="Times New Roman"/>
        </w:rPr>
        <w:t>, 1018 (Wyo. 1986)</w:t>
      </w:r>
      <w:r>
        <w:t xml:space="preserve"> </w:t>
      </w:r>
    </w:p>
  </w:footnote>
  <w:footnote w:id="654">
    <w:p w14:paraId="0F9C091F" w14:textId="77777777" w:rsidR="00336EDF" w:rsidRDefault="00336EDF" w:rsidP="00943DE7">
      <w:pPr>
        <w:pStyle w:val="FootnoteText"/>
        <w:jc w:val="both"/>
        <w:rPr>
          <w:rFonts w:ascii="Times New Roman" w:hAnsi="Times New Roman" w:cs="Times New Roman"/>
        </w:rPr>
      </w:pPr>
      <w:r w:rsidRPr="00943DE7">
        <w:rPr>
          <w:rStyle w:val="FootnoteReference"/>
          <w:rFonts w:ascii="Times New Roman" w:hAnsi="Times New Roman" w:cs="Times New Roman"/>
        </w:rPr>
        <w:footnoteRef/>
      </w:r>
      <w:r w:rsidRPr="00943DE7">
        <w:rPr>
          <w:rFonts w:ascii="Times New Roman" w:hAnsi="Times New Roman" w:cs="Times New Roman"/>
        </w:rPr>
        <w:t xml:space="preserve"> </w:t>
      </w:r>
      <w:bookmarkStart w:id="932" w:name="f624"/>
      <w:bookmarkEnd w:id="932"/>
      <w:r w:rsidRPr="00943DE7">
        <w:rPr>
          <w:rFonts w:ascii="Times New Roman" w:hAnsi="Times New Roman" w:cs="Times New Roman"/>
        </w:rPr>
        <w:t>The principle that an agency decision based partly on hearsay evidence will be upheld on judicial review only if the decision is founded on at least some competent evidence.</w:t>
      </w:r>
      <w:r>
        <w:rPr>
          <w:rFonts w:ascii="Times New Roman" w:hAnsi="Times New Roman" w:cs="Times New Roman"/>
        </w:rPr>
        <w:t xml:space="preserve"> </w:t>
      </w:r>
      <w:r w:rsidRPr="000E1636">
        <w:rPr>
          <w:rFonts w:ascii="Times New Roman" w:hAnsi="Times New Roman" w:cs="Times New Roman"/>
          <w:smallCaps/>
        </w:rPr>
        <w:t>Black's Law Dictionary</w:t>
      </w:r>
      <w:r w:rsidRPr="000E1636">
        <w:rPr>
          <w:rFonts w:ascii="Times New Roman" w:hAnsi="Times New Roman" w:cs="Times New Roman"/>
        </w:rPr>
        <w:t xml:space="preserve"> (10th ed. 2014)</w:t>
      </w:r>
      <w:r>
        <w:rPr>
          <w:rFonts w:ascii="Times New Roman" w:hAnsi="Times New Roman" w:cs="Times New Roman"/>
        </w:rPr>
        <w:t xml:space="preserve">. In the realm of workers’ compensation, according to </w:t>
      </w:r>
      <w:r w:rsidRPr="000B78CB">
        <w:rPr>
          <w:rFonts w:ascii="Times New Roman" w:hAnsi="Times New Roman" w:cs="Times New Roman"/>
          <w:i/>
          <w:iCs/>
        </w:rPr>
        <w:t>Larson’s</w:t>
      </w:r>
      <w:r>
        <w:rPr>
          <w:rFonts w:ascii="Times New Roman" w:hAnsi="Times New Roman" w:cs="Times New Roman"/>
        </w:rPr>
        <w:t xml:space="preserve"> treatise:</w:t>
      </w:r>
    </w:p>
    <w:p w14:paraId="6A9C88EF" w14:textId="77777777" w:rsidR="00336EDF" w:rsidRDefault="00336EDF" w:rsidP="000B78CB">
      <w:pPr>
        <w:pStyle w:val="FootnoteText"/>
        <w:ind w:left="720" w:right="720"/>
        <w:jc w:val="both"/>
        <w:rPr>
          <w:rFonts w:ascii="Times New Roman" w:hAnsi="Times New Roman" w:cs="Times New Roman"/>
        </w:rPr>
      </w:pPr>
    </w:p>
    <w:p w14:paraId="31A7EB10" w14:textId="32D68521" w:rsidR="00336EDF" w:rsidRDefault="00336EDF" w:rsidP="000B78CB">
      <w:pPr>
        <w:pStyle w:val="FootnoteText"/>
        <w:ind w:left="720" w:right="720"/>
        <w:jc w:val="both"/>
        <w:rPr>
          <w:rFonts w:ascii="Times New Roman" w:hAnsi="Times New Roman" w:cs="Times New Roman"/>
        </w:rPr>
      </w:pPr>
      <w:r>
        <w:rPr>
          <w:rFonts w:ascii="Times New Roman" w:hAnsi="Times New Roman" w:cs="Times New Roman"/>
        </w:rPr>
        <w:t>[T]</w:t>
      </w:r>
      <w:r w:rsidRPr="000B78CB">
        <w:rPr>
          <w:rFonts w:ascii="Times New Roman" w:hAnsi="Times New Roman" w:cs="Times New Roman"/>
        </w:rPr>
        <w:t>he “residuum rule” has been followed in the majority of jurisdictions, although it has been under constant attack ever since it was announced.</w:t>
      </w:r>
      <w:r>
        <w:rPr>
          <w:rFonts w:ascii="Times New Roman" w:hAnsi="Times New Roman" w:cs="Times New Roman"/>
        </w:rPr>
        <w:t xml:space="preserve"> </w:t>
      </w:r>
      <w:r w:rsidRPr="000B78CB">
        <w:rPr>
          <w:rFonts w:ascii="Times New Roman" w:hAnsi="Times New Roman" w:cs="Times New Roman"/>
        </w:rPr>
        <w:t>The controversy is whether it should not be displaced by the rule permitting hearsay alone to support an award if, in all the circumstances, the hearsay evidence is of a character to satisfy a reasonable mind. It is significant to note that the same battle rages far beyond the compensation law field; for example, the Federal Administrative Procedure Act</w:t>
      </w:r>
      <w:r>
        <w:rPr>
          <w:rFonts w:ascii="Times New Roman" w:hAnsi="Times New Roman" w:cs="Times New Roman"/>
        </w:rPr>
        <w:t xml:space="preserve"> </w:t>
      </w:r>
      <w:r w:rsidRPr="000B78CB">
        <w:rPr>
          <w:rFonts w:ascii="Times New Roman" w:hAnsi="Times New Roman" w:cs="Times New Roman"/>
        </w:rPr>
        <w:t>has codified the view permitting a finding to be based on hearsay, while the Model State Administrative Procedure Act would in effect retain the residuum rule</w:t>
      </w:r>
    </w:p>
    <w:p w14:paraId="0A35F752" w14:textId="189462D7" w:rsidR="00336EDF" w:rsidRDefault="00336EDF" w:rsidP="00943DE7">
      <w:pPr>
        <w:pStyle w:val="FootnoteTex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14:paraId="0FA095B2" w14:textId="2EB2C247" w:rsidR="00336EDF" w:rsidRPr="00943DE7" w:rsidRDefault="00336EDF" w:rsidP="00943DE7">
      <w:pPr>
        <w:pStyle w:val="FootnoteText"/>
        <w:jc w:val="both"/>
        <w:rPr>
          <w:rFonts w:ascii="Times New Roman" w:hAnsi="Times New Roman" w:cs="Times New Roman"/>
        </w:rPr>
      </w:pPr>
      <w:r>
        <w:rPr>
          <w:rFonts w:ascii="Times New Roman" w:hAnsi="Times New Roman" w:cs="Times New Roman"/>
        </w:rPr>
        <w:tab/>
      </w:r>
      <w:bookmarkStart w:id="933" w:name="_Hlk11685432"/>
      <w:r>
        <w:rPr>
          <w:rFonts w:ascii="Times New Roman" w:hAnsi="Times New Roman" w:cs="Times New Roman"/>
        </w:rPr>
        <w:t>12</w:t>
      </w:r>
      <w:r w:rsidRPr="00E96034">
        <w:rPr>
          <w:rFonts w:ascii="Times New Roman" w:hAnsi="Times New Roman" w:cs="Times New Roman"/>
        </w:rPr>
        <w:t xml:space="preserve"> </w:t>
      </w:r>
      <w:r w:rsidRPr="00E96034">
        <w:rPr>
          <w:rFonts w:ascii="Times New Roman" w:hAnsi="Times New Roman" w:cs="Times New Roman"/>
          <w:smallCaps/>
        </w:rPr>
        <w:t>Larson’s Workers’ Compensation Law</w:t>
      </w:r>
      <w:r w:rsidRPr="00E96034">
        <w:rPr>
          <w:rFonts w:ascii="Times New Roman" w:hAnsi="Times New Roman" w:cs="Times New Roman"/>
        </w:rPr>
        <w:t xml:space="preserve"> § </w:t>
      </w:r>
      <w:r>
        <w:rPr>
          <w:rFonts w:ascii="Times New Roman" w:hAnsi="Times New Roman" w:cs="Times New Roman"/>
        </w:rPr>
        <w:t>127</w:t>
      </w:r>
      <w:r w:rsidRPr="00E96034">
        <w:rPr>
          <w:rFonts w:ascii="Times New Roman" w:hAnsi="Times New Roman" w:cs="Times New Roman"/>
        </w:rPr>
        <w:t>.0</w:t>
      </w:r>
      <w:r>
        <w:rPr>
          <w:rFonts w:ascii="Times New Roman" w:hAnsi="Times New Roman" w:cs="Times New Roman"/>
        </w:rPr>
        <w:t xml:space="preserve">2 </w:t>
      </w:r>
      <w:bookmarkEnd w:id="933"/>
      <w:r>
        <w:rPr>
          <w:rFonts w:ascii="Times New Roman" w:hAnsi="Times New Roman" w:cs="Times New Roman"/>
        </w:rPr>
        <w:t>(internal citations omitted)</w:t>
      </w:r>
    </w:p>
  </w:footnote>
  <w:footnote w:id="655">
    <w:p w14:paraId="20FBD950" w14:textId="1584D271" w:rsidR="00336EDF" w:rsidRPr="006A1342" w:rsidRDefault="00336EDF">
      <w:pPr>
        <w:pStyle w:val="FootnoteText"/>
        <w:rPr>
          <w:iCs/>
        </w:rPr>
      </w:pPr>
      <w:r w:rsidRPr="00943DE7">
        <w:rPr>
          <w:rStyle w:val="FootnoteReference"/>
          <w:rFonts w:ascii="Times New Roman" w:hAnsi="Times New Roman" w:cs="Times New Roman"/>
        </w:rPr>
        <w:footnoteRef/>
      </w:r>
      <w:r>
        <w:t xml:space="preserve"> </w:t>
      </w:r>
      <w:bookmarkStart w:id="934" w:name="f625"/>
      <w:bookmarkEnd w:id="934"/>
      <w:r>
        <w:rPr>
          <w:rFonts w:ascii="Times New Roman" w:hAnsi="Times New Roman" w:cs="Times New Roman"/>
          <w:i/>
        </w:rPr>
        <w:t>See supra.</w:t>
      </w:r>
      <w:r>
        <w:rPr>
          <w:rFonts w:ascii="Times New Roman" w:hAnsi="Times New Roman" w:cs="Times New Roman"/>
          <w:iCs/>
        </w:rPr>
        <w:t xml:space="preserve"> The Wyoming workers’ compensation law on the competency of evidence is sparse. For the </w:t>
      </w:r>
      <w:r w:rsidRPr="009C70A2">
        <w:rPr>
          <w:rFonts w:ascii="Times New Roman" w:hAnsi="Times New Roman" w:cs="Times New Roman"/>
          <w:i/>
        </w:rPr>
        <w:t>Larson’s</w:t>
      </w:r>
      <w:r>
        <w:rPr>
          <w:rFonts w:ascii="Times New Roman" w:hAnsi="Times New Roman" w:cs="Times New Roman"/>
          <w:iCs/>
        </w:rPr>
        <w:t xml:space="preserve"> discussion </w:t>
      </w:r>
      <w:r w:rsidRPr="00520044">
        <w:rPr>
          <w:rFonts w:ascii="Times New Roman" w:hAnsi="Times New Roman" w:cs="Times New Roman"/>
          <w:i/>
        </w:rPr>
        <w:t>see</w:t>
      </w:r>
      <w:r>
        <w:rPr>
          <w:rFonts w:ascii="Times New Roman" w:hAnsi="Times New Roman" w:cs="Times New Roman"/>
          <w:iCs/>
        </w:rPr>
        <w:t xml:space="preserve"> </w:t>
      </w:r>
      <w:r>
        <w:rPr>
          <w:rFonts w:ascii="Times New Roman" w:hAnsi="Times New Roman" w:cs="Times New Roman"/>
        </w:rPr>
        <w:t>12</w:t>
      </w:r>
      <w:r w:rsidRPr="00E96034">
        <w:rPr>
          <w:rFonts w:ascii="Times New Roman" w:hAnsi="Times New Roman" w:cs="Times New Roman"/>
        </w:rPr>
        <w:t xml:space="preserve"> </w:t>
      </w:r>
      <w:r w:rsidRPr="00E96034">
        <w:rPr>
          <w:rFonts w:ascii="Times New Roman" w:hAnsi="Times New Roman" w:cs="Times New Roman"/>
          <w:smallCaps/>
        </w:rPr>
        <w:t>Larson’s Workers’ Compensation Law</w:t>
      </w:r>
      <w:r w:rsidRPr="00E96034">
        <w:rPr>
          <w:rFonts w:ascii="Times New Roman" w:hAnsi="Times New Roman" w:cs="Times New Roman"/>
        </w:rPr>
        <w:t xml:space="preserve"> § </w:t>
      </w:r>
      <w:r>
        <w:rPr>
          <w:rFonts w:ascii="Times New Roman" w:hAnsi="Times New Roman" w:cs="Times New Roman"/>
        </w:rPr>
        <w:t>127</w:t>
      </w:r>
      <w:r w:rsidRPr="00E96034">
        <w:rPr>
          <w:rFonts w:ascii="Times New Roman" w:hAnsi="Times New Roman" w:cs="Times New Roman"/>
        </w:rPr>
        <w:t>.0</w:t>
      </w:r>
      <w:r>
        <w:rPr>
          <w:rFonts w:ascii="Times New Roman" w:hAnsi="Times New Roman" w:cs="Times New Roman"/>
        </w:rPr>
        <w:t xml:space="preserve">2. </w:t>
      </w:r>
      <w:r>
        <w:rPr>
          <w:rFonts w:ascii="Times New Roman" w:hAnsi="Times New Roman" w:cs="Times New Roman"/>
          <w:iCs/>
        </w:rPr>
        <w:t xml:space="preserve"> </w:t>
      </w:r>
    </w:p>
  </w:footnote>
  <w:footnote w:id="656">
    <w:p w14:paraId="7CFCD0F8" w14:textId="6365743E" w:rsidR="00336EDF" w:rsidRPr="009E5771" w:rsidRDefault="00336EDF" w:rsidP="00966F8F">
      <w:pPr>
        <w:pStyle w:val="FootnoteText"/>
        <w:rPr>
          <w:rFonts w:ascii="Times New Roman" w:hAnsi="Times New Roman" w:cs="Times New Roman"/>
        </w:rPr>
      </w:pPr>
      <w:r w:rsidRPr="009E5771">
        <w:rPr>
          <w:rStyle w:val="FootnoteReference"/>
          <w:rFonts w:ascii="Times New Roman" w:hAnsi="Times New Roman" w:cs="Times New Roman"/>
        </w:rPr>
        <w:footnoteRef/>
      </w:r>
      <w:r>
        <w:t xml:space="preserve"> </w:t>
      </w:r>
      <w:bookmarkStart w:id="937" w:name="f626"/>
      <w:bookmarkEnd w:id="937"/>
      <w:r w:rsidRPr="00F55473">
        <w:rPr>
          <w:rFonts w:ascii="Times New Roman" w:hAnsi="Times New Roman" w:cs="Times New Roman"/>
        </w:rPr>
        <w:t xml:space="preserve">W.S. § </w:t>
      </w:r>
      <w:hyperlink r:id="rId261" w:history="1">
        <w:r w:rsidRPr="00F55473">
          <w:rPr>
            <w:rStyle w:val="Hyperlink"/>
            <w:rFonts w:ascii="Times New Roman" w:hAnsi="Times New Roman" w:cs="Times New Roman"/>
          </w:rPr>
          <w:t>27-14-605</w:t>
        </w:r>
      </w:hyperlink>
      <w:r>
        <w:rPr>
          <w:rFonts w:ascii="Times New Roman" w:hAnsi="Times New Roman" w:cs="Times New Roman"/>
        </w:rPr>
        <w:t>(c)(ii)</w:t>
      </w:r>
      <w:r w:rsidRPr="009E5771">
        <w:rPr>
          <w:rFonts w:ascii="Times New Roman" w:hAnsi="Times New Roman" w:cs="Times New Roman"/>
        </w:rPr>
        <w:t xml:space="preserve">. </w:t>
      </w:r>
    </w:p>
  </w:footnote>
  <w:footnote w:id="657">
    <w:p w14:paraId="683DA011" w14:textId="609AF083" w:rsidR="00336EDF" w:rsidRPr="00A44DD7" w:rsidRDefault="00336EDF" w:rsidP="006A1342">
      <w:pPr>
        <w:pStyle w:val="FootnoteText"/>
        <w:jc w:val="both"/>
        <w:rPr>
          <w:rFonts w:ascii="Times New Roman" w:hAnsi="Times New Roman" w:cs="Times New Roman"/>
        </w:rPr>
      </w:pPr>
      <w:r w:rsidRPr="00A44DD7">
        <w:rPr>
          <w:rStyle w:val="FootnoteReference"/>
          <w:rFonts w:ascii="Times New Roman" w:hAnsi="Times New Roman" w:cs="Times New Roman"/>
        </w:rPr>
        <w:footnoteRef/>
      </w:r>
      <w:r>
        <w:t xml:space="preserve"> </w:t>
      </w:r>
      <w:bookmarkStart w:id="938" w:name="f627"/>
      <w:bookmarkEnd w:id="938"/>
      <w:r w:rsidRPr="00A44DD7">
        <w:rPr>
          <w:rFonts w:ascii="Times New Roman" w:hAnsi="Times New Roman" w:cs="Times New Roman"/>
        </w:rPr>
        <w:t xml:space="preserve">In re Kaczmarek, </w:t>
      </w:r>
      <w:hyperlink r:id="rId262" w:history="1">
        <w:r w:rsidRPr="009C70A2">
          <w:rPr>
            <w:rStyle w:val="Hyperlink"/>
            <w:rFonts w:ascii="Times New Roman" w:hAnsi="Times New Roman" w:cs="Times New Roman"/>
          </w:rPr>
          <w:t>215 P.3d 277</w:t>
        </w:r>
      </w:hyperlink>
      <w:r w:rsidRPr="00A44DD7">
        <w:rPr>
          <w:rFonts w:ascii="Times New Roman" w:hAnsi="Times New Roman" w:cs="Times New Roman"/>
        </w:rPr>
        <w:t xml:space="preserve">, 282 (Wyo. 2009) </w:t>
      </w:r>
      <w:r w:rsidRPr="00A44DD7">
        <w:rPr>
          <w:rFonts w:ascii="Times New Roman" w:hAnsi="Times New Roman" w:cs="Times New Roman"/>
          <w:i/>
        </w:rPr>
        <w:t xml:space="preserve">quoting </w:t>
      </w:r>
      <w:r w:rsidRPr="00A44DD7">
        <w:rPr>
          <w:rFonts w:ascii="Times New Roman" w:hAnsi="Times New Roman" w:cs="Times New Roman"/>
        </w:rPr>
        <w:t xml:space="preserve">Pino v. Workers' Safety &amp; Comp. Div., </w:t>
      </w:r>
      <w:hyperlink r:id="rId263" w:history="1">
        <w:r w:rsidRPr="009C70A2">
          <w:rPr>
            <w:rStyle w:val="Hyperlink"/>
            <w:rFonts w:ascii="Times New Roman" w:hAnsi="Times New Roman" w:cs="Times New Roman"/>
          </w:rPr>
          <w:t>996 P.2d 679</w:t>
        </w:r>
      </w:hyperlink>
      <w:r w:rsidRPr="00A44DD7">
        <w:rPr>
          <w:rFonts w:ascii="Times New Roman" w:hAnsi="Times New Roman" w:cs="Times New Roman"/>
        </w:rPr>
        <w:t xml:space="preserve">, 685 (Wyo.2000) </w:t>
      </w:r>
    </w:p>
  </w:footnote>
  <w:footnote w:id="658">
    <w:p w14:paraId="107A974A" w14:textId="25C19F16" w:rsidR="00336EDF" w:rsidRPr="00EC426F" w:rsidRDefault="00336EDF" w:rsidP="00EC426F">
      <w:pPr>
        <w:pStyle w:val="FootnoteText"/>
        <w:jc w:val="both"/>
        <w:rPr>
          <w:rFonts w:ascii="Times New Roman" w:hAnsi="Times New Roman" w:cs="Times New Roman"/>
        </w:rPr>
      </w:pPr>
      <w:r w:rsidRPr="00EC426F">
        <w:rPr>
          <w:rStyle w:val="FootnoteReference"/>
          <w:rFonts w:ascii="Times New Roman" w:hAnsi="Times New Roman" w:cs="Times New Roman"/>
        </w:rPr>
        <w:footnoteRef/>
      </w:r>
      <w:r>
        <w:t xml:space="preserve"> </w:t>
      </w:r>
      <w:bookmarkStart w:id="939" w:name="f628"/>
      <w:bookmarkEnd w:id="939"/>
      <w:r w:rsidRPr="00EC426F">
        <w:rPr>
          <w:rFonts w:ascii="Times New Roman" w:hAnsi="Times New Roman" w:cs="Times New Roman"/>
        </w:rPr>
        <w:t>Hall v. Workers’ Comp</w:t>
      </w:r>
      <w:r>
        <w:rPr>
          <w:rFonts w:ascii="Times New Roman" w:hAnsi="Times New Roman" w:cs="Times New Roman"/>
        </w:rPr>
        <w:t>.</w:t>
      </w:r>
      <w:r w:rsidRPr="00EC426F">
        <w:rPr>
          <w:rFonts w:ascii="Times New Roman" w:hAnsi="Times New Roman" w:cs="Times New Roman"/>
        </w:rPr>
        <w:t xml:space="preserve"> Div</w:t>
      </w:r>
      <w:r>
        <w:rPr>
          <w:rFonts w:ascii="Times New Roman" w:hAnsi="Times New Roman" w:cs="Times New Roman"/>
        </w:rPr>
        <w:t>.</w:t>
      </w:r>
      <w:r w:rsidRPr="00EC426F">
        <w:rPr>
          <w:rFonts w:ascii="Times New Roman" w:hAnsi="Times New Roman" w:cs="Times New Roman"/>
        </w:rPr>
        <w:t xml:space="preserve">, </w:t>
      </w:r>
      <w:hyperlink r:id="rId264" w:history="1">
        <w:r w:rsidRPr="009C70A2">
          <w:rPr>
            <w:rStyle w:val="Hyperlink"/>
            <w:rFonts w:ascii="Times New Roman" w:hAnsi="Times New Roman" w:cs="Times New Roman"/>
          </w:rPr>
          <w:t>37 P.3d 373</w:t>
        </w:r>
      </w:hyperlink>
      <w:r w:rsidRPr="00EC426F">
        <w:rPr>
          <w:rFonts w:ascii="Times New Roman" w:hAnsi="Times New Roman" w:cs="Times New Roman"/>
        </w:rPr>
        <w:t xml:space="preserve">, 378 (Wyo. 2001) </w:t>
      </w:r>
      <w:r w:rsidRPr="00EC426F">
        <w:rPr>
          <w:rFonts w:ascii="Times New Roman" w:hAnsi="Times New Roman" w:cs="Times New Roman"/>
          <w:i/>
          <w:iCs/>
        </w:rPr>
        <w:t>quoting</w:t>
      </w:r>
      <w:r w:rsidRPr="00EC426F">
        <w:rPr>
          <w:rFonts w:ascii="Times New Roman" w:hAnsi="Times New Roman" w:cs="Times New Roman"/>
        </w:rPr>
        <w:t xml:space="preserve"> Pino v. Workers</w:t>
      </w:r>
      <w:r>
        <w:rPr>
          <w:rFonts w:ascii="Times New Roman" w:hAnsi="Times New Roman" w:cs="Times New Roman"/>
        </w:rPr>
        <w:t>’</w:t>
      </w:r>
      <w:r w:rsidRPr="00EC426F">
        <w:rPr>
          <w:rFonts w:ascii="Times New Roman" w:hAnsi="Times New Roman" w:cs="Times New Roman"/>
        </w:rPr>
        <w:t xml:space="preserve"> Safety &amp; Comp. Div., </w:t>
      </w:r>
      <w:r w:rsidRPr="009C70A2">
        <w:rPr>
          <w:rFonts w:ascii="Times New Roman" w:hAnsi="Times New Roman" w:cs="Times New Roman"/>
          <w:i/>
          <w:iCs/>
        </w:rPr>
        <w:t>supra</w:t>
      </w:r>
      <w:r>
        <w:rPr>
          <w:rFonts w:ascii="Times New Roman" w:hAnsi="Times New Roman" w:cs="Times New Roman"/>
        </w:rPr>
        <w:t xml:space="preserve">., </w:t>
      </w:r>
      <w:r w:rsidRPr="00EC426F">
        <w:rPr>
          <w:rFonts w:ascii="Times New Roman" w:hAnsi="Times New Roman" w:cs="Times New Roman"/>
        </w:rPr>
        <w:t xml:space="preserve">996 P.2d </w:t>
      </w:r>
      <w:r>
        <w:rPr>
          <w:rFonts w:ascii="Times New Roman" w:hAnsi="Times New Roman" w:cs="Times New Roman"/>
        </w:rPr>
        <w:t xml:space="preserve">at </w:t>
      </w:r>
      <w:r w:rsidRPr="00EC426F">
        <w:rPr>
          <w:rFonts w:ascii="Times New Roman" w:hAnsi="Times New Roman" w:cs="Times New Roman"/>
        </w:rPr>
        <w:t>685 (Wyo.2000)</w:t>
      </w:r>
    </w:p>
  </w:footnote>
  <w:footnote w:id="659">
    <w:p w14:paraId="15DF814B" w14:textId="13316159" w:rsidR="00336EDF" w:rsidRDefault="00336EDF">
      <w:pPr>
        <w:pStyle w:val="FootnoteText"/>
      </w:pPr>
      <w:r w:rsidRPr="00EC426F">
        <w:rPr>
          <w:rStyle w:val="FootnoteReference"/>
          <w:rFonts w:ascii="Times New Roman" w:hAnsi="Times New Roman" w:cs="Times New Roman"/>
        </w:rPr>
        <w:footnoteRef/>
      </w:r>
      <w:r w:rsidRPr="00EC426F">
        <w:rPr>
          <w:rFonts w:ascii="Times New Roman" w:hAnsi="Times New Roman" w:cs="Times New Roman"/>
        </w:rPr>
        <w:t xml:space="preserve"> </w:t>
      </w:r>
      <w:bookmarkStart w:id="940" w:name="f629"/>
      <w:bookmarkEnd w:id="940"/>
      <w:r w:rsidRPr="00EC426F">
        <w:rPr>
          <w:rFonts w:ascii="Times New Roman" w:hAnsi="Times New Roman" w:cs="Times New Roman"/>
          <w:i/>
          <w:iCs/>
        </w:rPr>
        <w:t>Id.</w:t>
      </w:r>
    </w:p>
  </w:footnote>
  <w:footnote w:id="660">
    <w:p w14:paraId="0920CE71" w14:textId="2AF901F5" w:rsidR="00336EDF" w:rsidRDefault="00336EDF">
      <w:pPr>
        <w:pStyle w:val="FootnoteText"/>
      </w:pPr>
      <w:r w:rsidRPr="00EC426F">
        <w:rPr>
          <w:rStyle w:val="FootnoteReference"/>
          <w:rFonts w:ascii="Times New Roman" w:hAnsi="Times New Roman" w:cs="Times New Roman"/>
        </w:rPr>
        <w:footnoteRef/>
      </w:r>
      <w:r>
        <w:t xml:space="preserve"> </w:t>
      </w:r>
      <w:bookmarkStart w:id="941" w:name="f630"/>
      <w:bookmarkEnd w:id="941"/>
      <w:r w:rsidRPr="00EC426F">
        <w:rPr>
          <w:rFonts w:ascii="Times New Roman" w:hAnsi="Times New Roman" w:cs="Times New Roman"/>
          <w:i/>
          <w:iCs/>
        </w:rPr>
        <w:t>Id.</w:t>
      </w:r>
    </w:p>
  </w:footnote>
  <w:footnote w:id="661">
    <w:p w14:paraId="7812F5C2" w14:textId="6ED8D01D" w:rsidR="00336EDF" w:rsidRDefault="00336EDF">
      <w:pPr>
        <w:pStyle w:val="FootnoteText"/>
      </w:pPr>
      <w:r w:rsidRPr="00077D04">
        <w:rPr>
          <w:rStyle w:val="FootnoteReference"/>
          <w:rFonts w:ascii="Times New Roman" w:hAnsi="Times New Roman" w:cs="Times New Roman"/>
        </w:rPr>
        <w:footnoteRef/>
      </w:r>
      <w:r>
        <w:t xml:space="preserve"> </w:t>
      </w:r>
      <w:bookmarkStart w:id="942" w:name="f631"/>
      <w:bookmarkEnd w:id="942"/>
      <w:r w:rsidRPr="00077D04">
        <w:rPr>
          <w:rFonts w:ascii="Times New Roman" w:hAnsi="Times New Roman" w:cs="Times New Roman"/>
        </w:rPr>
        <w:t xml:space="preserve">Murray v. Workers’ Safety </w:t>
      </w:r>
      <w:r>
        <w:rPr>
          <w:rFonts w:ascii="Times New Roman" w:hAnsi="Times New Roman" w:cs="Times New Roman"/>
        </w:rPr>
        <w:t>&amp;</w:t>
      </w:r>
      <w:r w:rsidRPr="00077D04">
        <w:rPr>
          <w:rFonts w:ascii="Times New Roman" w:hAnsi="Times New Roman" w:cs="Times New Roman"/>
        </w:rPr>
        <w:t xml:space="preserve"> Comp</w:t>
      </w:r>
      <w:r>
        <w:rPr>
          <w:rFonts w:ascii="Times New Roman" w:hAnsi="Times New Roman" w:cs="Times New Roman"/>
        </w:rPr>
        <w:t>.</w:t>
      </w:r>
      <w:r w:rsidRPr="00077D04">
        <w:rPr>
          <w:rFonts w:ascii="Times New Roman" w:hAnsi="Times New Roman" w:cs="Times New Roman"/>
        </w:rPr>
        <w:t xml:space="preserve"> Div</w:t>
      </w:r>
      <w:r>
        <w:rPr>
          <w:rFonts w:ascii="Times New Roman" w:hAnsi="Times New Roman" w:cs="Times New Roman"/>
        </w:rPr>
        <w:t>.</w:t>
      </w:r>
      <w:r w:rsidRPr="00077D04">
        <w:rPr>
          <w:rFonts w:ascii="Times New Roman" w:hAnsi="Times New Roman" w:cs="Times New Roman"/>
        </w:rPr>
        <w:t xml:space="preserve">, </w:t>
      </w:r>
      <w:bookmarkStart w:id="943" w:name="_Hlk11590974"/>
      <w:r>
        <w:rPr>
          <w:rFonts w:ascii="Times New Roman" w:hAnsi="Times New Roman" w:cs="Times New Roman"/>
        </w:rPr>
        <w:fldChar w:fldCharType="begin"/>
      </w:r>
      <w:r>
        <w:rPr>
          <w:rFonts w:ascii="Times New Roman" w:hAnsi="Times New Roman" w:cs="Times New Roman"/>
        </w:rPr>
        <w:instrText xml:space="preserve"> HYPERLINK "https://www.leagle.com/decision/19991320993p2d32711315" </w:instrText>
      </w:r>
      <w:r>
        <w:rPr>
          <w:rFonts w:ascii="Times New Roman" w:hAnsi="Times New Roman" w:cs="Times New Roman"/>
        </w:rPr>
        <w:fldChar w:fldCharType="separate"/>
      </w:r>
      <w:r w:rsidRPr="009C70A2">
        <w:rPr>
          <w:rStyle w:val="Hyperlink"/>
          <w:rFonts w:ascii="Times New Roman" w:hAnsi="Times New Roman" w:cs="Times New Roman"/>
        </w:rPr>
        <w:t>993 P.2d 327</w:t>
      </w:r>
      <w:r>
        <w:rPr>
          <w:rFonts w:ascii="Times New Roman" w:hAnsi="Times New Roman" w:cs="Times New Roman"/>
        </w:rPr>
        <w:fldChar w:fldCharType="end"/>
      </w:r>
      <w:r w:rsidRPr="00077D04">
        <w:rPr>
          <w:rFonts w:ascii="Times New Roman" w:hAnsi="Times New Roman" w:cs="Times New Roman"/>
        </w:rPr>
        <w:t xml:space="preserve">, 332 </w:t>
      </w:r>
      <w:bookmarkEnd w:id="943"/>
      <w:r w:rsidRPr="00077D04">
        <w:rPr>
          <w:rFonts w:ascii="Times New Roman" w:hAnsi="Times New Roman" w:cs="Times New Roman"/>
        </w:rPr>
        <w:t>(Wyo. 1999)</w:t>
      </w:r>
    </w:p>
  </w:footnote>
  <w:footnote w:id="662">
    <w:p w14:paraId="72106E1F" w14:textId="32C3B586" w:rsidR="00336EDF" w:rsidRDefault="00336EDF">
      <w:pPr>
        <w:pStyle w:val="FootnoteText"/>
      </w:pPr>
      <w:r w:rsidRPr="00077D04">
        <w:rPr>
          <w:rStyle w:val="FootnoteReference"/>
          <w:rFonts w:ascii="Times New Roman" w:hAnsi="Times New Roman" w:cs="Times New Roman"/>
        </w:rPr>
        <w:footnoteRef/>
      </w:r>
      <w:r>
        <w:t xml:space="preserve"> </w:t>
      </w:r>
      <w:bookmarkStart w:id="944" w:name="f632"/>
      <w:bookmarkEnd w:id="944"/>
      <w:r w:rsidRPr="00077D04">
        <w:rPr>
          <w:rFonts w:ascii="Times New Roman" w:hAnsi="Times New Roman" w:cs="Times New Roman"/>
        </w:rPr>
        <w:t>Hansen v. Mr. D</w:t>
      </w:r>
      <w:r>
        <w:rPr>
          <w:rFonts w:ascii="Times New Roman" w:hAnsi="Times New Roman" w:cs="Times New Roman"/>
        </w:rPr>
        <w:t>’</w:t>
      </w:r>
      <w:r w:rsidRPr="00077D04">
        <w:rPr>
          <w:rFonts w:ascii="Times New Roman" w:hAnsi="Times New Roman" w:cs="Times New Roman"/>
        </w:rPr>
        <w:t xml:space="preserve">s Food Center, </w:t>
      </w:r>
      <w:hyperlink r:id="rId265" w:history="1">
        <w:r w:rsidRPr="009C70A2">
          <w:rPr>
            <w:rStyle w:val="Hyperlink"/>
            <w:rFonts w:ascii="Times New Roman" w:hAnsi="Times New Roman" w:cs="Times New Roman"/>
          </w:rPr>
          <w:t>827 P.2d 371</w:t>
        </w:r>
      </w:hyperlink>
      <w:r w:rsidRPr="00077D04">
        <w:rPr>
          <w:rFonts w:ascii="Times New Roman" w:hAnsi="Times New Roman" w:cs="Times New Roman"/>
        </w:rPr>
        <w:t xml:space="preserve"> (Wyo.1992)</w:t>
      </w:r>
    </w:p>
  </w:footnote>
  <w:footnote w:id="663">
    <w:p w14:paraId="1494A435" w14:textId="0663FF11" w:rsidR="00336EDF" w:rsidRDefault="00336EDF">
      <w:pPr>
        <w:pStyle w:val="FootnoteText"/>
      </w:pPr>
      <w:r w:rsidRPr="00746B73">
        <w:rPr>
          <w:rStyle w:val="FootnoteReference"/>
          <w:rFonts w:ascii="Times New Roman" w:hAnsi="Times New Roman" w:cs="Times New Roman"/>
        </w:rPr>
        <w:footnoteRef/>
      </w:r>
      <w:r w:rsidRPr="00746B73">
        <w:rPr>
          <w:rFonts w:ascii="Times New Roman" w:hAnsi="Times New Roman" w:cs="Times New Roman"/>
        </w:rPr>
        <w:t xml:space="preserve"> </w:t>
      </w:r>
      <w:bookmarkStart w:id="945" w:name="f633"/>
      <w:bookmarkEnd w:id="945"/>
      <w:r w:rsidRPr="009C08AF">
        <w:rPr>
          <w:rFonts w:ascii="Times New Roman" w:hAnsi="Times New Roman" w:cs="Times New Roman"/>
          <w:i/>
        </w:rPr>
        <w:t>See</w:t>
      </w:r>
      <w:r w:rsidRPr="009C08AF">
        <w:rPr>
          <w:rFonts w:ascii="Times New Roman" w:hAnsi="Times New Roman" w:cs="Times New Roman"/>
          <w:smallCaps/>
        </w:rPr>
        <w:t xml:space="preserve"> </w:t>
      </w:r>
      <w:bookmarkStart w:id="946" w:name="_Hlk11667003"/>
      <w:r>
        <w:rPr>
          <w:rFonts w:ascii="Times New Roman" w:hAnsi="Times New Roman" w:cs="Times New Roman"/>
          <w:smallCaps/>
        </w:rPr>
        <w:t>12</w:t>
      </w:r>
      <w:r w:rsidRPr="009C08AF">
        <w:rPr>
          <w:rFonts w:ascii="Times New Roman" w:hAnsi="Times New Roman" w:cs="Times New Roman"/>
          <w:smallCaps/>
        </w:rPr>
        <w:t xml:space="preserve"> Larson's Workers' Compensation Law § 1</w:t>
      </w:r>
      <w:r>
        <w:rPr>
          <w:rFonts w:ascii="Times New Roman" w:hAnsi="Times New Roman" w:cs="Times New Roman"/>
          <w:smallCaps/>
        </w:rPr>
        <w:t>28</w:t>
      </w:r>
      <w:r w:rsidRPr="009C08AF">
        <w:rPr>
          <w:rFonts w:ascii="Times New Roman" w:hAnsi="Times New Roman" w:cs="Times New Roman"/>
          <w:smallCaps/>
        </w:rPr>
        <w:t>.0</w:t>
      </w:r>
      <w:r>
        <w:rPr>
          <w:rFonts w:ascii="Times New Roman" w:hAnsi="Times New Roman" w:cs="Times New Roman"/>
          <w:smallCaps/>
        </w:rPr>
        <w:t>2</w:t>
      </w:r>
      <w:bookmarkEnd w:id="946"/>
    </w:p>
  </w:footnote>
  <w:footnote w:id="664">
    <w:p w14:paraId="1D12F3C5" w14:textId="44DCE644" w:rsidR="00336EDF" w:rsidRDefault="00336EDF">
      <w:pPr>
        <w:pStyle w:val="FootnoteText"/>
      </w:pPr>
      <w:r w:rsidRPr="007E4C9A">
        <w:rPr>
          <w:rStyle w:val="FootnoteReference"/>
          <w:rFonts w:ascii="Times New Roman" w:hAnsi="Times New Roman" w:cs="Times New Roman"/>
        </w:rPr>
        <w:footnoteRef/>
      </w:r>
      <w:r>
        <w:t xml:space="preserve"> </w:t>
      </w:r>
      <w:bookmarkStart w:id="947" w:name="f634"/>
      <w:bookmarkEnd w:id="947"/>
      <w:r>
        <w:fldChar w:fldCharType="begin"/>
      </w:r>
      <w:r>
        <w:instrText xml:space="preserve"> HYPERLINK "https://www.leagle.com/decision/inwyco20141202e62" </w:instrText>
      </w:r>
      <w:r>
        <w:fldChar w:fldCharType="separate"/>
      </w:r>
      <w:r w:rsidRPr="007471EE">
        <w:rPr>
          <w:rStyle w:val="Hyperlink"/>
          <w:rFonts w:ascii="Times New Roman" w:hAnsi="Times New Roman" w:cs="Times New Roman"/>
        </w:rPr>
        <w:t>338 P.3d 921</w:t>
      </w:r>
      <w:r>
        <w:rPr>
          <w:rStyle w:val="Hyperlink"/>
          <w:rFonts w:ascii="Times New Roman" w:hAnsi="Times New Roman" w:cs="Times New Roman"/>
        </w:rPr>
        <w:fldChar w:fldCharType="end"/>
      </w:r>
      <w:r w:rsidRPr="007E4C9A">
        <w:rPr>
          <w:rFonts w:ascii="Times New Roman" w:hAnsi="Times New Roman" w:cs="Times New Roman"/>
        </w:rPr>
        <w:t xml:space="preserve"> (Wyo. 2014)</w:t>
      </w:r>
    </w:p>
  </w:footnote>
  <w:footnote w:id="665">
    <w:p w14:paraId="339B0240" w14:textId="59612DBB" w:rsidR="00336EDF" w:rsidRDefault="00336EDF">
      <w:pPr>
        <w:pStyle w:val="FootnoteText"/>
      </w:pPr>
      <w:r w:rsidRPr="007E4C9A">
        <w:rPr>
          <w:rStyle w:val="FootnoteReference"/>
          <w:rFonts w:ascii="Times New Roman" w:hAnsi="Times New Roman" w:cs="Times New Roman"/>
        </w:rPr>
        <w:footnoteRef/>
      </w:r>
      <w:r>
        <w:t xml:space="preserve"> </w:t>
      </w:r>
      <w:bookmarkStart w:id="948" w:name="f635"/>
      <w:bookmarkEnd w:id="948"/>
      <w:r w:rsidRPr="007E4C9A">
        <w:rPr>
          <w:rFonts w:ascii="Times New Roman" w:hAnsi="Times New Roman" w:cs="Times New Roman"/>
          <w:i/>
          <w:iCs/>
        </w:rPr>
        <w:t>Id</w:t>
      </w:r>
      <w:r w:rsidRPr="007E4C9A">
        <w:rPr>
          <w:rFonts w:ascii="Times New Roman" w:hAnsi="Times New Roman" w:cs="Times New Roman"/>
        </w:rPr>
        <w:t>. at 923</w:t>
      </w:r>
    </w:p>
  </w:footnote>
  <w:footnote w:id="666">
    <w:p w14:paraId="0D4538E5" w14:textId="09B5CC85" w:rsidR="00336EDF" w:rsidRDefault="00336EDF">
      <w:pPr>
        <w:pStyle w:val="FootnoteText"/>
      </w:pPr>
      <w:r w:rsidRPr="007E4C9A">
        <w:rPr>
          <w:rStyle w:val="FootnoteReference"/>
          <w:rFonts w:ascii="Times New Roman" w:hAnsi="Times New Roman" w:cs="Times New Roman"/>
        </w:rPr>
        <w:footnoteRef/>
      </w:r>
      <w:r>
        <w:t xml:space="preserve"> </w:t>
      </w:r>
      <w:bookmarkStart w:id="949" w:name="f636"/>
      <w:bookmarkEnd w:id="949"/>
      <w:r w:rsidRPr="007E4C9A">
        <w:rPr>
          <w:rFonts w:ascii="Times New Roman" w:hAnsi="Times New Roman" w:cs="Times New Roman"/>
          <w:i/>
          <w:iCs/>
        </w:rPr>
        <w:t>Id</w:t>
      </w:r>
      <w:r w:rsidRPr="007E4C9A">
        <w:rPr>
          <w:rFonts w:ascii="Times New Roman" w:hAnsi="Times New Roman" w:cs="Times New Roman"/>
        </w:rPr>
        <w:t>.</w:t>
      </w:r>
    </w:p>
  </w:footnote>
  <w:footnote w:id="667">
    <w:p w14:paraId="5FD126B7" w14:textId="536C3B3F" w:rsidR="00336EDF" w:rsidRDefault="00336EDF">
      <w:pPr>
        <w:pStyle w:val="FootnoteText"/>
      </w:pPr>
      <w:r w:rsidRPr="007E4C9A">
        <w:rPr>
          <w:rStyle w:val="FootnoteReference"/>
          <w:rFonts w:ascii="Times New Roman" w:hAnsi="Times New Roman" w:cs="Times New Roman"/>
        </w:rPr>
        <w:footnoteRef/>
      </w:r>
      <w:r w:rsidRPr="007E4C9A">
        <w:rPr>
          <w:rStyle w:val="FootnoteReference"/>
          <w:rFonts w:ascii="Times New Roman" w:hAnsi="Times New Roman" w:cs="Times New Roman"/>
        </w:rPr>
        <w:t xml:space="preserve"> </w:t>
      </w:r>
      <w:bookmarkStart w:id="950" w:name="f637"/>
      <w:bookmarkEnd w:id="950"/>
      <w:r w:rsidRPr="007E4C9A">
        <w:rPr>
          <w:rFonts w:ascii="Times New Roman" w:hAnsi="Times New Roman" w:cs="Times New Roman"/>
          <w:i/>
          <w:iCs/>
        </w:rPr>
        <w:t>Id.</w:t>
      </w:r>
    </w:p>
  </w:footnote>
  <w:footnote w:id="668">
    <w:p w14:paraId="1D70B16F" w14:textId="4000DB91" w:rsidR="00336EDF" w:rsidRDefault="00336EDF">
      <w:pPr>
        <w:pStyle w:val="FootnoteText"/>
      </w:pPr>
      <w:r w:rsidRPr="001F3DE8">
        <w:rPr>
          <w:rStyle w:val="FootnoteReference"/>
          <w:rFonts w:ascii="Times New Roman" w:hAnsi="Times New Roman" w:cs="Times New Roman"/>
        </w:rPr>
        <w:footnoteRef/>
      </w:r>
      <w:r w:rsidRPr="001F3DE8">
        <w:rPr>
          <w:rFonts w:ascii="Times New Roman" w:hAnsi="Times New Roman" w:cs="Times New Roman"/>
        </w:rPr>
        <w:t xml:space="preserve"> </w:t>
      </w:r>
      <w:bookmarkStart w:id="951" w:name="f638"/>
      <w:bookmarkEnd w:id="951"/>
      <w:r w:rsidRPr="001F3DE8">
        <w:rPr>
          <w:rFonts w:ascii="Times New Roman" w:hAnsi="Times New Roman" w:cs="Times New Roman"/>
          <w:i/>
          <w:iCs/>
        </w:rPr>
        <w:t>Id</w:t>
      </w:r>
      <w:r w:rsidRPr="001F3DE8">
        <w:rPr>
          <w:rFonts w:ascii="Times New Roman" w:hAnsi="Times New Roman" w:cs="Times New Roman"/>
        </w:rPr>
        <w:t>. at 924</w:t>
      </w:r>
    </w:p>
  </w:footnote>
  <w:footnote w:id="669">
    <w:p w14:paraId="127CA093" w14:textId="14BFB654" w:rsidR="00336EDF" w:rsidRDefault="00336EDF">
      <w:pPr>
        <w:pStyle w:val="FootnoteText"/>
      </w:pPr>
      <w:r w:rsidRPr="001F3DE8">
        <w:rPr>
          <w:rStyle w:val="FootnoteReference"/>
          <w:rFonts w:ascii="Times New Roman" w:hAnsi="Times New Roman" w:cs="Times New Roman"/>
        </w:rPr>
        <w:footnoteRef/>
      </w:r>
      <w:r>
        <w:t xml:space="preserve"> </w:t>
      </w:r>
      <w:bookmarkStart w:id="952" w:name="f639"/>
      <w:bookmarkEnd w:id="952"/>
      <w:r w:rsidRPr="001F3DE8">
        <w:rPr>
          <w:rFonts w:ascii="Times New Roman" w:hAnsi="Times New Roman" w:cs="Times New Roman"/>
          <w:i/>
          <w:iCs/>
        </w:rPr>
        <w:t>Id.</w:t>
      </w:r>
    </w:p>
  </w:footnote>
  <w:footnote w:id="670">
    <w:p w14:paraId="335C0BB3" w14:textId="6C2B9AE6" w:rsidR="00336EDF" w:rsidRDefault="00336EDF">
      <w:pPr>
        <w:pStyle w:val="FootnoteText"/>
      </w:pPr>
      <w:r w:rsidRPr="00694B52">
        <w:rPr>
          <w:rStyle w:val="FootnoteReference"/>
          <w:rFonts w:ascii="Times New Roman" w:hAnsi="Times New Roman" w:cs="Times New Roman"/>
        </w:rPr>
        <w:footnoteRef/>
      </w:r>
      <w:r>
        <w:t xml:space="preserve"> </w:t>
      </w:r>
      <w:bookmarkStart w:id="953" w:name="f640"/>
      <w:bookmarkEnd w:id="953"/>
      <w:r w:rsidRPr="00694B52">
        <w:rPr>
          <w:rFonts w:ascii="Times New Roman" w:hAnsi="Times New Roman" w:cs="Times New Roman"/>
          <w:i/>
          <w:iCs/>
        </w:rPr>
        <w:t>Id.</w:t>
      </w:r>
    </w:p>
  </w:footnote>
  <w:footnote w:id="671">
    <w:p w14:paraId="7F3C69D3" w14:textId="6BAE4C41" w:rsidR="00336EDF" w:rsidRDefault="00336EDF">
      <w:pPr>
        <w:pStyle w:val="FootnoteText"/>
      </w:pPr>
      <w:r w:rsidRPr="00694B52">
        <w:rPr>
          <w:rStyle w:val="FootnoteReference"/>
          <w:rFonts w:ascii="Times New Roman" w:hAnsi="Times New Roman" w:cs="Times New Roman"/>
        </w:rPr>
        <w:footnoteRef/>
      </w:r>
      <w:r>
        <w:t xml:space="preserve"> </w:t>
      </w:r>
      <w:bookmarkStart w:id="954" w:name="f641"/>
      <w:bookmarkEnd w:id="954"/>
      <w:r w:rsidRPr="00694B52">
        <w:rPr>
          <w:rFonts w:ascii="Times New Roman" w:hAnsi="Times New Roman" w:cs="Times New Roman"/>
          <w:i/>
          <w:iCs/>
        </w:rPr>
        <w:t>Id.</w:t>
      </w:r>
    </w:p>
  </w:footnote>
  <w:footnote w:id="672">
    <w:p w14:paraId="23FB9BBE" w14:textId="65099FB0" w:rsidR="00336EDF" w:rsidRDefault="00336EDF">
      <w:pPr>
        <w:pStyle w:val="FootnoteText"/>
      </w:pPr>
      <w:r w:rsidRPr="006D6EAF">
        <w:rPr>
          <w:rStyle w:val="FootnoteReference"/>
          <w:rFonts w:ascii="Times New Roman" w:hAnsi="Times New Roman" w:cs="Times New Roman"/>
        </w:rPr>
        <w:footnoteRef/>
      </w:r>
      <w:r>
        <w:t xml:space="preserve"> </w:t>
      </w:r>
      <w:bookmarkStart w:id="955" w:name="f642"/>
      <w:bookmarkEnd w:id="955"/>
      <w:r w:rsidRPr="006D6EAF">
        <w:rPr>
          <w:rFonts w:ascii="Times New Roman" w:hAnsi="Times New Roman" w:cs="Times New Roman"/>
          <w:i/>
          <w:iCs/>
        </w:rPr>
        <w:t>Id.</w:t>
      </w:r>
    </w:p>
  </w:footnote>
  <w:footnote w:id="673">
    <w:p w14:paraId="69F06369" w14:textId="42BD477A" w:rsidR="00336EDF" w:rsidRPr="006D6EAF" w:rsidRDefault="00336EDF" w:rsidP="006D6EAF">
      <w:pPr>
        <w:pStyle w:val="FootnoteText"/>
        <w:jc w:val="both"/>
        <w:rPr>
          <w:rFonts w:ascii="Times New Roman" w:hAnsi="Times New Roman" w:cs="Times New Roman"/>
        </w:rPr>
      </w:pPr>
      <w:r w:rsidRPr="006D6EAF">
        <w:rPr>
          <w:rStyle w:val="FootnoteReference"/>
          <w:rFonts w:ascii="Times New Roman" w:hAnsi="Times New Roman" w:cs="Times New Roman"/>
        </w:rPr>
        <w:footnoteRef/>
      </w:r>
      <w:r>
        <w:t xml:space="preserve"> </w:t>
      </w:r>
      <w:bookmarkStart w:id="956" w:name="f643"/>
      <w:bookmarkEnd w:id="956"/>
      <w:r w:rsidRPr="006D6EAF">
        <w:rPr>
          <w:rFonts w:ascii="Times New Roman" w:hAnsi="Times New Roman" w:cs="Times New Roman"/>
          <w:i/>
          <w:iCs/>
        </w:rPr>
        <w:t>Id</w:t>
      </w:r>
      <w:r w:rsidRPr="006D6EAF">
        <w:rPr>
          <w:rFonts w:ascii="Times New Roman" w:hAnsi="Times New Roman" w:cs="Times New Roman"/>
        </w:rPr>
        <w:t xml:space="preserve">. at 930 (“If, in the course of its decision making process, the agency disregards certain evidence and explains its reasons for doing so based upon determinations of credibility or other factors contained in the record, its decision will be sustainable under the substantial evidence test.” Dale v. S &amp; S Builders, LLC, </w:t>
      </w:r>
      <w:r>
        <w:rPr>
          <w:rFonts w:ascii="Times New Roman" w:hAnsi="Times New Roman" w:cs="Times New Roman"/>
        </w:rPr>
        <w:t xml:space="preserve">. . . </w:t>
      </w:r>
      <w:r w:rsidRPr="006D6EAF">
        <w:rPr>
          <w:rFonts w:ascii="Times New Roman" w:hAnsi="Times New Roman" w:cs="Times New Roman"/>
        </w:rPr>
        <w:t>188 P.3d 554, 561 (Wyo.2008).”)</w:t>
      </w:r>
    </w:p>
  </w:footnote>
  <w:footnote w:id="674">
    <w:p w14:paraId="4FBB3CD8" w14:textId="60951ED7" w:rsidR="00336EDF" w:rsidRDefault="00336EDF">
      <w:pPr>
        <w:pStyle w:val="FootnoteText"/>
      </w:pPr>
      <w:r w:rsidRPr="007D1B7F">
        <w:rPr>
          <w:rStyle w:val="FootnoteReference"/>
          <w:rFonts w:ascii="Times New Roman" w:hAnsi="Times New Roman" w:cs="Times New Roman"/>
        </w:rPr>
        <w:footnoteRef/>
      </w:r>
      <w:r w:rsidRPr="007D1B7F">
        <w:rPr>
          <w:rFonts w:ascii="Times New Roman" w:hAnsi="Times New Roman" w:cs="Times New Roman"/>
        </w:rPr>
        <w:t xml:space="preserve"> </w:t>
      </w:r>
      <w:bookmarkStart w:id="957" w:name="f644"/>
      <w:bookmarkEnd w:id="957"/>
      <w:r w:rsidRPr="007D1B7F">
        <w:rPr>
          <w:rFonts w:ascii="Times New Roman" w:hAnsi="Times New Roman" w:cs="Times New Roman"/>
          <w:i/>
          <w:iCs/>
        </w:rPr>
        <w:t>Id</w:t>
      </w:r>
      <w:r w:rsidRPr="007D1B7F">
        <w:rPr>
          <w:rFonts w:ascii="Times New Roman" w:hAnsi="Times New Roman" w:cs="Times New Roman"/>
        </w:rPr>
        <w:t xml:space="preserve">. at 929 </w:t>
      </w:r>
      <w:r w:rsidRPr="00396229">
        <w:rPr>
          <w:rFonts w:ascii="Times New Roman" w:hAnsi="Times New Roman" w:cs="Times New Roman"/>
          <w:i/>
          <w:iCs/>
        </w:rPr>
        <w:t xml:space="preserve">citing </w:t>
      </w:r>
      <w:r>
        <w:rPr>
          <w:rFonts w:ascii="Times New Roman" w:hAnsi="Times New Roman" w:cs="Times New Roman"/>
        </w:rPr>
        <w:t xml:space="preserve">Little v. </w:t>
      </w:r>
      <w:r w:rsidRPr="007D1B7F">
        <w:rPr>
          <w:rFonts w:ascii="Times New Roman" w:hAnsi="Times New Roman" w:cs="Times New Roman"/>
        </w:rPr>
        <w:t xml:space="preserve">Dep’t. of Workforce Servs., </w:t>
      </w:r>
      <w:hyperlink r:id="rId266" w:history="1">
        <w:r w:rsidRPr="007471EE">
          <w:rPr>
            <w:rStyle w:val="Hyperlink"/>
            <w:rFonts w:ascii="Times New Roman" w:hAnsi="Times New Roman" w:cs="Times New Roman"/>
          </w:rPr>
          <w:t>308 P.3d 832</w:t>
        </w:r>
      </w:hyperlink>
      <w:r w:rsidRPr="007D1B7F">
        <w:rPr>
          <w:rFonts w:ascii="Times New Roman" w:hAnsi="Times New Roman" w:cs="Times New Roman"/>
        </w:rPr>
        <w:t>, 843 (Wyo. 2013)</w:t>
      </w:r>
    </w:p>
  </w:footnote>
  <w:footnote w:id="675">
    <w:p w14:paraId="0F7E80DE" w14:textId="260081CF" w:rsidR="00336EDF" w:rsidRDefault="00336EDF">
      <w:pPr>
        <w:pStyle w:val="FootnoteText"/>
      </w:pPr>
      <w:r w:rsidRPr="00C020EF">
        <w:rPr>
          <w:rStyle w:val="FootnoteReference"/>
          <w:rFonts w:ascii="Times New Roman" w:hAnsi="Times New Roman" w:cs="Times New Roman"/>
        </w:rPr>
        <w:footnoteRef/>
      </w:r>
      <w:r w:rsidRPr="00C020EF">
        <w:rPr>
          <w:rFonts w:ascii="Times New Roman" w:hAnsi="Times New Roman" w:cs="Times New Roman"/>
        </w:rPr>
        <w:t xml:space="preserve"> </w:t>
      </w:r>
      <w:bookmarkStart w:id="958" w:name="f645"/>
      <w:bookmarkEnd w:id="958"/>
      <w:r w:rsidRPr="00C020EF">
        <w:rPr>
          <w:rFonts w:ascii="Times New Roman" w:hAnsi="Times New Roman" w:cs="Times New Roman"/>
          <w:i/>
          <w:iCs/>
        </w:rPr>
        <w:t>See supra</w:t>
      </w:r>
      <w:r w:rsidRPr="00C020EF">
        <w:rPr>
          <w:rFonts w:ascii="Times New Roman" w:hAnsi="Times New Roman" w:cs="Times New Roman"/>
        </w:rPr>
        <w:t>.</w:t>
      </w:r>
    </w:p>
  </w:footnote>
  <w:footnote w:id="676">
    <w:p w14:paraId="215ACE5F" w14:textId="68D2E1AE" w:rsidR="00336EDF" w:rsidRDefault="00336EDF">
      <w:pPr>
        <w:pStyle w:val="FootnoteText"/>
      </w:pPr>
      <w:r w:rsidRPr="001A58CC">
        <w:rPr>
          <w:rStyle w:val="FootnoteReference"/>
          <w:rFonts w:ascii="Times New Roman" w:hAnsi="Times New Roman" w:cs="Times New Roman"/>
        </w:rPr>
        <w:footnoteRef/>
      </w:r>
      <w:r>
        <w:t xml:space="preserve"> </w:t>
      </w:r>
      <w:bookmarkStart w:id="959" w:name="f646"/>
      <w:bookmarkEnd w:id="959"/>
      <w:r w:rsidRPr="001A58CC">
        <w:rPr>
          <w:rFonts w:ascii="Times New Roman" w:hAnsi="Times New Roman" w:cs="Times New Roman"/>
        </w:rPr>
        <w:t xml:space="preserve">Murray, </w:t>
      </w:r>
      <w:r w:rsidRPr="001A58CC">
        <w:rPr>
          <w:rFonts w:ascii="Times New Roman" w:hAnsi="Times New Roman" w:cs="Times New Roman"/>
          <w:i/>
          <w:iCs/>
        </w:rPr>
        <w:t>supra</w:t>
      </w:r>
      <w:r w:rsidRPr="001A58CC">
        <w:rPr>
          <w:rFonts w:ascii="Times New Roman" w:hAnsi="Times New Roman" w:cs="Times New Roman"/>
        </w:rPr>
        <w:t>., 993 P.2d at 332</w:t>
      </w:r>
    </w:p>
  </w:footnote>
  <w:footnote w:id="677">
    <w:p w14:paraId="55CC5BB6" w14:textId="092CC508" w:rsidR="00336EDF" w:rsidRDefault="00336EDF">
      <w:pPr>
        <w:pStyle w:val="FootnoteText"/>
      </w:pPr>
      <w:r w:rsidRPr="001A58CC">
        <w:rPr>
          <w:rStyle w:val="FootnoteReference"/>
          <w:rFonts w:ascii="Times New Roman" w:hAnsi="Times New Roman" w:cs="Times New Roman"/>
        </w:rPr>
        <w:footnoteRef/>
      </w:r>
      <w:r>
        <w:t xml:space="preserve"> </w:t>
      </w:r>
      <w:bookmarkStart w:id="960" w:name="f647"/>
      <w:bookmarkEnd w:id="960"/>
      <w:r w:rsidRPr="001A58CC">
        <w:rPr>
          <w:rFonts w:ascii="Times New Roman" w:hAnsi="Times New Roman" w:cs="Times New Roman"/>
        </w:rPr>
        <w:t xml:space="preserve">Stevens, </w:t>
      </w:r>
      <w:r w:rsidRPr="001A58CC">
        <w:rPr>
          <w:rFonts w:ascii="Times New Roman" w:hAnsi="Times New Roman" w:cs="Times New Roman"/>
          <w:i/>
          <w:iCs/>
        </w:rPr>
        <w:t>supra</w:t>
      </w:r>
      <w:r w:rsidRPr="001A58CC">
        <w:rPr>
          <w:rFonts w:ascii="Times New Roman" w:hAnsi="Times New Roman" w:cs="Times New Roman"/>
        </w:rPr>
        <w:t>., at 927</w:t>
      </w:r>
    </w:p>
  </w:footnote>
  <w:footnote w:id="678">
    <w:p w14:paraId="0D76F69D" w14:textId="55EFE31A" w:rsidR="00336EDF" w:rsidRDefault="00336EDF">
      <w:pPr>
        <w:pStyle w:val="FootnoteText"/>
      </w:pPr>
      <w:r w:rsidRPr="00396AE6">
        <w:rPr>
          <w:rStyle w:val="FootnoteReference"/>
          <w:rFonts w:ascii="Times New Roman" w:hAnsi="Times New Roman" w:cs="Times New Roman"/>
        </w:rPr>
        <w:footnoteRef/>
      </w:r>
      <w:r>
        <w:t xml:space="preserve"> </w:t>
      </w:r>
      <w:bookmarkStart w:id="961" w:name="f648"/>
      <w:bookmarkEnd w:id="961"/>
      <w:r>
        <w:fldChar w:fldCharType="begin"/>
      </w:r>
      <w:r>
        <w:instrText xml:space="preserve"> HYPERLINK "https://www.courtlistener.com/opinion/2640923/langberg-v-state-ex-rel-wy-work-safety/" </w:instrText>
      </w:r>
      <w:r>
        <w:fldChar w:fldCharType="separate"/>
      </w:r>
      <w:r w:rsidRPr="007471EE">
        <w:rPr>
          <w:rStyle w:val="Hyperlink"/>
          <w:rFonts w:ascii="Times New Roman" w:hAnsi="Times New Roman" w:cs="Times New Roman"/>
        </w:rPr>
        <w:t>203 P.3d 1098</w:t>
      </w:r>
      <w:r>
        <w:rPr>
          <w:rStyle w:val="Hyperlink"/>
          <w:rFonts w:ascii="Times New Roman" w:hAnsi="Times New Roman" w:cs="Times New Roman"/>
        </w:rPr>
        <w:fldChar w:fldCharType="end"/>
      </w:r>
      <w:r w:rsidRPr="00396AE6">
        <w:rPr>
          <w:rFonts w:ascii="Times New Roman" w:hAnsi="Times New Roman" w:cs="Times New Roman"/>
        </w:rPr>
        <w:t xml:space="preserve"> (Wyo.2009)</w:t>
      </w:r>
    </w:p>
  </w:footnote>
  <w:footnote w:id="679">
    <w:p w14:paraId="44A01D05" w14:textId="03E978C0" w:rsidR="00336EDF" w:rsidRDefault="00336EDF">
      <w:pPr>
        <w:pStyle w:val="FootnoteText"/>
      </w:pPr>
      <w:r w:rsidRPr="00396AE6">
        <w:rPr>
          <w:rStyle w:val="FootnoteReference"/>
          <w:rFonts w:ascii="Times New Roman" w:hAnsi="Times New Roman" w:cs="Times New Roman"/>
        </w:rPr>
        <w:footnoteRef/>
      </w:r>
      <w:r w:rsidRPr="00396AE6">
        <w:rPr>
          <w:rFonts w:ascii="Times New Roman" w:hAnsi="Times New Roman" w:cs="Times New Roman"/>
        </w:rPr>
        <w:t xml:space="preserve"> </w:t>
      </w:r>
      <w:bookmarkStart w:id="962" w:name="f649"/>
      <w:bookmarkEnd w:id="962"/>
      <w:r>
        <w:rPr>
          <w:rFonts w:ascii="Times New Roman" w:hAnsi="Times New Roman" w:cs="Times New Roman"/>
        </w:rPr>
        <w:t xml:space="preserve">Langberg, </w:t>
      </w:r>
      <w:r w:rsidRPr="00713961">
        <w:rPr>
          <w:rFonts w:ascii="Times New Roman" w:hAnsi="Times New Roman" w:cs="Times New Roman"/>
          <w:i/>
          <w:iCs/>
        </w:rPr>
        <w:t>supra</w:t>
      </w:r>
      <w:r>
        <w:rPr>
          <w:rFonts w:ascii="Times New Roman" w:hAnsi="Times New Roman" w:cs="Times New Roman"/>
        </w:rPr>
        <w:t>.</w:t>
      </w:r>
      <w:r w:rsidRPr="00396AE6">
        <w:rPr>
          <w:rFonts w:ascii="Times New Roman" w:hAnsi="Times New Roman" w:cs="Times New Roman"/>
        </w:rPr>
        <w:t xml:space="preserve"> at 1104</w:t>
      </w:r>
    </w:p>
  </w:footnote>
  <w:footnote w:id="680">
    <w:p w14:paraId="65347487" w14:textId="6B731476" w:rsidR="00336EDF" w:rsidRDefault="00336EDF">
      <w:pPr>
        <w:pStyle w:val="FootnoteText"/>
      </w:pPr>
      <w:r w:rsidRPr="00396AE6">
        <w:rPr>
          <w:rStyle w:val="FootnoteReference"/>
          <w:rFonts w:ascii="Times New Roman" w:hAnsi="Times New Roman" w:cs="Times New Roman"/>
        </w:rPr>
        <w:footnoteRef/>
      </w:r>
      <w:r>
        <w:t xml:space="preserve"> </w:t>
      </w:r>
      <w:bookmarkStart w:id="963" w:name="f650"/>
      <w:bookmarkEnd w:id="963"/>
      <w:r w:rsidRPr="00396AE6">
        <w:rPr>
          <w:rFonts w:ascii="Times New Roman" w:hAnsi="Times New Roman" w:cs="Times New Roman"/>
          <w:i/>
          <w:iCs/>
        </w:rPr>
        <w:t>Id.</w:t>
      </w:r>
    </w:p>
  </w:footnote>
  <w:footnote w:id="681">
    <w:p w14:paraId="19AA683E" w14:textId="3020F9DA" w:rsidR="00336EDF" w:rsidRDefault="00336EDF">
      <w:pPr>
        <w:pStyle w:val="FootnoteText"/>
      </w:pPr>
      <w:r w:rsidRPr="00713961">
        <w:rPr>
          <w:rStyle w:val="FootnoteReference"/>
          <w:rFonts w:ascii="Times New Roman" w:hAnsi="Times New Roman" w:cs="Times New Roman"/>
        </w:rPr>
        <w:footnoteRef/>
      </w:r>
      <w:r>
        <w:t xml:space="preserve"> </w:t>
      </w:r>
      <w:bookmarkStart w:id="964" w:name="f651"/>
      <w:bookmarkEnd w:id="964"/>
      <w:r w:rsidRPr="00713961">
        <w:rPr>
          <w:rFonts w:ascii="Times New Roman" w:hAnsi="Times New Roman" w:cs="Times New Roman"/>
        </w:rPr>
        <w:t>Stevens</w:t>
      </w:r>
      <w:r>
        <w:rPr>
          <w:rFonts w:ascii="Times New Roman" w:hAnsi="Times New Roman" w:cs="Times New Roman"/>
        </w:rPr>
        <w:t>,</w:t>
      </w:r>
      <w:r w:rsidRPr="00713961">
        <w:rPr>
          <w:rFonts w:ascii="Times New Roman" w:hAnsi="Times New Roman" w:cs="Times New Roman"/>
        </w:rPr>
        <w:t xml:space="preserve"> </w:t>
      </w:r>
      <w:r w:rsidRPr="00713961">
        <w:rPr>
          <w:rFonts w:ascii="Times New Roman" w:hAnsi="Times New Roman" w:cs="Times New Roman"/>
          <w:i/>
          <w:iCs/>
        </w:rPr>
        <w:t>supra</w:t>
      </w:r>
      <w:r w:rsidRPr="00713961">
        <w:rPr>
          <w:rFonts w:ascii="Times New Roman" w:hAnsi="Times New Roman" w:cs="Times New Roman"/>
        </w:rPr>
        <w:t>. at 933</w:t>
      </w:r>
      <w:r>
        <w:t xml:space="preserve"> </w:t>
      </w:r>
    </w:p>
  </w:footnote>
  <w:footnote w:id="682">
    <w:p w14:paraId="0FECE91A" w14:textId="0B073056" w:rsidR="00336EDF" w:rsidRPr="005745AE" w:rsidRDefault="00336EDF" w:rsidP="005745AE">
      <w:pPr>
        <w:pStyle w:val="FootnoteText"/>
        <w:jc w:val="both"/>
        <w:rPr>
          <w:rFonts w:ascii="Times New Roman" w:hAnsi="Times New Roman" w:cs="Times New Roman"/>
        </w:rPr>
      </w:pPr>
      <w:r w:rsidRPr="005745AE">
        <w:rPr>
          <w:rStyle w:val="FootnoteReference"/>
          <w:rFonts w:ascii="Times New Roman" w:hAnsi="Times New Roman" w:cs="Times New Roman"/>
        </w:rPr>
        <w:footnoteRef/>
      </w:r>
      <w:r>
        <w:t xml:space="preserve"> </w:t>
      </w:r>
      <w:bookmarkStart w:id="965" w:name="f652"/>
      <w:bookmarkEnd w:id="965"/>
      <w:r w:rsidRPr="005745AE">
        <w:rPr>
          <w:rFonts w:ascii="Times New Roman" w:hAnsi="Times New Roman" w:cs="Times New Roman"/>
          <w:i/>
          <w:iCs/>
        </w:rPr>
        <w:t>Accord</w:t>
      </w:r>
      <w:r w:rsidRPr="005745AE">
        <w:rPr>
          <w:rFonts w:ascii="Times New Roman" w:hAnsi="Times New Roman" w:cs="Times New Roman"/>
        </w:rPr>
        <w:t xml:space="preserve"> Hayes v. Workers’ Safety &amp; Comp. Div., </w:t>
      </w:r>
      <w:hyperlink r:id="rId267" w:history="1">
        <w:r w:rsidRPr="007471EE">
          <w:rPr>
            <w:rStyle w:val="Hyperlink"/>
            <w:rFonts w:ascii="Times New Roman" w:hAnsi="Times New Roman" w:cs="Times New Roman"/>
          </w:rPr>
          <w:t>307 P.3d 843</w:t>
        </w:r>
      </w:hyperlink>
      <w:r w:rsidRPr="005745AE">
        <w:rPr>
          <w:rFonts w:ascii="Times New Roman" w:hAnsi="Times New Roman" w:cs="Times New Roman"/>
        </w:rPr>
        <w:t xml:space="preserve">, 849 (Wyo. 2013) Hampton v. Workers’ Safety &amp; Comp. Div., </w:t>
      </w:r>
      <w:hyperlink r:id="rId268" w:history="1">
        <w:r w:rsidRPr="007471EE">
          <w:rPr>
            <w:rStyle w:val="Hyperlink"/>
            <w:rFonts w:ascii="Times New Roman" w:hAnsi="Times New Roman" w:cs="Times New Roman"/>
          </w:rPr>
          <w:t>296 P.3d 934</w:t>
        </w:r>
      </w:hyperlink>
      <w:r w:rsidRPr="005745AE">
        <w:rPr>
          <w:rFonts w:ascii="Times New Roman" w:hAnsi="Times New Roman" w:cs="Times New Roman"/>
        </w:rPr>
        <w:t xml:space="preserve">, 938 (Wyo. 2013); Thornberg v. Workers’ Comp. Div’n, </w:t>
      </w:r>
      <w:hyperlink r:id="rId269" w:history="1">
        <w:r w:rsidRPr="007471EE">
          <w:rPr>
            <w:rStyle w:val="Hyperlink"/>
            <w:rFonts w:ascii="Times New Roman" w:hAnsi="Times New Roman" w:cs="Times New Roman"/>
          </w:rPr>
          <w:t>913 P.2d 863</w:t>
        </w:r>
      </w:hyperlink>
      <w:r w:rsidRPr="005745AE">
        <w:rPr>
          <w:rFonts w:ascii="Times New Roman" w:hAnsi="Times New Roman" w:cs="Times New Roman"/>
        </w:rPr>
        <w:t>, 867 (Wyo. 1996).</w:t>
      </w:r>
    </w:p>
  </w:footnote>
  <w:footnote w:id="683">
    <w:p w14:paraId="1FE790FF" w14:textId="5B570157" w:rsidR="00336EDF" w:rsidRDefault="00336EDF">
      <w:pPr>
        <w:pStyle w:val="FootnoteText"/>
      </w:pPr>
      <w:r w:rsidRPr="00264B94">
        <w:rPr>
          <w:rStyle w:val="FootnoteReference"/>
          <w:rFonts w:ascii="Times New Roman" w:hAnsi="Times New Roman" w:cs="Times New Roman"/>
        </w:rPr>
        <w:footnoteRef/>
      </w:r>
      <w:r w:rsidRPr="00264B94">
        <w:rPr>
          <w:rFonts w:ascii="Times New Roman" w:hAnsi="Times New Roman" w:cs="Times New Roman"/>
        </w:rPr>
        <w:t xml:space="preserve"> </w:t>
      </w:r>
      <w:bookmarkStart w:id="966" w:name="f653"/>
      <w:bookmarkStart w:id="967" w:name="_Hlk11667377"/>
      <w:bookmarkEnd w:id="966"/>
      <w:r w:rsidRPr="00746B73">
        <w:rPr>
          <w:rFonts w:ascii="Times New Roman" w:hAnsi="Times New Roman" w:cs="Times New Roman"/>
        </w:rPr>
        <w:t xml:space="preserve">12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 128.02</w:t>
      </w:r>
      <w:bookmarkEnd w:id="967"/>
    </w:p>
  </w:footnote>
  <w:footnote w:id="684">
    <w:p w14:paraId="5CC55C7B" w14:textId="0B997104" w:rsidR="00336EDF" w:rsidRDefault="00336EDF">
      <w:pPr>
        <w:pStyle w:val="FootnoteText"/>
      </w:pPr>
      <w:r w:rsidRPr="00965D22">
        <w:rPr>
          <w:rStyle w:val="FootnoteReference"/>
          <w:rFonts w:ascii="Times New Roman" w:hAnsi="Times New Roman" w:cs="Times New Roman"/>
        </w:rPr>
        <w:footnoteRef/>
      </w:r>
      <w:r>
        <w:t xml:space="preserve"> </w:t>
      </w:r>
      <w:bookmarkStart w:id="968" w:name="f654"/>
      <w:bookmarkEnd w:id="968"/>
      <w:r w:rsidRPr="00965D22">
        <w:rPr>
          <w:rFonts w:ascii="Times New Roman" w:hAnsi="Times New Roman" w:cs="Times New Roman"/>
        </w:rPr>
        <w:t xml:space="preserve">Boyce v. Dept. of Workforce Services,  </w:t>
      </w:r>
      <w:hyperlink r:id="rId270" w:history="1">
        <w:r w:rsidRPr="007471EE">
          <w:rPr>
            <w:rStyle w:val="Hyperlink"/>
            <w:rFonts w:ascii="Times New Roman" w:hAnsi="Times New Roman" w:cs="Times New Roman"/>
          </w:rPr>
          <w:t>402 P.3d 393</w:t>
        </w:r>
      </w:hyperlink>
      <w:r w:rsidRPr="00965D22">
        <w:rPr>
          <w:rFonts w:ascii="Times New Roman" w:hAnsi="Times New Roman" w:cs="Times New Roman"/>
        </w:rPr>
        <w:t>, 400 (Wyo. 2017)</w:t>
      </w:r>
      <w:r>
        <w:rPr>
          <w:rFonts w:ascii="Times New Roman" w:hAnsi="Times New Roman" w:cs="Times New Roman"/>
        </w:rPr>
        <w:t xml:space="preserve"> (internal citations omitted)</w:t>
      </w:r>
    </w:p>
  </w:footnote>
  <w:footnote w:id="685">
    <w:p w14:paraId="1085782C" w14:textId="781D8C63" w:rsidR="00336EDF" w:rsidRDefault="00336EDF">
      <w:pPr>
        <w:pStyle w:val="FootnoteText"/>
      </w:pPr>
      <w:r w:rsidRPr="00965D22">
        <w:rPr>
          <w:rStyle w:val="FootnoteReference"/>
          <w:rFonts w:ascii="Times New Roman" w:hAnsi="Times New Roman" w:cs="Times New Roman"/>
        </w:rPr>
        <w:footnoteRef/>
      </w:r>
      <w:r w:rsidRPr="00965D22">
        <w:rPr>
          <w:rFonts w:ascii="Times New Roman" w:hAnsi="Times New Roman" w:cs="Times New Roman"/>
        </w:rPr>
        <w:t xml:space="preserve"> </w:t>
      </w:r>
      <w:bookmarkStart w:id="969" w:name="f655"/>
      <w:bookmarkEnd w:id="969"/>
      <w:r w:rsidRPr="00965D22">
        <w:rPr>
          <w:rFonts w:ascii="Times New Roman" w:hAnsi="Times New Roman" w:cs="Times New Roman"/>
          <w:i/>
          <w:iCs/>
        </w:rPr>
        <w:t>Id.</w:t>
      </w:r>
    </w:p>
  </w:footnote>
  <w:footnote w:id="686">
    <w:p w14:paraId="03D25481" w14:textId="634326C9" w:rsidR="00336EDF" w:rsidRDefault="00336EDF">
      <w:pPr>
        <w:pStyle w:val="FootnoteText"/>
      </w:pPr>
      <w:r w:rsidRPr="00965D22">
        <w:rPr>
          <w:rStyle w:val="FootnoteReference"/>
          <w:rFonts w:ascii="Times New Roman" w:hAnsi="Times New Roman" w:cs="Times New Roman"/>
        </w:rPr>
        <w:footnoteRef/>
      </w:r>
      <w:r>
        <w:t xml:space="preserve"> </w:t>
      </w:r>
      <w:bookmarkStart w:id="970" w:name="f656"/>
      <w:bookmarkEnd w:id="970"/>
      <w:r w:rsidRPr="00965D22">
        <w:rPr>
          <w:rFonts w:ascii="Times New Roman" w:hAnsi="Times New Roman" w:cs="Times New Roman"/>
          <w:i/>
          <w:iCs/>
        </w:rPr>
        <w:t>Id.</w:t>
      </w:r>
    </w:p>
  </w:footnote>
  <w:footnote w:id="687">
    <w:p w14:paraId="2C8A8B55" w14:textId="198CA0A1" w:rsidR="00336EDF" w:rsidRDefault="00336EDF">
      <w:pPr>
        <w:pStyle w:val="FootnoteText"/>
      </w:pPr>
      <w:r w:rsidRPr="00264B94">
        <w:rPr>
          <w:rStyle w:val="FootnoteReference"/>
          <w:rFonts w:ascii="Times New Roman" w:hAnsi="Times New Roman" w:cs="Times New Roman"/>
        </w:rPr>
        <w:footnoteRef/>
      </w:r>
      <w:r>
        <w:t xml:space="preserve"> </w:t>
      </w:r>
      <w:bookmarkStart w:id="971" w:name="f657"/>
      <w:bookmarkStart w:id="972" w:name="_Hlk11683379"/>
      <w:bookmarkEnd w:id="971"/>
      <w:r w:rsidRPr="00746B73">
        <w:rPr>
          <w:rFonts w:ascii="Times New Roman" w:hAnsi="Times New Roman" w:cs="Times New Roman"/>
        </w:rPr>
        <w:t xml:space="preserve">12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 128.0</w:t>
      </w:r>
      <w:r>
        <w:rPr>
          <w:rFonts w:ascii="Times New Roman" w:hAnsi="Times New Roman" w:cs="Times New Roman"/>
        </w:rPr>
        <w:t>3</w:t>
      </w:r>
      <w:bookmarkEnd w:id="972"/>
    </w:p>
  </w:footnote>
  <w:footnote w:id="688">
    <w:p w14:paraId="70491826" w14:textId="4EF90B41" w:rsidR="00336EDF" w:rsidRDefault="00336EDF">
      <w:pPr>
        <w:pStyle w:val="FootnoteText"/>
      </w:pPr>
      <w:r w:rsidRPr="00102FEF">
        <w:rPr>
          <w:rStyle w:val="FootnoteReference"/>
          <w:rFonts w:ascii="Times New Roman" w:hAnsi="Times New Roman" w:cs="Times New Roman"/>
        </w:rPr>
        <w:footnoteRef/>
      </w:r>
      <w:r>
        <w:t xml:space="preserve"> </w:t>
      </w:r>
      <w:bookmarkStart w:id="973" w:name="f658"/>
      <w:bookmarkEnd w:id="973"/>
      <w:r>
        <w:fldChar w:fldCharType="begin"/>
      </w:r>
      <w:r>
        <w:instrText xml:space="preserve"> HYPERLINK "https://www.leagle.com/decision/inwyco20150331e75" </w:instrText>
      </w:r>
      <w:r>
        <w:fldChar w:fldCharType="separate"/>
      </w:r>
      <w:r w:rsidRPr="007471EE">
        <w:rPr>
          <w:rStyle w:val="Hyperlink"/>
          <w:rFonts w:ascii="Times New Roman" w:hAnsi="Times New Roman" w:cs="Times New Roman"/>
        </w:rPr>
        <w:t>346 P.3d 946</w:t>
      </w:r>
      <w:r>
        <w:rPr>
          <w:rStyle w:val="Hyperlink"/>
          <w:rFonts w:ascii="Times New Roman" w:hAnsi="Times New Roman" w:cs="Times New Roman"/>
        </w:rPr>
        <w:fldChar w:fldCharType="end"/>
      </w:r>
      <w:r w:rsidRPr="00102FEF">
        <w:rPr>
          <w:rFonts w:ascii="Times New Roman" w:hAnsi="Times New Roman" w:cs="Times New Roman"/>
        </w:rPr>
        <w:t xml:space="preserve"> (Wyo. 2015)</w:t>
      </w:r>
    </w:p>
  </w:footnote>
  <w:footnote w:id="689">
    <w:p w14:paraId="3BECB3FD" w14:textId="4C9DF19D" w:rsidR="00336EDF" w:rsidRDefault="00336EDF">
      <w:pPr>
        <w:pStyle w:val="FootnoteText"/>
      </w:pPr>
      <w:r w:rsidRPr="007614F2">
        <w:rPr>
          <w:rStyle w:val="FootnoteReference"/>
          <w:rFonts w:ascii="Times New Roman" w:hAnsi="Times New Roman" w:cs="Times New Roman"/>
        </w:rPr>
        <w:footnoteRef/>
      </w:r>
      <w:r>
        <w:t xml:space="preserve"> </w:t>
      </w:r>
      <w:bookmarkStart w:id="974" w:name="f659"/>
      <w:bookmarkEnd w:id="974"/>
      <w:r w:rsidRPr="007614F2">
        <w:rPr>
          <w:rFonts w:ascii="Times New Roman" w:hAnsi="Times New Roman" w:cs="Times New Roman"/>
          <w:i/>
          <w:iCs/>
        </w:rPr>
        <w:t>Id.</w:t>
      </w:r>
      <w:r w:rsidRPr="007614F2">
        <w:rPr>
          <w:rFonts w:ascii="Times New Roman" w:hAnsi="Times New Roman" w:cs="Times New Roman"/>
        </w:rPr>
        <w:t xml:space="preserve"> at 961</w:t>
      </w:r>
    </w:p>
  </w:footnote>
  <w:footnote w:id="690">
    <w:p w14:paraId="6E4CCACA" w14:textId="73889CD0" w:rsidR="00336EDF" w:rsidRDefault="00336EDF">
      <w:pPr>
        <w:pStyle w:val="FootnoteText"/>
      </w:pPr>
      <w:r w:rsidRPr="007614F2">
        <w:rPr>
          <w:rStyle w:val="FootnoteReference"/>
          <w:rFonts w:ascii="Times New Roman" w:hAnsi="Times New Roman" w:cs="Times New Roman"/>
        </w:rPr>
        <w:footnoteRef/>
      </w:r>
      <w:r>
        <w:t xml:space="preserve"> </w:t>
      </w:r>
      <w:bookmarkStart w:id="975" w:name="f660"/>
      <w:bookmarkEnd w:id="975"/>
      <w:r w:rsidRPr="007614F2">
        <w:rPr>
          <w:rFonts w:ascii="Times New Roman" w:hAnsi="Times New Roman" w:cs="Times New Roman"/>
          <w:i/>
          <w:iCs/>
        </w:rPr>
        <w:t>Id</w:t>
      </w:r>
      <w:r w:rsidRPr="007614F2">
        <w:rPr>
          <w:rFonts w:ascii="Times New Roman" w:hAnsi="Times New Roman" w:cs="Times New Roman"/>
        </w:rPr>
        <w:t>. at 960</w:t>
      </w:r>
    </w:p>
  </w:footnote>
  <w:footnote w:id="691">
    <w:p w14:paraId="48EFE839" w14:textId="3503F8AF" w:rsidR="00336EDF" w:rsidRDefault="00336EDF">
      <w:pPr>
        <w:pStyle w:val="FootnoteText"/>
      </w:pPr>
      <w:r w:rsidRPr="00BC174B">
        <w:rPr>
          <w:rStyle w:val="FootnoteReference"/>
          <w:rFonts w:ascii="Times New Roman" w:hAnsi="Times New Roman" w:cs="Times New Roman"/>
        </w:rPr>
        <w:footnoteRef/>
      </w:r>
      <w:bookmarkStart w:id="976" w:name="f661"/>
      <w:bookmarkEnd w:id="976"/>
      <w:r>
        <w:t xml:space="preserve"> </w:t>
      </w:r>
      <w:r w:rsidRPr="007614F2">
        <w:rPr>
          <w:rFonts w:ascii="Times New Roman" w:hAnsi="Times New Roman" w:cs="Times New Roman"/>
          <w:i/>
          <w:iCs/>
        </w:rPr>
        <w:t>Id</w:t>
      </w:r>
      <w:r w:rsidRPr="007614F2">
        <w:rPr>
          <w:rFonts w:ascii="Times New Roman" w:hAnsi="Times New Roman" w:cs="Times New Roman"/>
        </w:rPr>
        <w:t>. at 960</w:t>
      </w:r>
      <w:r>
        <w:t xml:space="preserve"> </w:t>
      </w:r>
      <w:r>
        <w:rPr>
          <w:rFonts w:ascii="Times New Roman" w:hAnsi="Times New Roman" w:cs="Times New Roman"/>
          <w:i/>
          <w:iCs/>
        </w:rPr>
        <w:t>c</w:t>
      </w:r>
      <w:r w:rsidRPr="00BC174B">
        <w:rPr>
          <w:rFonts w:ascii="Times New Roman" w:hAnsi="Times New Roman" w:cs="Times New Roman"/>
          <w:i/>
          <w:iCs/>
        </w:rPr>
        <w:t>iting</w:t>
      </w:r>
      <w:r w:rsidRPr="00BC174B">
        <w:rPr>
          <w:rFonts w:ascii="Times New Roman" w:hAnsi="Times New Roman" w:cs="Times New Roman"/>
        </w:rPr>
        <w:t xml:space="preserve"> Glaze v. Workers’ Safety &amp; Comp. Div., </w:t>
      </w:r>
      <w:hyperlink r:id="rId271" w:history="1">
        <w:r w:rsidRPr="007471EE">
          <w:rPr>
            <w:rStyle w:val="Hyperlink"/>
            <w:rFonts w:ascii="Times New Roman" w:hAnsi="Times New Roman" w:cs="Times New Roman"/>
          </w:rPr>
          <w:t>214 P.3d 228</w:t>
        </w:r>
      </w:hyperlink>
      <w:r w:rsidRPr="00BC174B">
        <w:rPr>
          <w:rFonts w:ascii="Times New Roman" w:hAnsi="Times New Roman" w:cs="Times New Roman"/>
        </w:rPr>
        <w:t xml:space="preserve">, 235 </w:t>
      </w:r>
      <w:r>
        <w:rPr>
          <w:rFonts w:ascii="Times New Roman" w:hAnsi="Times New Roman" w:cs="Times New Roman"/>
        </w:rPr>
        <w:t>(</w:t>
      </w:r>
      <w:r w:rsidRPr="00BC174B">
        <w:rPr>
          <w:rFonts w:ascii="Times New Roman" w:hAnsi="Times New Roman" w:cs="Times New Roman"/>
        </w:rPr>
        <w:t>Wyo. 2009)</w:t>
      </w:r>
      <w:r>
        <w:t xml:space="preserve"> </w:t>
      </w:r>
    </w:p>
  </w:footnote>
  <w:footnote w:id="692">
    <w:p w14:paraId="213F9504" w14:textId="7A3D7CB7" w:rsidR="00336EDF" w:rsidRDefault="00336EDF">
      <w:pPr>
        <w:pStyle w:val="FootnoteText"/>
      </w:pPr>
      <w:r w:rsidRPr="007614F2">
        <w:rPr>
          <w:rStyle w:val="FootnoteReference"/>
          <w:rFonts w:ascii="Times New Roman" w:hAnsi="Times New Roman" w:cs="Times New Roman"/>
        </w:rPr>
        <w:footnoteRef/>
      </w:r>
      <w:r>
        <w:t xml:space="preserve"> </w:t>
      </w:r>
      <w:bookmarkStart w:id="977" w:name="f662"/>
      <w:bookmarkEnd w:id="977"/>
      <w:r w:rsidRPr="007614F2">
        <w:rPr>
          <w:rFonts w:ascii="Times New Roman" w:hAnsi="Times New Roman" w:cs="Times New Roman"/>
          <w:i/>
          <w:iCs/>
        </w:rPr>
        <w:t>Id</w:t>
      </w:r>
      <w:r w:rsidRPr="007614F2">
        <w:rPr>
          <w:rFonts w:ascii="Times New Roman" w:hAnsi="Times New Roman" w:cs="Times New Roman"/>
        </w:rPr>
        <w:t>. at 961</w:t>
      </w:r>
    </w:p>
  </w:footnote>
  <w:footnote w:id="693">
    <w:p w14:paraId="5D265282" w14:textId="1DCA2C13" w:rsidR="00336EDF" w:rsidRDefault="00336EDF">
      <w:pPr>
        <w:pStyle w:val="FootnoteText"/>
      </w:pPr>
      <w:r w:rsidRPr="007614F2">
        <w:rPr>
          <w:rStyle w:val="FootnoteReference"/>
          <w:rFonts w:ascii="Times New Roman" w:hAnsi="Times New Roman" w:cs="Times New Roman"/>
        </w:rPr>
        <w:footnoteRef/>
      </w:r>
      <w:r>
        <w:t xml:space="preserve"> </w:t>
      </w:r>
      <w:bookmarkStart w:id="978" w:name="f663"/>
      <w:bookmarkEnd w:id="978"/>
      <w:r w:rsidRPr="007614F2">
        <w:rPr>
          <w:rFonts w:ascii="Times New Roman" w:hAnsi="Times New Roman" w:cs="Times New Roman"/>
          <w:i/>
          <w:iCs/>
        </w:rPr>
        <w:t>Id</w:t>
      </w:r>
      <w:r w:rsidRPr="007614F2">
        <w:rPr>
          <w:rFonts w:ascii="Times New Roman" w:hAnsi="Times New Roman" w:cs="Times New Roman"/>
        </w:rPr>
        <w:t xml:space="preserve">. </w:t>
      </w:r>
    </w:p>
  </w:footnote>
  <w:footnote w:id="694">
    <w:p w14:paraId="4EA25A28" w14:textId="73E62A7F" w:rsidR="00336EDF" w:rsidRDefault="00336EDF">
      <w:pPr>
        <w:pStyle w:val="FootnoteText"/>
      </w:pPr>
      <w:r w:rsidRPr="007614F2">
        <w:rPr>
          <w:rStyle w:val="FootnoteReference"/>
          <w:rFonts w:ascii="Times New Roman" w:hAnsi="Times New Roman" w:cs="Times New Roman"/>
        </w:rPr>
        <w:footnoteRef/>
      </w:r>
      <w:r>
        <w:t xml:space="preserve"> </w:t>
      </w:r>
      <w:bookmarkStart w:id="979" w:name="f664"/>
      <w:bookmarkEnd w:id="979"/>
      <w:r w:rsidRPr="007614F2">
        <w:rPr>
          <w:rFonts w:ascii="Times New Roman" w:hAnsi="Times New Roman" w:cs="Times New Roman"/>
          <w:i/>
          <w:iCs/>
        </w:rPr>
        <w:t>Id.</w:t>
      </w:r>
    </w:p>
  </w:footnote>
  <w:footnote w:id="695">
    <w:p w14:paraId="60569A3E" w14:textId="5CA3D215" w:rsidR="00336EDF" w:rsidRDefault="00336EDF">
      <w:pPr>
        <w:pStyle w:val="FootnoteText"/>
      </w:pPr>
      <w:r w:rsidRPr="008320B0">
        <w:rPr>
          <w:rStyle w:val="FootnoteReference"/>
          <w:rFonts w:ascii="Times New Roman" w:hAnsi="Times New Roman" w:cs="Times New Roman"/>
        </w:rPr>
        <w:footnoteRef/>
      </w:r>
      <w:r>
        <w:t xml:space="preserve"> </w:t>
      </w:r>
      <w:bookmarkStart w:id="981" w:name="f665"/>
      <w:bookmarkEnd w:id="981"/>
      <w:r w:rsidRPr="008320B0">
        <w:rPr>
          <w:rFonts w:ascii="Times New Roman" w:hAnsi="Times New Roman" w:cs="Times New Roman"/>
          <w:i/>
          <w:iCs/>
        </w:rPr>
        <w:t>See generally</w:t>
      </w:r>
      <w:r>
        <w:t xml:space="preserve"> </w:t>
      </w:r>
      <w:r w:rsidRPr="00746B73">
        <w:rPr>
          <w:rFonts w:ascii="Times New Roman" w:hAnsi="Times New Roman" w:cs="Times New Roman"/>
        </w:rPr>
        <w:t xml:space="preserve">12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w:t>
      </w:r>
      <w:bookmarkStart w:id="982" w:name="_Hlk11683398"/>
      <w:r w:rsidRPr="00746B73">
        <w:rPr>
          <w:rFonts w:ascii="Times New Roman" w:hAnsi="Times New Roman" w:cs="Times New Roman"/>
        </w:rPr>
        <w:t>§ 128.0</w:t>
      </w:r>
      <w:r>
        <w:rPr>
          <w:rFonts w:ascii="Times New Roman" w:hAnsi="Times New Roman" w:cs="Times New Roman"/>
        </w:rPr>
        <w:t xml:space="preserve">2 </w:t>
      </w:r>
      <w:bookmarkEnd w:id="982"/>
      <w:r>
        <w:rPr>
          <w:rFonts w:ascii="Times New Roman" w:hAnsi="Times New Roman" w:cs="Times New Roman"/>
        </w:rPr>
        <w:t xml:space="preserve">&amp; </w:t>
      </w:r>
      <w:r w:rsidRPr="00746B73">
        <w:rPr>
          <w:rFonts w:ascii="Times New Roman" w:hAnsi="Times New Roman" w:cs="Times New Roman"/>
        </w:rPr>
        <w:t>§ 128.0</w:t>
      </w:r>
      <w:r>
        <w:rPr>
          <w:rFonts w:ascii="Times New Roman" w:hAnsi="Times New Roman" w:cs="Times New Roman"/>
        </w:rPr>
        <w:t>3</w:t>
      </w:r>
    </w:p>
  </w:footnote>
  <w:footnote w:id="696">
    <w:p w14:paraId="03292BE9" w14:textId="29C5A628" w:rsidR="00336EDF" w:rsidRDefault="00336EDF" w:rsidP="00ED26B4">
      <w:pPr>
        <w:pStyle w:val="FootnoteText"/>
        <w:jc w:val="both"/>
      </w:pPr>
      <w:r w:rsidRPr="00ED26B4">
        <w:rPr>
          <w:rStyle w:val="FootnoteReference"/>
          <w:rFonts w:ascii="Times New Roman" w:hAnsi="Times New Roman" w:cs="Times New Roman"/>
        </w:rPr>
        <w:footnoteRef/>
      </w:r>
      <w:r>
        <w:t xml:space="preserve"> </w:t>
      </w:r>
      <w:bookmarkStart w:id="983" w:name="f666"/>
      <w:bookmarkEnd w:id="983"/>
      <w:r>
        <w:rPr>
          <w:rFonts w:ascii="Times New Roman" w:hAnsi="Times New Roman" w:cs="Times New Roman"/>
        </w:rPr>
        <w:t>H</w:t>
      </w:r>
      <w:r w:rsidRPr="00F438E3">
        <w:rPr>
          <w:rFonts w:ascii="Times New Roman" w:hAnsi="Times New Roman" w:cs="Times New Roman"/>
          <w:smallCaps/>
        </w:rPr>
        <w:t>erman</w:t>
      </w:r>
      <w:r>
        <w:rPr>
          <w:rFonts w:ascii="Times New Roman" w:hAnsi="Times New Roman" w:cs="Times New Roman"/>
        </w:rPr>
        <w:t xml:space="preserve"> M</w:t>
      </w:r>
      <w:r w:rsidRPr="00F438E3">
        <w:rPr>
          <w:rFonts w:ascii="Times New Roman" w:hAnsi="Times New Roman" w:cs="Times New Roman"/>
          <w:smallCaps/>
        </w:rPr>
        <w:t xml:space="preserve">iles </w:t>
      </w:r>
      <w:r w:rsidRPr="00F438E3">
        <w:rPr>
          <w:rFonts w:ascii="Times New Roman" w:hAnsi="Times New Roman" w:cs="Times New Roman"/>
        </w:rPr>
        <w:t>S</w:t>
      </w:r>
      <w:r w:rsidRPr="00F438E3">
        <w:rPr>
          <w:rFonts w:ascii="Times New Roman" w:hAnsi="Times New Roman" w:cs="Times New Roman"/>
          <w:smallCaps/>
        </w:rPr>
        <w:t>omers</w:t>
      </w:r>
      <w:r w:rsidRPr="00F438E3">
        <w:rPr>
          <w:rFonts w:ascii="Times New Roman" w:hAnsi="Times New Roman" w:cs="Times New Roman"/>
        </w:rPr>
        <w:t xml:space="preserve"> </w:t>
      </w:r>
      <w:r w:rsidRPr="00F438E3">
        <w:rPr>
          <w:rFonts w:ascii="Times New Roman" w:hAnsi="Times New Roman" w:cs="Times New Roman"/>
          <w:smallCaps/>
        </w:rPr>
        <w:t>and</w:t>
      </w:r>
      <w:r>
        <w:rPr>
          <w:rFonts w:ascii="Times New Roman" w:hAnsi="Times New Roman" w:cs="Times New Roman"/>
        </w:rPr>
        <w:t xml:space="preserve"> A</w:t>
      </w:r>
      <w:r w:rsidRPr="00F438E3">
        <w:rPr>
          <w:rFonts w:ascii="Times New Roman" w:hAnsi="Times New Roman" w:cs="Times New Roman"/>
          <w:smallCaps/>
        </w:rPr>
        <w:t>nne</w:t>
      </w:r>
      <w:r>
        <w:rPr>
          <w:rFonts w:ascii="Times New Roman" w:hAnsi="Times New Roman" w:cs="Times New Roman"/>
        </w:rPr>
        <w:t xml:space="preserve"> R</w:t>
      </w:r>
      <w:r w:rsidRPr="00F438E3">
        <w:rPr>
          <w:rFonts w:ascii="Times New Roman" w:hAnsi="Times New Roman" w:cs="Times New Roman"/>
          <w:smallCaps/>
        </w:rPr>
        <w:t>amsay</w:t>
      </w:r>
      <w:r w:rsidRPr="00F438E3">
        <w:rPr>
          <w:rFonts w:ascii="Times New Roman" w:hAnsi="Times New Roman" w:cs="Times New Roman"/>
        </w:rPr>
        <w:t xml:space="preserve"> S</w:t>
      </w:r>
      <w:r w:rsidRPr="00F438E3">
        <w:rPr>
          <w:rFonts w:ascii="Times New Roman" w:hAnsi="Times New Roman" w:cs="Times New Roman"/>
          <w:smallCaps/>
        </w:rPr>
        <w:t>omers</w:t>
      </w:r>
      <w:r>
        <w:rPr>
          <w:rFonts w:ascii="Times New Roman" w:hAnsi="Times New Roman" w:cs="Times New Roman"/>
        </w:rPr>
        <w:t>, W</w:t>
      </w:r>
      <w:r w:rsidRPr="00F438E3">
        <w:rPr>
          <w:rFonts w:ascii="Times New Roman" w:hAnsi="Times New Roman" w:cs="Times New Roman"/>
          <w:smallCaps/>
        </w:rPr>
        <w:t>orkmen’s</w:t>
      </w:r>
      <w:r>
        <w:rPr>
          <w:rFonts w:ascii="Times New Roman" w:hAnsi="Times New Roman" w:cs="Times New Roman"/>
        </w:rPr>
        <w:t xml:space="preserve"> C</w:t>
      </w:r>
      <w:r w:rsidRPr="00F438E3">
        <w:rPr>
          <w:rFonts w:ascii="Times New Roman" w:hAnsi="Times New Roman" w:cs="Times New Roman"/>
          <w:smallCaps/>
        </w:rPr>
        <w:t>ompensation</w:t>
      </w:r>
      <w:r>
        <w:rPr>
          <w:rFonts w:ascii="Times New Roman" w:hAnsi="Times New Roman" w:cs="Times New Roman"/>
        </w:rPr>
        <w:t>, P</w:t>
      </w:r>
      <w:r w:rsidRPr="00F02994">
        <w:rPr>
          <w:rFonts w:ascii="Times New Roman" w:hAnsi="Times New Roman" w:cs="Times New Roman"/>
          <w:smallCaps/>
        </w:rPr>
        <w:t>revention</w:t>
      </w:r>
      <w:r>
        <w:rPr>
          <w:rFonts w:ascii="Times New Roman" w:hAnsi="Times New Roman" w:cs="Times New Roman"/>
        </w:rPr>
        <w:t>, I</w:t>
      </w:r>
      <w:r w:rsidRPr="00F02994">
        <w:rPr>
          <w:rFonts w:ascii="Times New Roman" w:hAnsi="Times New Roman" w:cs="Times New Roman"/>
          <w:smallCaps/>
        </w:rPr>
        <w:t>nsurance</w:t>
      </w:r>
      <w:r>
        <w:rPr>
          <w:rFonts w:ascii="Times New Roman" w:hAnsi="Times New Roman" w:cs="Times New Roman"/>
        </w:rPr>
        <w:t xml:space="preserve">, </w:t>
      </w:r>
      <w:r w:rsidRPr="00F02994">
        <w:rPr>
          <w:rFonts w:ascii="Times New Roman" w:hAnsi="Times New Roman" w:cs="Times New Roman"/>
          <w:smallCaps/>
        </w:rPr>
        <w:t>and</w:t>
      </w:r>
      <w:r>
        <w:rPr>
          <w:rFonts w:ascii="Times New Roman" w:hAnsi="Times New Roman" w:cs="Times New Roman"/>
        </w:rPr>
        <w:t xml:space="preserve"> R</w:t>
      </w:r>
      <w:r w:rsidRPr="00F02994">
        <w:rPr>
          <w:rFonts w:ascii="Times New Roman" w:hAnsi="Times New Roman" w:cs="Times New Roman"/>
          <w:smallCaps/>
        </w:rPr>
        <w:t>ehabilitation</w:t>
      </w:r>
      <w:r>
        <w:rPr>
          <w:rFonts w:ascii="Times New Roman" w:hAnsi="Times New Roman" w:cs="Times New Roman"/>
        </w:rPr>
        <w:t xml:space="preserve"> </w:t>
      </w:r>
      <w:r w:rsidRPr="00F02994">
        <w:rPr>
          <w:rFonts w:ascii="Times New Roman" w:hAnsi="Times New Roman" w:cs="Times New Roman"/>
          <w:smallCaps/>
        </w:rPr>
        <w:t xml:space="preserve">of </w:t>
      </w:r>
      <w:r>
        <w:rPr>
          <w:rFonts w:ascii="Times New Roman" w:hAnsi="Times New Roman" w:cs="Times New Roman"/>
        </w:rPr>
        <w:t>O</w:t>
      </w:r>
      <w:r w:rsidRPr="00F02994">
        <w:rPr>
          <w:rFonts w:ascii="Times New Roman" w:hAnsi="Times New Roman" w:cs="Times New Roman"/>
          <w:smallCaps/>
        </w:rPr>
        <w:t>ccupational</w:t>
      </w:r>
      <w:r>
        <w:rPr>
          <w:rFonts w:ascii="Times New Roman" w:hAnsi="Times New Roman" w:cs="Times New Roman"/>
        </w:rPr>
        <w:t xml:space="preserve"> D</w:t>
      </w:r>
      <w:r w:rsidRPr="00F02994">
        <w:rPr>
          <w:rFonts w:ascii="Times New Roman" w:hAnsi="Times New Roman" w:cs="Times New Roman"/>
          <w:smallCaps/>
        </w:rPr>
        <w:t>isability</w:t>
      </w:r>
      <w:r>
        <w:rPr>
          <w:rFonts w:ascii="Times New Roman" w:hAnsi="Times New Roman" w:cs="Times New Roman"/>
        </w:rPr>
        <w:t xml:space="preserve"> (John Wiley &amp; Sons 1954)</w:t>
      </w:r>
    </w:p>
  </w:footnote>
  <w:footnote w:id="697">
    <w:p w14:paraId="0BC21D75" w14:textId="1699F130" w:rsidR="00336EDF" w:rsidRDefault="00336EDF" w:rsidP="000D7F3D">
      <w:pPr>
        <w:pStyle w:val="FootnoteText"/>
        <w:jc w:val="both"/>
      </w:pPr>
      <w:r w:rsidRPr="00ED26B4">
        <w:rPr>
          <w:rStyle w:val="FootnoteReference"/>
          <w:rFonts w:ascii="Times New Roman" w:hAnsi="Times New Roman" w:cs="Times New Roman"/>
        </w:rPr>
        <w:footnoteRef/>
      </w:r>
      <w:r w:rsidRPr="00ED26B4">
        <w:rPr>
          <w:rFonts w:ascii="Times New Roman" w:hAnsi="Times New Roman" w:cs="Times New Roman"/>
        </w:rPr>
        <w:t xml:space="preserve"> </w:t>
      </w:r>
      <w:bookmarkStart w:id="984" w:name="f667"/>
      <w:bookmarkStart w:id="985" w:name="_Hlk11688977"/>
      <w:bookmarkEnd w:id="984"/>
      <w:r w:rsidRPr="00ED26B4">
        <w:rPr>
          <w:rFonts w:ascii="Times New Roman" w:hAnsi="Times New Roman" w:cs="Times New Roman"/>
          <w:smallCaps/>
        </w:rPr>
        <w:t xml:space="preserve">Somers and Somers, Workmen’s Compensation </w:t>
      </w:r>
      <w:r w:rsidRPr="003E08C3">
        <w:rPr>
          <w:rFonts w:ascii="Times New Roman" w:hAnsi="Times New Roman" w:cs="Times New Roman"/>
        </w:rPr>
        <w:t>at</w:t>
      </w:r>
      <w:r w:rsidRPr="00ED26B4">
        <w:rPr>
          <w:rFonts w:ascii="Times New Roman" w:hAnsi="Times New Roman" w:cs="Times New Roman"/>
          <w:smallCaps/>
        </w:rPr>
        <w:t xml:space="preserve"> 174.</w:t>
      </w:r>
      <w:bookmarkEnd w:id="985"/>
    </w:p>
  </w:footnote>
  <w:footnote w:id="698">
    <w:p w14:paraId="2E1D1155" w14:textId="5D0CDD02" w:rsidR="00336EDF" w:rsidRDefault="00336EDF" w:rsidP="000D7F3D">
      <w:pPr>
        <w:pStyle w:val="FootnoteText"/>
        <w:jc w:val="both"/>
      </w:pPr>
      <w:r w:rsidRPr="00ED26B4">
        <w:rPr>
          <w:rStyle w:val="FootnoteReference"/>
          <w:rFonts w:ascii="Times New Roman" w:hAnsi="Times New Roman" w:cs="Times New Roman"/>
        </w:rPr>
        <w:footnoteRef/>
      </w:r>
      <w:r>
        <w:t xml:space="preserve"> </w:t>
      </w:r>
      <w:bookmarkStart w:id="986" w:name="f668"/>
      <w:bookmarkEnd w:id="986"/>
      <w:r w:rsidRPr="00ED26B4">
        <w:rPr>
          <w:rFonts w:ascii="Times New Roman" w:hAnsi="Times New Roman" w:cs="Times New Roman"/>
          <w:i/>
          <w:iCs/>
        </w:rPr>
        <w:t>Id</w:t>
      </w:r>
      <w:r w:rsidRPr="00ED26B4">
        <w:rPr>
          <w:rFonts w:ascii="Times New Roman" w:hAnsi="Times New Roman" w:cs="Times New Roman"/>
        </w:rPr>
        <w:t xml:space="preserve">. at 176 </w:t>
      </w:r>
      <w:r w:rsidRPr="00ED26B4">
        <w:rPr>
          <w:rFonts w:ascii="Times New Roman" w:hAnsi="Times New Roman" w:cs="Times New Roman"/>
          <w:i/>
          <w:iCs/>
        </w:rPr>
        <w:t>quoting</w:t>
      </w:r>
      <w:r w:rsidRPr="00ED26B4">
        <w:rPr>
          <w:rFonts w:ascii="Times New Roman" w:hAnsi="Times New Roman" w:cs="Times New Roman"/>
        </w:rPr>
        <w:t xml:space="preserve"> </w:t>
      </w:r>
      <w:r w:rsidRPr="000D7F3D">
        <w:rPr>
          <w:rFonts w:ascii="Times New Roman" w:hAnsi="Times New Roman" w:cs="Times New Roman"/>
          <w:smallCaps/>
        </w:rPr>
        <w:t>Walter</w:t>
      </w:r>
      <w:r>
        <w:rPr>
          <w:rFonts w:ascii="Times New Roman" w:hAnsi="Times New Roman" w:cs="Times New Roman"/>
        </w:rPr>
        <w:t xml:space="preserve"> </w:t>
      </w:r>
      <w:r w:rsidRPr="000D7F3D">
        <w:rPr>
          <w:rFonts w:ascii="Times New Roman" w:hAnsi="Times New Roman" w:cs="Times New Roman"/>
          <w:smallCaps/>
        </w:rPr>
        <w:t>Dodd, Administration of Workmen’s Compensation</w:t>
      </w:r>
      <w:r>
        <w:rPr>
          <w:rFonts w:ascii="Times New Roman" w:hAnsi="Times New Roman" w:cs="Times New Roman"/>
          <w:smallCaps/>
        </w:rPr>
        <w:t xml:space="preserve"> (C</w:t>
      </w:r>
      <w:r>
        <w:rPr>
          <w:rFonts w:ascii="Times New Roman" w:hAnsi="Times New Roman" w:cs="Times New Roman"/>
        </w:rPr>
        <w:t xml:space="preserve">ommonwealth Fund, N.Y. 1936) </w:t>
      </w:r>
      <w:r>
        <w:t xml:space="preserve"> </w:t>
      </w:r>
    </w:p>
  </w:footnote>
  <w:footnote w:id="699">
    <w:p w14:paraId="2B75D1EA" w14:textId="5FDBF8DB" w:rsidR="00336EDF" w:rsidRDefault="00336EDF">
      <w:pPr>
        <w:pStyle w:val="FootnoteText"/>
      </w:pPr>
      <w:r w:rsidRPr="004F1119">
        <w:rPr>
          <w:rStyle w:val="FootnoteReference"/>
          <w:rFonts w:ascii="Times New Roman" w:hAnsi="Times New Roman" w:cs="Times New Roman"/>
        </w:rPr>
        <w:footnoteRef/>
      </w:r>
      <w:bookmarkStart w:id="987" w:name="f669"/>
      <w:bookmarkEnd w:id="987"/>
      <w:r>
        <w:t xml:space="preserve"> </w:t>
      </w:r>
      <w:r w:rsidRPr="00ED26B4">
        <w:rPr>
          <w:rFonts w:ascii="Times New Roman" w:hAnsi="Times New Roman" w:cs="Times New Roman"/>
          <w:smallCaps/>
        </w:rPr>
        <w:t xml:space="preserve">Somers and Somers, Workmen’s Compensation </w:t>
      </w:r>
      <w:r w:rsidRPr="003E08C3">
        <w:rPr>
          <w:rFonts w:ascii="Times New Roman" w:hAnsi="Times New Roman" w:cs="Times New Roman"/>
        </w:rPr>
        <w:t>at</w:t>
      </w:r>
      <w:r w:rsidRPr="00ED26B4">
        <w:rPr>
          <w:rFonts w:ascii="Times New Roman" w:hAnsi="Times New Roman" w:cs="Times New Roman"/>
          <w:smallCaps/>
        </w:rPr>
        <w:t xml:space="preserve"> 17</w:t>
      </w:r>
      <w:r>
        <w:rPr>
          <w:rFonts w:ascii="Times New Roman" w:hAnsi="Times New Roman" w:cs="Times New Roman"/>
          <w:smallCaps/>
        </w:rPr>
        <w:t>6</w:t>
      </w:r>
    </w:p>
  </w:footnote>
  <w:footnote w:id="700">
    <w:p w14:paraId="6471A388" w14:textId="10489C2F" w:rsidR="00336EDF" w:rsidRDefault="00336EDF">
      <w:pPr>
        <w:pStyle w:val="FootnoteText"/>
      </w:pPr>
      <w:r w:rsidRPr="004F1119">
        <w:rPr>
          <w:rStyle w:val="FootnoteReference"/>
          <w:rFonts w:ascii="Times New Roman" w:hAnsi="Times New Roman" w:cs="Times New Roman"/>
        </w:rPr>
        <w:footnoteRef/>
      </w:r>
      <w:r>
        <w:t xml:space="preserve"> </w:t>
      </w:r>
      <w:bookmarkStart w:id="988" w:name="f670"/>
      <w:bookmarkEnd w:id="988"/>
      <w:r w:rsidRPr="004F1119">
        <w:rPr>
          <w:rFonts w:ascii="Times New Roman" w:hAnsi="Times New Roman" w:cs="Times New Roman"/>
          <w:i/>
          <w:iCs/>
        </w:rPr>
        <w:t>Id.</w:t>
      </w:r>
      <w:r w:rsidRPr="004F1119">
        <w:rPr>
          <w:rFonts w:ascii="Times New Roman" w:hAnsi="Times New Roman" w:cs="Times New Roman"/>
        </w:rPr>
        <w:t xml:space="preserve"> at 177</w:t>
      </w:r>
    </w:p>
  </w:footnote>
  <w:footnote w:id="701">
    <w:p w14:paraId="7AECB157" w14:textId="2A2EA1C2" w:rsidR="00336EDF" w:rsidRDefault="00336EDF">
      <w:pPr>
        <w:pStyle w:val="FootnoteText"/>
      </w:pPr>
      <w:r w:rsidRPr="007E79C9">
        <w:rPr>
          <w:rStyle w:val="FootnoteReference"/>
          <w:rFonts w:ascii="Times New Roman" w:hAnsi="Times New Roman" w:cs="Times New Roman"/>
        </w:rPr>
        <w:footnoteRef/>
      </w:r>
      <w:r w:rsidRPr="007E79C9">
        <w:rPr>
          <w:rFonts w:ascii="Times New Roman" w:hAnsi="Times New Roman" w:cs="Times New Roman"/>
        </w:rPr>
        <w:t xml:space="preserve"> </w:t>
      </w:r>
      <w:bookmarkStart w:id="989" w:name="f671"/>
      <w:bookmarkEnd w:id="989"/>
      <w:r w:rsidRPr="007E79C9">
        <w:rPr>
          <w:rFonts w:ascii="Times New Roman" w:hAnsi="Times New Roman" w:cs="Times New Roman"/>
          <w:i/>
          <w:iCs/>
        </w:rPr>
        <w:t xml:space="preserve">See </w:t>
      </w:r>
      <w:r w:rsidRPr="007E79C9">
        <w:rPr>
          <w:rFonts w:ascii="Times New Roman" w:hAnsi="Times New Roman" w:cs="Times New Roman"/>
        </w:rPr>
        <w:t>this Treatise Sec</w:t>
      </w:r>
      <w:r>
        <w:rPr>
          <w:rFonts w:ascii="Times New Roman" w:hAnsi="Times New Roman" w:cs="Times New Roman"/>
        </w:rPr>
        <w:t>tion</w:t>
      </w:r>
      <w:r w:rsidRPr="007E79C9">
        <w:rPr>
          <w:rFonts w:ascii="Times New Roman" w:hAnsi="Times New Roman" w:cs="Times New Roman"/>
        </w:rPr>
        <w:t xml:space="preserve"> 6.10</w:t>
      </w:r>
    </w:p>
  </w:footnote>
  <w:footnote w:id="702">
    <w:p w14:paraId="4BF82CF2" w14:textId="7D09BD03" w:rsidR="00336EDF" w:rsidRPr="00095016" w:rsidRDefault="00336EDF" w:rsidP="00095016">
      <w:pPr>
        <w:pStyle w:val="FootnoteText"/>
        <w:jc w:val="both"/>
        <w:rPr>
          <w:rFonts w:ascii="Times New Roman" w:hAnsi="Times New Roman" w:cs="Times New Roman"/>
        </w:rPr>
      </w:pPr>
      <w:r w:rsidRPr="00095016">
        <w:rPr>
          <w:rStyle w:val="FootnoteReference"/>
          <w:rFonts w:ascii="Times New Roman" w:hAnsi="Times New Roman" w:cs="Times New Roman"/>
        </w:rPr>
        <w:footnoteRef/>
      </w:r>
      <w:r>
        <w:t xml:space="preserve"> </w:t>
      </w:r>
      <w:bookmarkStart w:id="990" w:name="f672"/>
      <w:bookmarkEnd w:id="990"/>
      <w:r w:rsidRPr="00095016">
        <w:rPr>
          <w:rFonts w:ascii="Times New Roman" w:hAnsi="Times New Roman" w:cs="Times New Roman"/>
        </w:rPr>
        <w:t xml:space="preserve">The term, though mentioned, is not defined in either </w:t>
      </w:r>
      <w:r w:rsidRPr="00F55473">
        <w:rPr>
          <w:rFonts w:ascii="Times New Roman" w:hAnsi="Times New Roman" w:cs="Times New Roman"/>
        </w:rPr>
        <w:t xml:space="preserve">W.S. § </w:t>
      </w:r>
      <w:hyperlink r:id="rId272" w:history="1">
        <w:r w:rsidRPr="00F55473">
          <w:rPr>
            <w:rStyle w:val="Hyperlink"/>
            <w:rFonts w:ascii="Times New Roman" w:hAnsi="Times New Roman" w:cs="Times New Roman"/>
          </w:rPr>
          <w:t>27-14-401</w:t>
        </w:r>
      </w:hyperlink>
      <w:r w:rsidRPr="00F706A5">
        <w:rPr>
          <w:rFonts w:ascii="Times New Roman" w:hAnsi="Times New Roman" w:cs="Times New Roman"/>
        </w:rPr>
        <w:t>(f)</w:t>
      </w:r>
      <w:r w:rsidRPr="00095016">
        <w:rPr>
          <w:rFonts w:ascii="Times New Roman" w:hAnsi="Times New Roman" w:cs="Times New Roman"/>
        </w:rPr>
        <w:t xml:space="preserve"> or Department of Workforce Services,</w:t>
      </w:r>
      <w:r>
        <w:rPr>
          <w:rFonts w:ascii="Times New Roman" w:hAnsi="Times New Roman" w:cs="Times New Roman"/>
        </w:rPr>
        <w:t xml:space="preserve"> Workers’ Compensation Division </w:t>
      </w:r>
      <w:r w:rsidRPr="00095016">
        <w:rPr>
          <w:rFonts w:ascii="Times New Roman" w:hAnsi="Times New Roman" w:cs="Times New Roman"/>
        </w:rPr>
        <w:t>Rule 10, Sec. 15</w:t>
      </w:r>
      <w:r>
        <w:rPr>
          <w:rFonts w:ascii="Times New Roman" w:hAnsi="Times New Roman" w:cs="Times New Roman"/>
        </w:rPr>
        <w:t xml:space="preserve"> (</w:t>
      </w:r>
      <w:r w:rsidRPr="00781351">
        <w:rPr>
          <w:rFonts w:ascii="Times New Roman" w:hAnsi="Times New Roman" w:cs="Times New Roman"/>
        </w:rPr>
        <w:t>053.0021.10.06072019</w:t>
      </w:r>
      <w:r>
        <w:rPr>
          <w:rFonts w:ascii="Times New Roman" w:hAnsi="Times New Roman" w:cs="Times New Roman"/>
        </w:rPr>
        <w:t>). In the second paragraph of the just mentioned Sec. 15, the language specifically refers to “second opinions.”</w:t>
      </w:r>
    </w:p>
  </w:footnote>
  <w:footnote w:id="703">
    <w:p w14:paraId="2F84A46B" w14:textId="66980D92" w:rsidR="00336EDF" w:rsidRDefault="00336EDF">
      <w:pPr>
        <w:pStyle w:val="FootnoteText"/>
      </w:pPr>
      <w:r w:rsidRPr="007E79C9">
        <w:rPr>
          <w:rStyle w:val="FootnoteReference"/>
          <w:rFonts w:ascii="Times New Roman" w:hAnsi="Times New Roman" w:cs="Times New Roman"/>
        </w:rPr>
        <w:footnoteRef/>
      </w:r>
      <w:r>
        <w:t xml:space="preserve"> </w:t>
      </w:r>
      <w:bookmarkStart w:id="991" w:name="f673"/>
      <w:bookmarkEnd w:id="991"/>
      <w:r w:rsidRPr="00F55473">
        <w:rPr>
          <w:rFonts w:ascii="Times New Roman" w:hAnsi="Times New Roman" w:cs="Times New Roman"/>
        </w:rPr>
        <w:t xml:space="preserve">W. S. § </w:t>
      </w:r>
      <w:hyperlink r:id="rId273" w:history="1">
        <w:r w:rsidRPr="00F55473">
          <w:rPr>
            <w:rStyle w:val="Hyperlink"/>
            <w:rFonts w:ascii="Times New Roman" w:hAnsi="Times New Roman" w:cs="Times New Roman"/>
          </w:rPr>
          <w:t>27-14-604</w:t>
        </w:r>
      </w:hyperlink>
    </w:p>
  </w:footnote>
  <w:footnote w:id="704">
    <w:p w14:paraId="62C427C3" w14:textId="40707DC7" w:rsidR="00336EDF" w:rsidRDefault="00336EDF">
      <w:pPr>
        <w:pStyle w:val="FootnoteText"/>
      </w:pPr>
      <w:r w:rsidRPr="007E79C9">
        <w:rPr>
          <w:rStyle w:val="FootnoteReference"/>
          <w:rFonts w:ascii="Times New Roman" w:hAnsi="Times New Roman" w:cs="Times New Roman"/>
        </w:rPr>
        <w:footnoteRef/>
      </w:r>
      <w:r w:rsidRPr="007E79C9">
        <w:rPr>
          <w:rFonts w:ascii="Times New Roman" w:hAnsi="Times New Roman" w:cs="Times New Roman"/>
        </w:rPr>
        <w:t xml:space="preserve"> </w:t>
      </w:r>
      <w:bookmarkStart w:id="992" w:name="f674"/>
      <w:bookmarkEnd w:id="992"/>
      <w:r w:rsidRPr="007E79C9">
        <w:rPr>
          <w:rFonts w:ascii="Times New Roman" w:hAnsi="Times New Roman" w:cs="Times New Roman"/>
          <w:i/>
          <w:iCs/>
        </w:rPr>
        <w:t xml:space="preserve">See </w:t>
      </w:r>
      <w:r w:rsidRPr="007E79C9">
        <w:rPr>
          <w:rFonts w:ascii="Times New Roman" w:hAnsi="Times New Roman" w:cs="Times New Roman"/>
        </w:rPr>
        <w:t>this Treatise at Sec</w:t>
      </w:r>
      <w:r>
        <w:rPr>
          <w:rFonts w:ascii="Times New Roman" w:hAnsi="Times New Roman" w:cs="Times New Roman"/>
        </w:rPr>
        <w:t>tion</w:t>
      </w:r>
      <w:r w:rsidRPr="007E79C9">
        <w:rPr>
          <w:rFonts w:ascii="Times New Roman" w:hAnsi="Times New Roman" w:cs="Times New Roman"/>
        </w:rPr>
        <w:t xml:space="preserve"> 6.10</w:t>
      </w:r>
    </w:p>
  </w:footnote>
  <w:footnote w:id="705">
    <w:p w14:paraId="1E8DFD43" w14:textId="20693100" w:rsidR="00336EDF" w:rsidRPr="00BC5964" w:rsidRDefault="00336EDF" w:rsidP="00BC5964">
      <w:pPr>
        <w:pStyle w:val="FootnoteText"/>
        <w:jc w:val="both"/>
        <w:rPr>
          <w:rFonts w:ascii="Times New Roman" w:hAnsi="Times New Roman" w:cs="Times New Roman"/>
        </w:rPr>
      </w:pPr>
      <w:r w:rsidRPr="00BC5964">
        <w:rPr>
          <w:rStyle w:val="FootnoteReference"/>
          <w:rFonts w:ascii="Times New Roman" w:hAnsi="Times New Roman" w:cs="Times New Roman"/>
        </w:rPr>
        <w:footnoteRef/>
      </w:r>
      <w:r>
        <w:t xml:space="preserve"> </w:t>
      </w:r>
      <w:bookmarkStart w:id="993" w:name="f675"/>
      <w:bookmarkEnd w:id="993"/>
      <w:r w:rsidRPr="00BC5964">
        <w:rPr>
          <w:rFonts w:ascii="Times New Roman" w:hAnsi="Times New Roman" w:cs="Times New Roman"/>
        </w:rPr>
        <w:t>The situation in Colorado is especially messy, for some independent medical examiners are procured by employers or insurance carriers (</w:t>
      </w:r>
      <w:r>
        <w:rPr>
          <w:rFonts w:ascii="Times New Roman" w:hAnsi="Times New Roman" w:cs="Times New Roman"/>
        </w:rPr>
        <w:t>“</w:t>
      </w:r>
      <w:r w:rsidRPr="00BC5964">
        <w:rPr>
          <w:rFonts w:ascii="Times New Roman" w:hAnsi="Times New Roman" w:cs="Times New Roman"/>
        </w:rPr>
        <w:t>respondent independent medical examination</w:t>
      </w:r>
      <w:r>
        <w:rPr>
          <w:rFonts w:ascii="Times New Roman" w:hAnsi="Times New Roman" w:cs="Times New Roman"/>
        </w:rPr>
        <w:t>”</w:t>
      </w:r>
      <w:r w:rsidRPr="00BC5964">
        <w:rPr>
          <w:rFonts w:ascii="Times New Roman" w:hAnsi="Times New Roman" w:cs="Times New Roman"/>
        </w:rPr>
        <w:t>) and others are ordered by the Colorado administrative agency subsequent to administrative appeal of maximum medical improvement determinations or impairment ratings (</w:t>
      </w:r>
      <w:r>
        <w:rPr>
          <w:rFonts w:ascii="Times New Roman" w:hAnsi="Times New Roman" w:cs="Times New Roman"/>
        </w:rPr>
        <w:t>“</w:t>
      </w:r>
      <w:r w:rsidRPr="00BC5964">
        <w:rPr>
          <w:rFonts w:ascii="Times New Roman" w:hAnsi="Times New Roman" w:cs="Times New Roman"/>
        </w:rPr>
        <w:t>division independent medical examination</w:t>
      </w:r>
      <w:r>
        <w:rPr>
          <w:rFonts w:ascii="Times New Roman" w:hAnsi="Times New Roman" w:cs="Times New Roman"/>
        </w:rPr>
        <w:t>”</w:t>
      </w:r>
      <w:r w:rsidRPr="00BC5964">
        <w:rPr>
          <w:rFonts w:ascii="Times New Roman" w:hAnsi="Times New Roman" w:cs="Times New Roman"/>
        </w:rPr>
        <w:t>).</w:t>
      </w:r>
      <w:r>
        <w:rPr>
          <w:rFonts w:ascii="Times New Roman" w:hAnsi="Times New Roman" w:cs="Times New Roman"/>
        </w:rPr>
        <w:t xml:space="preserve"> C.R.S. </w:t>
      </w:r>
      <w:r w:rsidRPr="00985E5E">
        <w:rPr>
          <w:rFonts w:ascii="Times New Roman" w:hAnsi="Times New Roman" w:cs="Times New Roman"/>
        </w:rPr>
        <w:t>8-43-404</w:t>
      </w:r>
      <w:r>
        <w:rPr>
          <w:rFonts w:ascii="Times New Roman" w:hAnsi="Times New Roman" w:cs="Times New Roman"/>
        </w:rPr>
        <w:t>.</w:t>
      </w:r>
      <w:r w:rsidRPr="00985E5E">
        <w:rPr>
          <w:rFonts w:ascii="Times New Roman" w:hAnsi="Times New Roman" w:cs="Times New Roman"/>
        </w:rPr>
        <w:t xml:space="preserve"> </w:t>
      </w:r>
      <w:r>
        <w:rPr>
          <w:rFonts w:ascii="Times New Roman" w:hAnsi="Times New Roman" w:cs="Times New Roman"/>
        </w:rPr>
        <w:t>Maine, on the other hand, limits service as an independent medical examiner to physicians who</w:t>
      </w:r>
      <w:r w:rsidRPr="00C60722">
        <w:rPr>
          <w:rFonts w:ascii="Times New Roman" w:hAnsi="Times New Roman" w:cs="Times New Roman"/>
        </w:rPr>
        <w:t xml:space="preserve"> ha</w:t>
      </w:r>
      <w:r>
        <w:rPr>
          <w:rFonts w:ascii="Times New Roman" w:hAnsi="Times New Roman" w:cs="Times New Roman"/>
        </w:rPr>
        <w:t>ve not</w:t>
      </w:r>
      <w:r w:rsidRPr="00C60722">
        <w:rPr>
          <w:rFonts w:ascii="Times New Roman" w:hAnsi="Times New Roman" w:cs="Times New Roman"/>
        </w:rPr>
        <w:t xml:space="preserve"> examined the employee at the request of an insurance company, employer or employee during the previous 52 weeks</w:t>
      </w:r>
      <w:r>
        <w:rPr>
          <w:rFonts w:ascii="Times New Roman" w:hAnsi="Times New Roman" w:cs="Times New Roman"/>
        </w:rPr>
        <w:t>. M.R.S.A Title 39-A § 312. Massachusetts takes a very different route by maintaining a public roster of “impartial” medical examiners.</w:t>
      </w:r>
    </w:p>
  </w:footnote>
  <w:footnote w:id="706">
    <w:p w14:paraId="14C42501" w14:textId="0F0C3980" w:rsidR="00336EDF" w:rsidRPr="009F470A" w:rsidRDefault="00336EDF" w:rsidP="009F470A">
      <w:pPr>
        <w:pStyle w:val="FootnoteText"/>
        <w:jc w:val="both"/>
        <w:rPr>
          <w:rFonts w:ascii="Times New Roman" w:hAnsi="Times New Roman" w:cs="Times New Roman"/>
        </w:rPr>
      </w:pPr>
      <w:r w:rsidRPr="009F470A">
        <w:rPr>
          <w:rStyle w:val="FootnoteReference"/>
          <w:rFonts w:ascii="Times New Roman" w:hAnsi="Times New Roman" w:cs="Times New Roman"/>
        </w:rPr>
        <w:footnoteRef/>
      </w:r>
      <w:r w:rsidRPr="009F470A">
        <w:rPr>
          <w:rFonts w:ascii="Times New Roman" w:hAnsi="Times New Roman" w:cs="Times New Roman"/>
        </w:rPr>
        <w:t xml:space="preserve"> </w:t>
      </w:r>
      <w:bookmarkStart w:id="994" w:name="f676"/>
      <w:bookmarkEnd w:id="994"/>
      <w:r w:rsidRPr="009F470A">
        <w:rPr>
          <w:rFonts w:ascii="Times New Roman" w:hAnsi="Times New Roman" w:cs="Times New Roman"/>
        </w:rPr>
        <w:t xml:space="preserve">In Florida, an </w:t>
      </w:r>
      <w:r>
        <w:rPr>
          <w:rFonts w:ascii="Times New Roman" w:hAnsi="Times New Roman" w:cs="Times New Roman"/>
        </w:rPr>
        <w:t>“</w:t>
      </w:r>
      <w:r w:rsidRPr="009F470A">
        <w:rPr>
          <w:rFonts w:ascii="Times New Roman" w:hAnsi="Times New Roman" w:cs="Times New Roman"/>
        </w:rPr>
        <w:t>independent medical examiner</w:t>
      </w:r>
      <w:r>
        <w:rPr>
          <w:rFonts w:ascii="Times New Roman" w:hAnsi="Times New Roman" w:cs="Times New Roman"/>
        </w:rPr>
        <w:t>”</w:t>
      </w:r>
      <w:r w:rsidRPr="009F470A">
        <w:rPr>
          <w:rFonts w:ascii="Times New Roman" w:hAnsi="Times New Roman" w:cs="Times New Roman"/>
        </w:rPr>
        <w:t xml:space="preserve"> is a party expert while an expert medical advisor (“EMA”) is a neutral. </w:t>
      </w:r>
      <w:r w:rsidRPr="009F470A">
        <w:rPr>
          <w:rFonts w:ascii="Times New Roman" w:hAnsi="Times New Roman" w:cs="Times New Roman"/>
          <w:i/>
          <w:iCs/>
        </w:rPr>
        <w:t>See</w:t>
      </w:r>
      <w:r w:rsidRPr="009F470A">
        <w:rPr>
          <w:rFonts w:ascii="Times New Roman" w:hAnsi="Times New Roman" w:cs="Times New Roman"/>
        </w:rPr>
        <w:t xml:space="preserve"> Fl. St. 440.13 (1)(i), 5(a) &amp; (9). In California, a neutral medical examiner is called a “QME,” a qualified medical evaluator. Calif. Labor Code § 4061.</w:t>
      </w:r>
    </w:p>
  </w:footnote>
  <w:footnote w:id="707">
    <w:p w14:paraId="6CEC5900" w14:textId="5D8CBB1F" w:rsidR="00336EDF" w:rsidRPr="00205857" w:rsidRDefault="00336EDF" w:rsidP="00205857">
      <w:pPr>
        <w:pStyle w:val="FootnoteText"/>
        <w:jc w:val="both"/>
        <w:rPr>
          <w:rFonts w:ascii="Times New Roman" w:hAnsi="Times New Roman" w:cs="Times New Roman"/>
        </w:rPr>
      </w:pPr>
      <w:r w:rsidRPr="00205857">
        <w:rPr>
          <w:rStyle w:val="FootnoteReference"/>
          <w:rFonts w:ascii="Times New Roman" w:hAnsi="Times New Roman" w:cs="Times New Roman"/>
        </w:rPr>
        <w:footnoteRef/>
      </w:r>
      <w:r>
        <w:t xml:space="preserve"> </w:t>
      </w:r>
      <w:bookmarkStart w:id="995" w:name="f677"/>
      <w:bookmarkEnd w:id="995"/>
      <w:r w:rsidRPr="00205857">
        <w:rPr>
          <w:rFonts w:ascii="Times New Roman" w:hAnsi="Times New Roman" w:cs="Times New Roman"/>
        </w:rPr>
        <w:t>Fl. St. § 440.13(9)(c),</w:t>
      </w:r>
      <w:r w:rsidRPr="00205857">
        <w:rPr>
          <w:rFonts w:ascii="Times New Roman" w:hAnsi="Times New Roman" w:cs="Times New Roman"/>
          <w:i/>
          <w:iCs/>
        </w:rPr>
        <w:t xml:space="preserve"> see</w:t>
      </w:r>
      <w:r w:rsidRPr="00205857">
        <w:rPr>
          <w:rFonts w:ascii="Times New Roman" w:hAnsi="Times New Roman" w:cs="Times New Roman"/>
        </w:rPr>
        <w:t xml:space="preserve"> Abreu v. Riverland Elementary School/Broward County School Board, No. 1D17-2755, (Fla. 1st DCA, June 18, 2019).</w:t>
      </w:r>
    </w:p>
  </w:footnote>
  <w:footnote w:id="708">
    <w:p w14:paraId="4ED04F1D" w14:textId="1BDE72ED" w:rsidR="00336EDF" w:rsidRDefault="00336EDF">
      <w:pPr>
        <w:pStyle w:val="FootnoteText"/>
      </w:pPr>
      <w:r w:rsidRPr="005235C0">
        <w:rPr>
          <w:rStyle w:val="FootnoteReference"/>
          <w:rFonts w:ascii="Times New Roman" w:hAnsi="Times New Roman" w:cs="Times New Roman"/>
        </w:rPr>
        <w:footnoteRef/>
      </w:r>
      <w:bookmarkStart w:id="996" w:name="f678"/>
      <w:bookmarkEnd w:id="996"/>
      <w:r w:rsidRPr="005235C0">
        <w:rPr>
          <w:rFonts w:ascii="Times New Roman" w:hAnsi="Times New Roman" w:cs="Times New Roman"/>
        </w:rPr>
        <w:t>39-A</w:t>
      </w:r>
      <w:r>
        <w:t xml:space="preserve"> </w:t>
      </w:r>
      <w:r w:rsidRPr="005235C0">
        <w:rPr>
          <w:rFonts w:ascii="Times New Roman" w:hAnsi="Times New Roman" w:cs="Times New Roman"/>
        </w:rPr>
        <w:t>M.R.S.A.</w:t>
      </w:r>
      <w:r>
        <w:rPr>
          <w:rFonts w:ascii="Times New Roman" w:hAnsi="Times New Roman" w:cs="Times New Roman"/>
        </w:rPr>
        <w:t xml:space="preserve"> </w:t>
      </w:r>
      <w:r w:rsidRPr="005235C0">
        <w:rPr>
          <w:rFonts w:ascii="Times New Roman" w:hAnsi="Times New Roman" w:cs="Times New Roman"/>
        </w:rPr>
        <w:t>§312</w:t>
      </w:r>
    </w:p>
  </w:footnote>
  <w:footnote w:id="709">
    <w:p w14:paraId="0CFA3207" w14:textId="189A1915" w:rsidR="00336EDF" w:rsidRDefault="00336EDF">
      <w:pPr>
        <w:pStyle w:val="FootnoteText"/>
      </w:pPr>
      <w:r w:rsidRPr="00C02F76">
        <w:rPr>
          <w:rStyle w:val="FootnoteReference"/>
          <w:rFonts w:ascii="Times New Roman" w:hAnsi="Times New Roman" w:cs="Times New Roman"/>
        </w:rPr>
        <w:footnoteRef/>
      </w:r>
      <w:r w:rsidRPr="00C02F76">
        <w:rPr>
          <w:rFonts w:ascii="Times New Roman" w:hAnsi="Times New Roman" w:cs="Times New Roman"/>
        </w:rPr>
        <w:t xml:space="preserve"> </w:t>
      </w:r>
      <w:bookmarkStart w:id="997" w:name="f679"/>
      <w:bookmarkEnd w:id="997"/>
      <w:r w:rsidRPr="00C02F76">
        <w:rPr>
          <w:rFonts w:ascii="Times New Roman" w:hAnsi="Times New Roman" w:cs="Times New Roman"/>
        </w:rPr>
        <w:t>UT ST § 34A-2-601(e)(i)</w:t>
      </w:r>
      <w:r>
        <w:rPr>
          <w:rFonts w:ascii="Times New Roman" w:hAnsi="Times New Roman" w:cs="Times New Roman"/>
        </w:rPr>
        <w:t xml:space="preserve"> &amp; (e)(ii)</w:t>
      </w:r>
    </w:p>
  </w:footnote>
  <w:footnote w:id="710">
    <w:p w14:paraId="29B26C63" w14:textId="2C17AA35" w:rsidR="00336EDF" w:rsidRPr="001C76B2" w:rsidRDefault="00336EDF" w:rsidP="001C76B2">
      <w:pPr>
        <w:pStyle w:val="FootnoteText"/>
        <w:jc w:val="both"/>
        <w:rPr>
          <w:rFonts w:ascii="Times New Roman" w:hAnsi="Times New Roman" w:cs="Times New Roman"/>
        </w:rPr>
      </w:pPr>
      <w:r w:rsidRPr="001C76B2">
        <w:rPr>
          <w:rStyle w:val="FootnoteReference"/>
          <w:rFonts w:ascii="Times New Roman" w:hAnsi="Times New Roman" w:cs="Times New Roman"/>
        </w:rPr>
        <w:footnoteRef/>
      </w:r>
      <w:r>
        <w:t xml:space="preserve"> </w:t>
      </w:r>
      <w:bookmarkStart w:id="998" w:name="f680"/>
      <w:bookmarkEnd w:id="998"/>
      <w:r w:rsidRPr="001C76B2">
        <w:rPr>
          <w:rFonts w:ascii="Times New Roman" w:hAnsi="Times New Roman" w:cs="Times New Roman"/>
        </w:rPr>
        <w:t xml:space="preserve">Workers’ Compensation Claim of Rodgers v. Workers’ Safety &amp; Compensation Div., </w:t>
      </w:r>
      <w:hyperlink r:id="rId274" w:history="1">
        <w:r w:rsidRPr="00E82F76">
          <w:rPr>
            <w:rStyle w:val="Hyperlink"/>
            <w:rFonts w:ascii="Times New Roman" w:hAnsi="Times New Roman" w:cs="Times New Roman"/>
          </w:rPr>
          <w:t>135 P.3d 568</w:t>
        </w:r>
      </w:hyperlink>
      <w:r w:rsidRPr="001C76B2">
        <w:rPr>
          <w:rFonts w:ascii="Times New Roman" w:hAnsi="Times New Roman" w:cs="Times New Roman"/>
        </w:rPr>
        <w:t xml:space="preserve">, 576 (Wyo. 2006) </w:t>
      </w:r>
      <w:r w:rsidRPr="001C76B2">
        <w:rPr>
          <w:rFonts w:ascii="Times New Roman" w:hAnsi="Times New Roman" w:cs="Times New Roman"/>
          <w:i/>
          <w:iCs/>
        </w:rPr>
        <w:t>citing</w:t>
      </w:r>
      <w:r w:rsidRPr="001C76B2">
        <w:rPr>
          <w:rFonts w:ascii="Times New Roman" w:hAnsi="Times New Roman" w:cs="Times New Roman"/>
        </w:rPr>
        <w:t xml:space="preserve"> Decker v. Medical Comm</w:t>
      </w:r>
      <w:r>
        <w:rPr>
          <w:rFonts w:ascii="Times New Roman" w:hAnsi="Times New Roman" w:cs="Times New Roman"/>
        </w:rPr>
        <w:t>’</w:t>
      </w:r>
      <w:r w:rsidRPr="001C76B2">
        <w:rPr>
          <w:rFonts w:ascii="Times New Roman" w:hAnsi="Times New Roman" w:cs="Times New Roman"/>
        </w:rPr>
        <w:t xml:space="preserve">n, </w:t>
      </w:r>
      <w:hyperlink r:id="rId275" w:history="1">
        <w:r w:rsidRPr="00E82F76">
          <w:rPr>
            <w:rStyle w:val="Hyperlink"/>
            <w:rFonts w:ascii="Times New Roman" w:hAnsi="Times New Roman" w:cs="Times New Roman"/>
          </w:rPr>
          <w:t>124 P.3d 686</w:t>
        </w:r>
      </w:hyperlink>
      <w:r w:rsidRPr="001C76B2">
        <w:rPr>
          <w:rFonts w:ascii="Times New Roman" w:hAnsi="Times New Roman" w:cs="Times New Roman"/>
        </w:rPr>
        <w:t xml:space="preserve">, 697 (Wyo.2005) </w:t>
      </w:r>
      <w:r w:rsidRPr="001C76B2">
        <w:rPr>
          <w:rFonts w:ascii="Times New Roman" w:hAnsi="Times New Roman" w:cs="Times New Roman"/>
          <w:i/>
          <w:iCs/>
        </w:rPr>
        <w:t>quoting</w:t>
      </w:r>
      <w:r w:rsidRPr="001C76B2">
        <w:rPr>
          <w:rFonts w:ascii="Times New Roman" w:hAnsi="Times New Roman" w:cs="Times New Roman"/>
        </w:rPr>
        <w:t xml:space="preserve"> Baxter v. Sinclair Oil Corp., </w:t>
      </w:r>
      <w:hyperlink r:id="rId276" w:history="1">
        <w:r w:rsidRPr="00E82F76">
          <w:rPr>
            <w:rStyle w:val="Hyperlink"/>
            <w:rFonts w:ascii="Times New Roman" w:hAnsi="Times New Roman" w:cs="Times New Roman"/>
          </w:rPr>
          <w:t>100 P.3d 427</w:t>
        </w:r>
      </w:hyperlink>
      <w:r w:rsidRPr="001C76B2">
        <w:rPr>
          <w:rFonts w:ascii="Times New Roman" w:hAnsi="Times New Roman" w:cs="Times New Roman"/>
        </w:rPr>
        <w:t xml:space="preserve">, 431 (Wyo.2004) and Bando v. Clure Bros. Furniture, </w:t>
      </w:r>
      <w:hyperlink r:id="rId277" w:history="1">
        <w:r w:rsidRPr="00E82F76">
          <w:rPr>
            <w:rStyle w:val="Hyperlink"/>
            <w:rFonts w:ascii="Times New Roman" w:hAnsi="Times New Roman" w:cs="Times New Roman"/>
          </w:rPr>
          <w:t>980 P.2d 323</w:t>
        </w:r>
      </w:hyperlink>
      <w:r w:rsidRPr="001C76B2">
        <w:rPr>
          <w:rFonts w:ascii="Times New Roman" w:hAnsi="Times New Roman" w:cs="Times New Roman"/>
        </w:rPr>
        <w:t>, 329 (Wyo.1999)</w:t>
      </w:r>
    </w:p>
  </w:footnote>
  <w:footnote w:id="711">
    <w:p w14:paraId="7560955A" w14:textId="730FAEA4" w:rsidR="00336EDF" w:rsidRDefault="00336EDF" w:rsidP="009238E1">
      <w:pPr>
        <w:pStyle w:val="FootnoteText"/>
        <w:jc w:val="both"/>
      </w:pPr>
      <w:r w:rsidRPr="00BD6DB5">
        <w:rPr>
          <w:rStyle w:val="FootnoteReference"/>
          <w:rFonts w:ascii="Times New Roman" w:hAnsi="Times New Roman" w:cs="Times New Roman"/>
        </w:rPr>
        <w:footnoteRef/>
      </w:r>
      <w:r>
        <w:t xml:space="preserve"> </w:t>
      </w:r>
      <w:bookmarkStart w:id="1000" w:name="f681"/>
      <w:bookmarkEnd w:id="1000"/>
      <w:r w:rsidRPr="009238E1">
        <w:rPr>
          <w:rFonts w:ascii="Times New Roman" w:hAnsi="Times New Roman" w:cs="Times New Roman"/>
        </w:rPr>
        <w:t>The binding effect of a judgment as to matters actually litigated and determined in one action on later controversies between the parties involving a different claim from that on which the original judgment was based.</w:t>
      </w:r>
      <w:r>
        <w:rPr>
          <w:rFonts w:ascii="Times New Roman" w:hAnsi="Times New Roman" w:cs="Times New Roman"/>
        </w:rPr>
        <w:t xml:space="preserve"> </w:t>
      </w:r>
      <w:bookmarkStart w:id="1001" w:name="_Hlk11929537"/>
      <w:r w:rsidRPr="00E82F76">
        <w:rPr>
          <w:rFonts w:ascii="Times New Roman" w:hAnsi="Times New Roman" w:cs="Times New Roman"/>
          <w:smallCaps/>
        </w:rPr>
        <w:t>Black’s Law Dictionary</w:t>
      </w:r>
      <w:r>
        <w:rPr>
          <w:rFonts w:ascii="Times New Roman" w:hAnsi="Times New Roman" w:cs="Times New Roman"/>
        </w:rPr>
        <w:t xml:space="preserve"> (11</w:t>
      </w:r>
      <w:r w:rsidRPr="00BD6DB5">
        <w:rPr>
          <w:rFonts w:ascii="Times New Roman" w:hAnsi="Times New Roman" w:cs="Times New Roman"/>
          <w:vertAlign w:val="superscript"/>
        </w:rPr>
        <w:t>th</w:t>
      </w:r>
      <w:r>
        <w:rPr>
          <w:rFonts w:ascii="Times New Roman" w:hAnsi="Times New Roman" w:cs="Times New Roman"/>
        </w:rPr>
        <w:t xml:space="preserve"> ed. 2019)</w:t>
      </w:r>
    </w:p>
    <w:bookmarkEnd w:id="1001"/>
  </w:footnote>
  <w:footnote w:id="712">
    <w:p w14:paraId="5E1C70BC" w14:textId="719ACEAE" w:rsidR="00336EDF" w:rsidRPr="00BD6DB5" w:rsidRDefault="00336EDF" w:rsidP="00BD6DB5">
      <w:pPr>
        <w:pStyle w:val="FootnoteText"/>
        <w:jc w:val="both"/>
        <w:rPr>
          <w:rFonts w:ascii="Times New Roman" w:hAnsi="Times New Roman" w:cs="Times New Roman"/>
        </w:rPr>
      </w:pPr>
      <w:r w:rsidRPr="00BD6DB5">
        <w:rPr>
          <w:rStyle w:val="FootnoteReference"/>
          <w:rFonts w:ascii="Times New Roman" w:hAnsi="Times New Roman" w:cs="Times New Roman"/>
        </w:rPr>
        <w:footnoteRef/>
      </w:r>
      <w:r w:rsidRPr="00BD6DB5">
        <w:rPr>
          <w:rFonts w:ascii="Times New Roman" w:hAnsi="Times New Roman" w:cs="Times New Roman"/>
        </w:rPr>
        <w:t xml:space="preserve"> </w:t>
      </w:r>
      <w:bookmarkStart w:id="1002" w:name="f682"/>
      <w:bookmarkEnd w:id="1002"/>
      <w:r w:rsidRPr="00BD6DB5">
        <w:rPr>
          <w:rFonts w:ascii="Times New Roman" w:hAnsi="Times New Roman" w:cs="Times New Roman"/>
        </w:rPr>
        <w:t>An affirmative defense barring the same parties from litigating a second lawsuit on the same claim, or any other claim arising from the same transaction or series of transactions and that could have been — but was not — raised in the first suit.</w:t>
      </w:r>
      <w:r>
        <w:rPr>
          <w:rFonts w:ascii="Times New Roman" w:hAnsi="Times New Roman" w:cs="Times New Roman"/>
        </w:rPr>
        <w:t xml:space="preserve"> </w:t>
      </w:r>
      <w:r w:rsidRPr="00E82F76">
        <w:rPr>
          <w:rFonts w:ascii="Times New Roman" w:hAnsi="Times New Roman" w:cs="Times New Roman"/>
          <w:smallCaps/>
        </w:rPr>
        <w:t>Black’s Law Dictionary</w:t>
      </w:r>
      <w:r>
        <w:rPr>
          <w:rFonts w:ascii="Times New Roman" w:hAnsi="Times New Roman" w:cs="Times New Roman"/>
        </w:rPr>
        <w:t xml:space="preserve"> (11</w:t>
      </w:r>
      <w:r w:rsidRPr="00BD6DB5">
        <w:rPr>
          <w:rFonts w:ascii="Times New Roman" w:hAnsi="Times New Roman" w:cs="Times New Roman"/>
          <w:vertAlign w:val="superscript"/>
        </w:rPr>
        <w:t>th</w:t>
      </w:r>
      <w:r>
        <w:rPr>
          <w:rFonts w:ascii="Times New Roman" w:hAnsi="Times New Roman" w:cs="Times New Roman"/>
        </w:rPr>
        <w:t xml:space="preserve"> ed. 2019)</w:t>
      </w:r>
    </w:p>
  </w:footnote>
  <w:footnote w:id="713">
    <w:p w14:paraId="263C4521" w14:textId="6E8B1E40" w:rsidR="00336EDF" w:rsidRDefault="00336EDF">
      <w:pPr>
        <w:pStyle w:val="FootnoteText"/>
      </w:pPr>
      <w:r w:rsidRPr="009917B9">
        <w:rPr>
          <w:rStyle w:val="FootnoteReference"/>
          <w:rFonts w:ascii="Times New Roman" w:hAnsi="Times New Roman" w:cs="Times New Roman"/>
        </w:rPr>
        <w:footnoteRef/>
      </w:r>
      <w:r>
        <w:t xml:space="preserve"> </w:t>
      </w:r>
      <w:bookmarkStart w:id="1003" w:name="f683"/>
      <w:bookmarkEnd w:id="1003"/>
      <w:r w:rsidRPr="009917B9">
        <w:rPr>
          <w:rFonts w:ascii="Times New Roman" w:hAnsi="Times New Roman" w:cs="Times New Roman"/>
        </w:rPr>
        <w:t xml:space="preserve">Slavens v. Bd. of County Comm'rs for Uinta County, </w:t>
      </w:r>
      <w:hyperlink r:id="rId278" w:history="1">
        <w:r w:rsidRPr="00E82F76">
          <w:rPr>
            <w:rStyle w:val="Hyperlink"/>
            <w:rFonts w:ascii="Times New Roman" w:hAnsi="Times New Roman" w:cs="Times New Roman"/>
          </w:rPr>
          <w:t>854 P.2d 683</w:t>
        </w:r>
      </w:hyperlink>
      <w:r w:rsidRPr="009917B9">
        <w:rPr>
          <w:rFonts w:ascii="Times New Roman" w:hAnsi="Times New Roman" w:cs="Times New Roman"/>
        </w:rPr>
        <w:t>, 685–86 (Wyo.1993).</w:t>
      </w:r>
    </w:p>
  </w:footnote>
  <w:footnote w:id="714">
    <w:p w14:paraId="7603CF1B" w14:textId="0B5F368E" w:rsidR="00336EDF" w:rsidRDefault="00336EDF">
      <w:pPr>
        <w:pStyle w:val="FootnoteText"/>
      </w:pPr>
      <w:r w:rsidRPr="006B625C">
        <w:rPr>
          <w:rStyle w:val="FootnoteReference"/>
          <w:rFonts w:ascii="Times New Roman" w:hAnsi="Times New Roman" w:cs="Times New Roman"/>
        </w:rPr>
        <w:footnoteRef/>
      </w:r>
      <w:r>
        <w:t xml:space="preserve"> </w:t>
      </w:r>
      <w:bookmarkStart w:id="1004" w:name="f684"/>
      <w:bookmarkStart w:id="1005" w:name="_Hlk11951772"/>
      <w:bookmarkEnd w:id="1004"/>
      <w:r w:rsidRPr="006B625C">
        <w:rPr>
          <w:rFonts w:ascii="Times New Roman" w:hAnsi="Times New Roman" w:cs="Times New Roman"/>
        </w:rPr>
        <w:t xml:space="preserve">Jacobs v. Workers’ Safety &amp; Comp. Div., </w:t>
      </w:r>
      <w:hyperlink r:id="rId279" w:history="1">
        <w:r w:rsidRPr="00E82F76">
          <w:rPr>
            <w:rStyle w:val="Hyperlink"/>
            <w:rFonts w:ascii="Times New Roman" w:hAnsi="Times New Roman" w:cs="Times New Roman"/>
          </w:rPr>
          <w:t>216 P.3d 1128</w:t>
        </w:r>
      </w:hyperlink>
      <w:r w:rsidRPr="006B625C">
        <w:rPr>
          <w:rFonts w:ascii="Times New Roman" w:hAnsi="Times New Roman" w:cs="Times New Roman"/>
        </w:rPr>
        <w:t>, 1132 (Wyo. 2009)</w:t>
      </w:r>
      <w:r>
        <w:t xml:space="preserve"> </w:t>
      </w:r>
      <w:bookmarkEnd w:id="1005"/>
    </w:p>
  </w:footnote>
  <w:footnote w:id="715">
    <w:p w14:paraId="15620FAA" w14:textId="034E8ED4" w:rsidR="00336EDF" w:rsidRDefault="00336EDF" w:rsidP="00BD6DB5">
      <w:pPr>
        <w:pStyle w:val="FootnoteText"/>
        <w:jc w:val="both"/>
      </w:pPr>
      <w:r w:rsidRPr="00BD6DB5">
        <w:rPr>
          <w:rStyle w:val="FootnoteReference"/>
          <w:rFonts w:ascii="Times New Roman" w:hAnsi="Times New Roman" w:cs="Times New Roman"/>
        </w:rPr>
        <w:footnoteRef/>
      </w:r>
      <w:r>
        <w:t xml:space="preserve"> </w:t>
      </w:r>
      <w:bookmarkStart w:id="1006" w:name="f685"/>
      <w:bookmarkEnd w:id="1006"/>
      <w:r w:rsidRPr="00BD6DB5">
        <w:rPr>
          <w:rFonts w:ascii="Times New Roman" w:hAnsi="Times New Roman" w:cs="Times New Roman"/>
          <w:i/>
          <w:iCs/>
        </w:rPr>
        <w:t>See e.g.</w:t>
      </w:r>
      <w:r w:rsidRPr="00BD6DB5">
        <w:rPr>
          <w:rFonts w:ascii="Times New Roman" w:hAnsi="Times New Roman" w:cs="Times New Roman"/>
        </w:rPr>
        <w:t xml:space="preserve"> Salt Creek Freightways v. Wyo. Fair Employment Practices Comm</w:t>
      </w:r>
      <w:r>
        <w:rPr>
          <w:rFonts w:ascii="Times New Roman" w:hAnsi="Times New Roman" w:cs="Times New Roman"/>
        </w:rPr>
        <w:t>’</w:t>
      </w:r>
      <w:r w:rsidRPr="00BD6DB5">
        <w:rPr>
          <w:rFonts w:ascii="Times New Roman" w:hAnsi="Times New Roman" w:cs="Times New Roman"/>
        </w:rPr>
        <w:t xml:space="preserve">n, </w:t>
      </w:r>
      <w:hyperlink r:id="rId280" w:history="1">
        <w:r w:rsidRPr="00E82F76">
          <w:rPr>
            <w:rStyle w:val="Hyperlink"/>
            <w:rFonts w:ascii="Times New Roman" w:hAnsi="Times New Roman" w:cs="Times New Roman"/>
          </w:rPr>
          <w:t>598 P.2d 435</w:t>
        </w:r>
      </w:hyperlink>
      <w:r w:rsidRPr="00BD6DB5">
        <w:rPr>
          <w:rFonts w:ascii="Times New Roman" w:hAnsi="Times New Roman" w:cs="Times New Roman"/>
        </w:rPr>
        <w:t>, 437 (Wyo.1979)</w:t>
      </w:r>
    </w:p>
  </w:footnote>
  <w:footnote w:id="716">
    <w:p w14:paraId="137AC058" w14:textId="437BAB06" w:rsidR="00336EDF" w:rsidRDefault="00336EDF">
      <w:pPr>
        <w:pStyle w:val="FootnoteText"/>
      </w:pPr>
      <w:r w:rsidRPr="006D4F34">
        <w:rPr>
          <w:rStyle w:val="FootnoteReference"/>
          <w:rFonts w:ascii="Times New Roman" w:hAnsi="Times New Roman" w:cs="Times New Roman"/>
        </w:rPr>
        <w:footnoteRef/>
      </w:r>
      <w:r>
        <w:t xml:space="preserve"> </w:t>
      </w:r>
      <w:bookmarkStart w:id="1007" w:name="f686"/>
      <w:bookmarkEnd w:id="1007"/>
      <w:r w:rsidRPr="006D4F34">
        <w:rPr>
          <w:rFonts w:ascii="Times New Roman" w:hAnsi="Times New Roman" w:cs="Times New Roman"/>
        </w:rPr>
        <w:t xml:space="preserve">Parklane Hosiery Co., Inc. v. Shore, </w:t>
      </w:r>
      <w:hyperlink r:id="rId281" w:history="1">
        <w:r w:rsidRPr="00E82F76">
          <w:rPr>
            <w:rStyle w:val="Hyperlink"/>
            <w:rFonts w:ascii="Times New Roman" w:hAnsi="Times New Roman" w:cs="Times New Roman"/>
          </w:rPr>
          <w:t>439 U.S. 322</w:t>
        </w:r>
      </w:hyperlink>
      <w:r w:rsidRPr="006D4F34">
        <w:rPr>
          <w:rFonts w:ascii="Times New Roman" w:hAnsi="Times New Roman" w:cs="Times New Roman"/>
        </w:rPr>
        <w:t>, 326, n.5 (1979)</w:t>
      </w:r>
    </w:p>
  </w:footnote>
  <w:footnote w:id="717">
    <w:p w14:paraId="45D75AD1" w14:textId="3C18D789" w:rsidR="00336EDF" w:rsidRDefault="00336EDF">
      <w:pPr>
        <w:pStyle w:val="FootnoteText"/>
      </w:pPr>
      <w:r w:rsidRPr="006D4F34">
        <w:rPr>
          <w:rStyle w:val="FootnoteReference"/>
          <w:rFonts w:ascii="Times New Roman" w:hAnsi="Times New Roman" w:cs="Times New Roman"/>
        </w:rPr>
        <w:footnoteRef/>
      </w:r>
      <w:r w:rsidRPr="006D4F34">
        <w:rPr>
          <w:rFonts w:ascii="Times New Roman" w:hAnsi="Times New Roman" w:cs="Times New Roman"/>
        </w:rPr>
        <w:t xml:space="preserve"> </w:t>
      </w:r>
      <w:bookmarkStart w:id="1008" w:name="f687"/>
      <w:bookmarkEnd w:id="1008"/>
      <w:r w:rsidRPr="006D4F34">
        <w:rPr>
          <w:rFonts w:ascii="Times New Roman" w:hAnsi="Times New Roman" w:cs="Times New Roman"/>
        </w:rPr>
        <w:t xml:space="preserve">Slavens, </w:t>
      </w:r>
      <w:r w:rsidRPr="006D4F34">
        <w:rPr>
          <w:rFonts w:ascii="Times New Roman" w:hAnsi="Times New Roman" w:cs="Times New Roman"/>
          <w:i/>
          <w:iCs/>
        </w:rPr>
        <w:t>supra</w:t>
      </w:r>
      <w:r>
        <w:rPr>
          <w:rFonts w:ascii="Times New Roman" w:hAnsi="Times New Roman" w:cs="Times New Roman"/>
        </w:rPr>
        <w:t xml:space="preserve">. at </w:t>
      </w:r>
      <w:r w:rsidRPr="006D4F34">
        <w:rPr>
          <w:rFonts w:ascii="Times New Roman" w:hAnsi="Times New Roman" w:cs="Times New Roman"/>
        </w:rPr>
        <w:t>854 P.2d at 685–86</w:t>
      </w:r>
    </w:p>
  </w:footnote>
  <w:footnote w:id="718">
    <w:p w14:paraId="15FEC80C" w14:textId="0F6D4E38" w:rsidR="00336EDF" w:rsidRDefault="00336EDF" w:rsidP="00C868D1">
      <w:pPr>
        <w:pStyle w:val="FootnoteText"/>
        <w:jc w:val="both"/>
      </w:pPr>
      <w:r w:rsidRPr="00C868D1">
        <w:rPr>
          <w:rStyle w:val="FootnoteReference"/>
          <w:rFonts w:ascii="Times New Roman" w:hAnsi="Times New Roman" w:cs="Times New Roman"/>
        </w:rPr>
        <w:footnoteRef/>
      </w:r>
      <w:r w:rsidRPr="00C868D1">
        <w:rPr>
          <w:rFonts w:ascii="Times New Roman" w:hAnsi="Times New Roman" w:cs="Times New Roman"/>
        </w:rPr>
        <w:t xml:space="preserve"> </w:t>
      </w:r>
      <w:bookmarkStart w:id="1010" w:name="f688"/>
      <w:bookmarkEnd w:id="1010"/>
      <w:r w:rsidRPr="00C868D1">
        <w:rPr>
          <w:rFonts w:ascii="Times New Roman" w:hAnsi="Times New Roman" w:cs="Times New Roman"/>
        </w:rPr>
        <w:t xml:space="preserve">Wilkinson v. Workers Safety </w:t>
      </w:r>
      <w:r>
        <w:rPr>
          <w:rFonts w:ascii="Times New Roman" w:hAnsi="Times New Roman" w:cs="Times New Roman"/>
        </w:rPr>
        <w:t xml:space="preserve">&amp; </w:t>
      </w:r>
      <w:r w:rsidRPr="00C868D1">
        <w:rPr>
          <w:rFonts w:ascii="Times New Roman" w:hAnsi="Times New Roman" w:cs="Times New Roman"/>
        </w:rPr>
        <w:t xml:space="preserve">Comp. Div., </w:t>
      </w:r>
      <w:hyperlink r:id="rId282" w:history="1">
        <w:r w:rsidRPr="00E82F76">
          <w:rPr>
            <w:rStyle w:val="Hyperlink"/>
            <w:rFonts w:ascii="Times New Roman" w:hAnsi="Times New Roman" w:cs="Times New Roman"/>
          </w:rPr>
          <w:t>991 P.2d 1228</w:t>
        </w:r>
      </w:hyperlink>
      <w:r w:rsidRPr="00C868D1">
        <w:rPr>
          <w:rFonts w:ascii="Times New Roman" w:hAnsi="Times New Roman" w:cs="Times New Roman"/>
        </w:rPr>
        <w:t>, 1234 (Wyo.1999)</w:t>
      </w:r>
      <w:r>
        <w:rPr>
          <w:rFonts w:ascii="Times New Roman" w:hAnsi="Times New Roman" w:cs="Times New Roman"/>
        </w:rPr>
        <w:t xml:space="preserve"> </w:t>
      </w:r>
      <w:r w:rsidRPr="00C868D1">
        <w:rPr>
          <w:rFonts w:ascii="Times New Roman" w:hAnsi="Times New Roman" w:cs="Times New Roman"/>
          <w:i/>
          <w:iCs/>
        </w:rPr>
        <w:t>see also</w:t>
      </w:r>
      <w:r>
        <w:rPr>
          <w:rFonts w:ascii="Times New Roman" w:hAnsi="Times New Roman" w:cs="Times New Roman"/>
        </w:rPr>
        <w:t xml:space="preserve"> Tozzi v. Moffett, </w:t>
      </w:r>
      <w:hyperlink r:id="rId283" w:history="1">
        <w:r w:rsidRPr="00E82F76">
          <w:rPr>
            <w:rStyle w:val="Hyperlink"/>
            <w:rFonts w:ascii="Times New Roman" w:hAnsi="Times New Roman" w:cs="Times New Roman"/>
          </w:rPr>
          <w:t>430 P.3d 754</w:t>
        </w:r>
      </w:hyperlink>
      <w:r>
        <w:rPr>
          <w:rFonts w:ascii="Times New Roman" w:hAnsi="Times New Roman" w:cs="Times New Roman"/>
        </w:rPr>
        <w:t xml:space="preserve">, 760 (Wyo. 2018) </w:t>
      </w:r>
    </w:p>
  </w:footnote>
  <w:footnote w:id="719">
    <w:p w14:paraId="43238C71" w14:textId="124B0E4E" w:rsidR="00336EDF" w:rsidRDefault="00336EDF">
      <w:pPr>
        <w:pStyle w:val="FootnoteText"/>
      </w:pPr>
      <w:r w:rsidRPr="00D05EDC">
        <w:rPr>
          <w:rStyle w:val="FootnoteReference"/>
          <w:rFonts w:ascii="Times New Roman" w:hAnsi="Times New Roman" w:cs="Times New Roman"/>
        </w:rPr>
        <w:footnoteRef/>
      </w:r>
      <w:r w:rsidRPr="00D05EDC">
        <w:rPr>
          <w:rFonts w:ascii="Times New Roman" w:hAnsi="Times New Roman" w:cs="Times New Roman"/>
        </w:rPr>
        <w:t xml:space="preserve"> </w:t>
      </w:r>
      <w:bookmarkStart w:id="1011" w:name="f689"/>
      <w:bookmarkEnd w:id="1011"/>
      <w:r w:rsidRPr="00D05EDC">
        <w:rPr>
          <w:rFonts w:ascii="Times New Roman" w:hAnsi="Times New Roman" w:cs="Times New Roman"/>
        </w:rPr>
        <w:t xml:space="preserve">Moore v. Moore, </w:t>
      </w:r>
      <w:hyperlink r:id="rId284" w:history="1">
        <w:r w:rsidRPr="0040368D">
          <w:rPr>
            <w:rStyle w:val="Hyperlink"/>
            <w:rFonts w:ascii="Times New Roman" w:hAnsi="Times New Roman" w:cs="Times New Roman"/>
          </w:rPr>
          <w:t>835 P.2d 1148</w:t>
        </w:r>
      </w:hyperlink>
      <w:r w:rsidRPr="00D05EDC">
        <w:rPr>
          <w:rFonts w:ascii="Times New Roman" w:hAnsi="Times New Roman" w:cs="Times New Roman"/>
        </w:rPr>
        <w:t>, 1151 (Wyo. 1992)</w:t>
      </w:r>
    </w:p>
  </w:footnote>
  <w:footnote w:id="720">
    <w:p w14:paraId="72F734FE" w14:textId="243893E9" w:rsidR="00336EDF" w:rsidRDefault="00336EDF">
      <w:pPr>
        <w:pStyle w:val="FootnoteText"/>
      </w:pPr>
      <w:r w:rsidRPr="00B401C1">
        <w:rPr>
          <w:rStyle w:val="FootnoteReference"/>
          <w:rFonts w:ascii="Times New Roman" w:hAnsi="Times New Roman" w:cs="Times New Roman"/>
        </w:rPr>
        <w:footnoteRef/>
      </w:r>
      <w:r>
        <w:t xml:space="preserve"> </w:t>
      </w:r>
      <w:bookmarkStart w:id="1012" w:name="f690"/>
      <w:bookmarkEnd w:id="1012"/>
      <w:r w:rsidRPr="00B401C1">
        <w:rPr>
          <w:rFonts w:ascii="Times New Roman" w:hAnsi="Times New Roman" w:cs="Times New Roman"/>
        </w:rPr>
        <w:t>Tozzi v. Moffett, supra., 430 P.3d at 760.</w:t>
      </w:r>
    </w:p>
  </w:footnote>
  <w:footnote w:id="721">
    <w:p w14:paraId="3AFFE912" w14:textId="06878593" w:rsidR="00336EDF" w:rsidRDefault="00336EDF">
      <w:pPr>
        <w:pStyle w:val="FootnoteText"/>
      </w:pPr>
      <w:r w:rsidRPr="008B3190">
        <w:rPr>
          <w:rStyle w:val="FootnoteReference"/>
          <w:rFonts w:ascii="Times New Roman" w:hAnsi="Times New Roman" w:cs="Times New Roman"/>
        </w:rPr>
        <w:footnoteRef/>
      </w:r>
      <w:r>
        <w:t xml:space="preserve"> </w:t>
      </w:r>
      <w:bookmarkStart w:id="1013" w:name="f691"/>
      <w:bookmarkStart w:id="1014" w:name="_Hlk11945603"/>
      <w:bookmarkEnd w:id="1013"/>
      <w:r>
        <w:rPr>
          <w:rFonts w:ascii="Times New Roman" w:hAnsi="Times New Roman" w:cs="Times New Roman"/>
        </w:rPr>
        <w:fldChar w:fldCharType="begin"/>
      </w:r>
      <w:r>
        <w:rPr>
          <w:rFonts w:ascii="Times New Roman" w:hAnsi="Times New Roman" w:cs="Times New Roman"/>
        </w:rPr>
        <w:instrText xml:space="preserve"> HYPERLINK "https://www.leagle.com/decision/inwyco20170613e03" </w:instrText>
      </w:r>
      <w:r>
        <w:rPr>
          <w:rFonts w:ascii="Times New Roman" w:hAnsi="Times New Roman" w:cs="Times New Roman"/>
        </w:rPr>
        <w:fldChar w:fldCharType="separate"/>
      </w:r>
      <w:r w:rsidRPr="0040368D">
        <w:rPr>
          <w:rStyle w:val="Hyperlink"/>
          <w:rFonts w:ascii="Times New Roman" w:hAnsi="Times New Roman" w:cs="Times New Roman"/>
        </w:rPr>
        <w:t>396 P.3d 999</w:t>
      </w:r>
      <w:r>
        <w:rPr>
          <w:rFonts w:ascii="Times New Roman" w:hAnsi="Times New Roman" w:cs="Times New Roman"/>
        </w:rPr>
        <w:fldChar w:fldCharType="end"/>
      </w:r>
      <w:r w:rsidRPr="008B3190">
        <w:rPr>
          <w:rFonts w:ascii="Times New Roman" w:hAnsi="Times New Roman" w:cs="Times New Roman"/>
        </w:rPr>
        <w:t xml:space="preserve"> </w:t>
      </w:r>
      <w:bookmarkEnd w:id="1014"/>
      <w:r w:rsidRPr="008B3190">
        <w:rPr>
          <w:rFonts w:ascii="Times New Roman" w:hAnsi="Times New Roman" w:cs="Times New Roman"/>
        </w:rPr>
        <w:t>(Wyo. 2017)</w:t>
      </w:r>
    </w:p>
  </w:footnote>
  <w:footnote w:id="722">
    <w:p w14:paraId="44ADC77A" w14:textId="245C2714" w:rsidR="00336EDF" w:rsidRDefault="00336EDF">
      <w:pPr>
        <w:pStyle w:val="FootnoteText"/>
      </w:pPr>
      <w:r w:rsidRPr="008B3190">
        <w:rPr>
          <w:rStyle w:val="FootnoteReference"/>
          <w:rFonts w:ascii="Times New Roman" w:hAnsi="Times New Roman" w:cs="Times New Roman"/>
        </w:rPr>
        <w:footnoteRef/>
      </w:r>
      <w:r>
        <w:t xml:space="preserve"> </w:t>
      </w:r>
      <w:bookmarkStart w:id="1015" w:name="f692"/>
      <w:bookmarkEnd w:id="1015"/>
      <w:r w:rsidRPr="008B3190">
        <w:rPr>
          <w:rFonts w:ascii="Times New Roman" w:hAnsi="Times New Roman" w:cs="Times New Roman"/>
          <w:i/>
          <w:iCs/>
        </w:rPr>
        <w:t>Id</w:t>
      </w:r>
      <w:r w:rsidRPr="008B3190">
        <w:rPr>
          <w:rFonts w:ascii="Times New Roman" w:hAnsi="Times New Roman" w:cs="Times New Roman"/>
        </w:rPr>
        <w:t>. at 1000</w:t>
      </w:r>
    </w:p>
  </w:footnote>
  <w:footnote w:id="723">
    <w:p w14:paraId="7D72E060" w14:textId="07902C59" w:rsidR="00336EDF" w:rsidRDefault="00336EDF">
      <w:pPr>
        <w:pStyle w:val="FootnoteText"/>
      </w:pPr>
      <w:r w:rsidRPr="008B3190">
        <w:rPr>
          <w:rStyle w:val="FootnoteReference"/>
          <w:rFonts w:ascii="Times New Roman" w:hAnsi="Times New Roman" w:cs="Times New Roman"/>
        </w:rPr>
        <w:footnoteRef/>
      </w:r>
      <w:r>
        <w:t xml:space="preserve"> </w:t>
      </w:r>
      <w:bookmarkStart w:id="1016" w:name="f693"/>
      <w:bookmarkEnd w:id="1016"/>
      <w:r w:rsidRPr="008B3190">
        <w:rPr>
          <w:rFonts w:ascii="Times New Roman" w:hAnsi="Times New Roman" w:cs="Times New Roman"/>
          <w:i/>
          <w:iCs/>
        </w:rPr>
        <w:t>Id.</w:t>
      </w:r>
    </w:p>
  </w:footnote>
  <w:footnote w:id="724">
    <w:p w14:paraId="55D74C7F" w14:textId="5BA6DF31" w:rsidR="00336EDF" w:rsidRDefault="00336EDF">
      <w:pPr>
        <w:pStyle w:val="FootnoteText"/>
      </w:pPr>
      <w:r w:rsidRPr="008B3190">
        <w:rPr>
          <w:rStyle w:val="FootnoteReference"/>
          <w:rFonts w:ascii="Times New Roman" w:hAnsi="Times New Roman" w:cs="Times New Roman"/>
        </w:rPr>
        <w:footnoteRef/>
      </w:r>
      <w:r>
        <w:t xml:space="preserve"> </w:t>
      </w:r>
      <w:bookmarkStart w:id="1017" w:name="f694"/>
      <w:bookmarkEnd w:id="1017"/>
      <w:r w:rsidRPr="008B3190">
        <w:rPr>
          <w:rFonts w:ascii="Times New Roman" w:hAnsi="Times New Roman" w:cs="Times New Roman"/>
          <w:i/>
          <w:iCs/>
        </w:rPr>
        <w:t>Id.</w:t>
      </w:r>
    </w:p>
  </w:footnote>
  <w:footnote w:id="725">
    <w:p w14:paraId="14CD200C" w14:textId="26BDF048" w:rsidR="00336EDF" w:rsidRDefault="00336EDF">
      <w:pPr>
        <w:pStyle w:val="FootnoteText"/>
      </w:pPr>
      <w:r w:rsidRPr="008A6A81">
        <w:rPr>
          <w:rStyle w:val="FootnoteReference"/>
          <w:rFonts w:ascii="Times New Roman" w:hAnsi="Times New Roman" w:cs="Times New Roman"/>
        </w:rPr>
        <w:footnoteRef/>
      </w:r>
      <w:r>
        <w:t xml:space="preserve"> </w:t>
      </w:r>
      <w:bookmarkStart w:id="1018" w:name="f695"/>
      <w:bookmarkEnd w:id="1018"/>
      <w:r w:rsidRPr="008A6A81">
        <w:rPr>
          <w:rFonts w:ascii="Times New Roman" w:hAnsi="Times New Roman" w:cs="Times New Roman"/>
          <w:i/>
          <w:iCs/>
        </w:rPr>
        <w:t>Id.</w:t>
      </w:r>
      <w:r>
        <w:t xml:space="preserve"> </w:t>
      </w:r>
    </w:p>
  </w:footnote>
  <w:footnote w:id="726">
    <w:p w14:paraId="013750CC" w14:textId="155B127E" w:rsidR="00336EDF" w:rsidRDefault="00336EDF">
      <w:pPr>
        <w:pStyle w:val="FootnoteText"/>
      </w:pPr>
      <w:r w:rsidRPr="00D871B6">
        <w:rPr>
          <w:rStyle w:val="FootnoteReference"/>
          <w:rFonts w:ascii="Times New Roman" w:hAnsi="Times New Roman" w:cs="Times New Roman"/>
        </w:rPr>
        <w:footnoteRef/>
      </w:r>
      <w:r>
        <w:t xml:space="preserve"> </w:t>
      </w:r>
      <w:bookmarkStart w:id="1019" w:name="f696"/>
      <w:bookmarkEnd w:id="1019"/>
      <w:r w:rsidRPr="00D871B6">
        <w:rPr>
          <w:rFonts w:ascii="Times New Roman" w:hAnsi="Times New Roman" w:cs="Times New Roman"/>
          <w:i/>
          <w:iCs/>
        </w:rPr>
        <w:t>Id.</w:t>
      </w:r>
    </w:p>
  </w:footnote>
  <w:footnote w:id="727">
    <w:p w14:paraId="063FF3F5" w14:textId="0BD89B87" w:rsidR="00336EDF" w:rsidRPr="00D871B6" w:rsidRDefault="00336EDF" w:rsidP="00D871B6">
      <w:pPr>
        <w:pStyle w:val="FootnoteText"/>
        <w:jc w:val="both"/>
        <w:rPr>
          <w:rFonts w:ascii="Times New Roman" w:hAnsi="Times New Roman" w:cs="Times New Roman"/>
        </w:rPr>
      </w:pPr>
      <w:r w:rsidRPr="00D871B6">
        <w:rPr>
          <w:rStyle w:val="FootnoteReference"/>
          <w:rFonts w:ascii="Times New Roman" w:hAnsi="Times New Roman" w:cs="Times New Roman"/>
        </w:rPr>
        <w:footnoteRef/>
      </w:r>
      <w:r>
        <w:t xml:space="preserve"> </w:t>
      </w:r>
      <w:bookmarkStart w:id="1020" w:name="f697"/>
      <w:bookmarkEnd w:id="1020"/>
      <w:r w:rsidRPr="00D871B6">
        <w:rPr>
          <w:rFonts w:ascii="Times New Roman" w:hAnsi="Times New Roman" w:cs="Times New Roman"/>
          <w:i/>
          <w:iCs/>
        </w:rPr>
        <w:t>Id</w:t>
      </w:r>
      <w:r w:rsidRPr="00D871B6">
        <w:rPr>
          <w:rFonts w:ascii="Times New Roman" w:hAnsi="Times New Roman" w:cs="Times New Roman"/>
        </w:rPr>
        <w:t xml:space="preserve">. </w:t>
      </w:r>
      <w:r w:rsidRPr="0040368D">
        <w:rPr>
          <w:rFonts w:ascii="Times New Roman" w:hAnsi="Times New Roman" w:cs="Times New Roman"/>
          <w:i/>
          <w:iCs/>
        </w:rPr>
        <w:t>citing</w:t>
      </w:r>
      <w:r w:rsidRPr="00D871B6">
        <w:rPr>
          <w:rFonts w:ascii="Times New Roman" w:hAnsi="Times New Roman" w:cs="Times New Roman"/>
        </w:rPr>
        <w:t xml:space="preserve"> Matter of Claim of Hood v. Dep’t of Workforce Servs., </w:t>
      </w:r>
      <w:hyperlink r:id="rId285" w:history="1">
        <w:r w:rsidRPr="0040368D">
          <w:rPr>
            <w:rStyle w:val="Hyperlink"/>
            <w:rFonts w:ascii="Times New Roman" w:hAnsi="Times New Roman" w:cs="Times New Roman"/>
          </w:rPr>
          <w:t>382 P.3d 772</w:t>
        </w:r>
      </w:hyperlink>
      <w:r w:rsidRPr="00D871B6">
        <w:rPr>
          <w:rFonts w:ascii="Times New Roman" w:hAnsi="Times New Roman" w:cs="Times New Roman"/>
        </w:rPr>
        <w:t xml:space="preserve">, 777 (Wyo. 2016); Osenbaugh v. Workers’ Safety </w:t>
      </w:r>
      <w:r>
        <w:rPr>
          <w:rFonts w:ascii="Times New Roman" w:hAnsi="Times New Roman" w:cs="Times New Roman"/>
        </w:rPr>
        <w:t>&amp;</w:t>
      </w:r>
      <w:r w:rsidRPr="00D871B6">
        <w:rPr>
          <w:rFonts w:ascii="Times New Roman" w:hAnsi="Times New Roman" w:cs="Times New Roman"/>
        </w:rPr>
        <w:t xml:space="preserve"> Compensation Div., </w:t>
      </w:r>
      <w:hyperlink r:id="rId286" w:history="1">
        <w:r w:rsidRPr="0040368D">
          <w:rPr>
            <w:rStyle w:val="Hyperlink"/>
            <w:rFonts w:ascii="Times New Roman" w:hAnsi="Times New Roman" w:cs="Times New Roman"/>
          </w:rPr>
          <w:t>10 P.3d 544</w:t>
        </w:r>
      </w:hyperlink>
      <w:r w:rsidRPr="00D871B6">
        <w:rPr>
          <w:rFonts w:ascii="Times New Roman" w:hAnsi="Times New Roman" w:cs="Times New Roman"/>
        </w:rPr>
        <w:t xml:space="preserve">, 549 (Wyo. 2000); and Tenorio v. Workers’ Compensation Div., </w:t>
      </w:r>
      <w:hyperlink r:id="rId287" w:history="1">
        <w:r w:rsidRPr="0040368D">
          <w:rPr>
            <w:rStyle w:val="Hyperlink"/>
            <w:rFonts w:ascii="Times New Roman" w:hAnsi="Times New Roman" w:cs="Times New Roman"/>
          </w:rPr>
          <w:t>931 P.2d 234</w:t>
        </w:r>
      </w:hyperlink>
      <w:r w:rsidRPr="00D871B6">
        <w:rPr>
          <w:rFonts w:ascii="Times New Roman" w:hAnsi="Times New Roman" w:cs="Times New Roman"/>
        </w:rPr>
        <w:t>, 240 (Wyo. 1997)</w:t>
      </w:r>
    </w:p>
  </w:footnote>
  <w:footnote w:id="728">
    <w:p w14:paraId="0902BE4B" w14:textId="185AE931" w:rsidR="00336EDF" w:rsidRDefault="00336EDF">
      <w:pPr>
        <w:pStyle w:val="FootnoteText"/>
      </w:pPr>
      <w:r w:rsidRPr="002C26D3">
        <w:rPr>
          <w:rStyle w:val="FootnoteReference"/>
          <w:rFonts w:ascii="Times New Roman" w:hAnsi="Times New Roman" w:cs="Times New Roman"/>
        </w:rPr>
        <w:footnoteRef/>
      </w:r>
      <w:r>
        <w:t xml:space="preserve"> </w:t>
      </w:r>
      <w:bookmarkStart w:id="1021" w:name="f698"/>
      <w:bookmarkEnd w:id="1021"/>
      <w:r w:rsidRPr="002C26D3">
        <w:rPr>
          <w:rFonts w:ascii="Times New Roman" w:hAnsi="Times New Roman" w:cs="Times New Roman"/>
        </w:rPr>
        <w:t xml:space="preserve">Porter, </w:t>
      </w:r>
      <w:r w:rsidRPr="002C26D3">
        <w:rPr>
          <w:rFonts w:ascii="Times New Roman" w:hAnsi="Times New Roman" w:cs="Times New Roman"/>
          <w:i/>
          <w:iCs/>
        </w:rPr>
        <w:t>supra</w:t>
      </w:r>
      <w:r w:rsidRPr="002C26D3">
        <w:rPr>
          <w:rFonts w:ascii="Times New Roman" w:hAnsi="Times New Roman" w:cs="Times New Roman"/>
        </w:rPr>
        <w:t>., 396 P.3d at 1008</w:t>
      </w:r>
    </w:p>
  </w:footnote>
  <w:footnote w:id="729">
    <w:p w14:paraId="66696393" w14:textId="54112F29" w:rsidR="00336EDF" w:rsidRPr="002C26D3" w:rsidRDefault="00336EDF">
      <w:pPr>
        <w:pStyle w:val="FootnoteText"/>
      </w:pPr>
      <w:r w:rsidRPr="002C26D3">
        <w:rPr>
          <w:rStyle w:val="FootnoteReference"/>
          <w:rFonts w:ascii="Times New Roman" w:hAnsi="Times New Roman" w:cs="Times New Roman"/>
        </w:rPr>
        <w:footnoteRef/>
      </w:r>
      <w:r>
        <w:t xml:space="preserve"> </w:t>
      </w:r>
      <w:bookmarkStart w:id="1022" w:name="f699"/>
      <w:bookmarkEnd w:id="1022"/>
      <w:r w:rsidRPr="002C26D3">
        <w:rPr>
          <w:rFonts w:ascii="Times New Roman" w:hAnsi="Times New Roman" w:cs="Times New Roman"/>
          <w:i/>
          <w:iCs/>
        </w:rPr>
        <w:t>Id.</w:t>
      </w:r>
      <w:r>
        <w:rPr>
          <w:rFonts w:ascii="Times New Roman" w:hAnsi="Times New Roman" w:cs="Times New Roman"/>
        </w:rPr>
        <w:t xml:space="preserve"> at 1007-1008</w:t>
      </w:r>
    </w:p>
  </w:footnote>
  <w:footnote w:id="730">
    <w:p w14:paraId="184ADD4B" w14:textId="2C73FB99" w:rsidR="00336EDF" w:rsidRDefault="00336EDF">
      <w:pPr>
        <w:pStyle w:val="FootnoteText"/>
      </w:pPr>
      <w:r w:rsidRPr="002C26D3">
        <w:rPr>
          <w:rStyle w:val="FootnoteReference"/>
          <w:rFonts w:ascii="Times New Roman" w:hAnsi="Times New Roman" w:cs="Times New Roman"/>
        </w:rPr>
        <w:footnoteRef/>
      </w:r>
      <w:r>
        <w:t xml:space="preserve"> </w:t>
      </w:r>
      <w:bookmarkStart w:id="1023" w:name="f700"/>
      <w:bookmarkEnd w:id="1023"/>
      <w:r w:rsidRPr="002C26D3">
        <w:rPr>
          <w:rFonts w:ascii="Times New Roman" w:hAnsi="Times New Roman" w:cs="Times New Roman"/>
          <w:i/>
          <w:iCs/>
        </w:rPr>
        <w:t>See supra</w:t>
      </w:r>
      <w:r>
        <w:rPr>
          <w:rFonts w:ascii="Times New Roman" w:hAnsi="Times New Roman" w:cs="Times New Roman"/>
        </w:rPr>
        <w:t>.</w:t>
      </w:r>
    </w:p>
  </w:footnote>
  <w:footnote w:id="731">
    <w:p w14:paraId="6971D67E" w14:textId="412BD8BB" w:rsidR="00336EDF" w:rsidRDefault="00336EDF">
      <w:pPr>
        <w:pStyle w:val="FootnoteText"/>
      </w:pPr>
      <w:r w:rsidRPr="009439CC">
        <w:rPr>
          <w:rStyle w:val="FootnoteReference"/>
          <w:rFonts w:ascii="Times New Roman" w:hAnsi="Times New Roman" w:cs="Times New Roman"/>
        </w:rPr>
        <w:footnoteRef/>
      </w:r>
      <w:r w:rsidRPr="009439CC">
        <w:rPr>
          <w:rFonts w:ascii="Times New Roman" w:hAnsi="Times New Roman" w:cs="Times New Roman"/>
        </w:rPr>
        <w:t xml:space="preserve"> </w:t>
      </w:r>
      <w:bookmarkStart w:id="1024" w:name="f701"/>
      <w:bookmarkEnd w:id="1024"/>
      <w:r>
        <w:fldChar w:fldCharType="begin"/>
      </w:r>
      <w:r>
        <w:instrText xml:space="preserve"> HYPERLINK "https://www.leagle.com/decision/inwyco20161114t52" </w:instrText>
      </w:r>
      <w:r>
        <w:fldChar w:fldCharType="separate"/>
      </w:r>
      <w:r w:rsidRPr="0040368D">
        <w:rPr>
          <w:rStyle w:val="Hyperlink"/>
          <w:rFonts w:ascii="Times New Roman" w:hAnsi="Times New Roman" w:cs="Times New Roman"/>
        </w:rPr>
        <w:t>382 P.3d 772</w:t>
      </w:r>
      <w:r>
        <w:rPr>
          <w:rStyle w:val="Hyperlink"/>
          <w:rFonts w:ascii="Times New Roman" w:hAnsi="Times New Roman" w:cs="Times New Roman"/>
        </w:rPr>
        <w:fldChar w:fldCharType="end"/>
      </w:r>
      <w:r w:rsidRPr="009439CC">
        <w:rPr>
          <w:rFonts w:ascii="Times New Roman" w:hAnsi="Times New Roman" w:cs="Times New Roman"/>
        </w:rPr>
        <w:t xml:space="preserve"> (Wyo. 2016)</w:t>
      </w:r>
    </w:p>
  </w:footnote>
  <w:footnote w:id="732">
    <w:p w14:paraId="0F57A718" w14:textId="45A96661" w:rsidR="00336EDF" w:rsidRDefault="00336EDF">
      <w:pPr>
        <w:pStyle w:val="FootnoteText"/>
      </w:pPr>
      <w:r w:rsidRPr="009439CC">
        <w:rPr>
          <w:rStyle w:val="FootnoteReference"/>
          <w:rFonts w:ascii="Times New Roman" w:hAnsi="Times New Roman" w:cs="Times New Roman"/>
        </w:rPr>
        <w:footnoteRef/>
      </w:r>
      <w:r w:rsidRPr="009439CC">
        <w:rPr>
          <w:rFonts w:ascii="Times New Roman" w:hAnsi="Times New Roman" w:cs="Times New Roman"/>
        </w:rPr>
        <w:t xml:space="preserve"> </w:t>
      </w:r>
      <w:bookmarkStart w:id="1025" w:name="f702"/>
      <w:bookmarkEnd w:id="1025"/>
      <w:r w:rsidRPr="009439CC">
        <w:rPr>
          <w:rFonts w:ascii="Times New Roman" w:hAnsi="Times New Roman" w:cs="Times New Roman"/>
          <w:i/>
          <w:iCs/>
        </w:rPr>
        <w:t>Id.</w:t>
      </w:r>
      <w:r w:rsidRPr="009439CC">
        <w:rPr>
          <w:rFonts w:ascii="Times New Roman" w:hAnsi="Times New Roman" w:cs="Times New Roman"/>
        </w:rPr>
        <w:t xml:space="preserve"> at 773</w:t>
      </w:r>
    </w:p>
  </w:footnote>
  <w:footnote w:id="733">
    <w:p w14:paraId="2D25FB9F" w14:textId="3D45D5D4" w:rsidR="00336EDF" w:rsidRDefault="00336EDF">
      <w:pPr>
        <w:pStyle w:val="FootnoteText"/>
      </w:pPr>
      <w:r w:rsidRPr="00C62532">
        <w:rPr>
          <w:rStyle w:val="FootnoteReference"/>
          <w:rFonts w:ascii="Times New Roman" w:hAnsi="Times New Roman" w:cs="Times New Roman"/>
        </w:rPr>
        <w:footnoteRef/>
      </w:r>
      <w:bookmarkStart w:id="1026" w:name="f703"/>
      <w:bookmarkEnd w:id="1026"/>
      <w:r w:rsidRPr="00C62532">
        <w:rPr>
          <w:i/>
          <w:iCs/>
        </w:rPr>
        <w:t xml:space="preserve"> </w:t>
      </w:r>
      <w:r w:rsidRPr="00C62532">
        <w:rPr>
          <w:rFonts w:ascii="Times New Roman" w:hAnsi="Times New Roman" w:cs="Times New Roman"/>
          <w:i/>
          <w:iCs/>
        </w:rPr>
        <w:t>Id</w:t>
      </w:r>
      <w:r w:rsidRPr="00C62532">
        <w:rPr>
          <w:rFonts w:ascii="Times New Roman" w:hAnsi="Times New Roman" w:cs="Times New Roman"/>
        </w:rPr>
        <w:t>. at 774</w:t>
      </w:r>
      <w:r>
        <w:rPr>
          <w:rFonts w:ascii="Times New Roman" w:hAnsi="Times New Roman" w:cs="Times New Roman"/>
        </w:rPr>
        <w:t xml:space="preserve">. A syncope is a </w:t>
      </w:r>
      <w:r w:rsidRPr="00C62532">
        <w:rPr>
          <w:rFonts w:ascii="Times New Roman" w:hAnsi="Times New Roman" w:cs="Times New Roman"/>
        </w:rPr>
        <w:t>temporary loss of consciousness.</w:t>
      </w:r>
    </w:p>
  </w:footnote>
  <w:footnote w:id="734">
    <w:p w14:paraId="1C51CE21" w14:textId="42D6418B" w:rsidR="00336EDF" w:rsidRDefault="00336EDF">
      <w:pPr>
        <w:pStyle w:val="FootnoteText"/>
      </w:pPr>
      <w:r w:rsidRPr="00BC6273">
        <w:rPr>
          <w:rStyle w:val="FootnoteReference"/>
          <w:rFonts w:ascii="Times New Roman" w:hAnsi="Times New Roman" w:cs="Times New Roman"/>
        </w:rPr>
        <w:footnoteRef/>
      </w:r>
      <w:bookmarkStart w:id="1027" w:name="f704"/>
      <w:bookmarkEnd w:id="1027"/>
      <w:r>
        <w:t xml:space="preserve"> </w:t>
      </w:r>
      <w:r w:rsidRPr="00BC6273">
        <w:rPr>
          <w:rFonts w:ascii="Times New Roman" w:hAnsi="Times New Roman" w:cs="Times New Roman"/>
          <w:i/>
          <w:iCs/>
        </w:rPr>
        <w:t>Id.</w:t>
      </w:r>
    </w:p>
  </w:footnote>
  <w:footnote w:id="735">
    <w:p w14:paraId="6B9210B4" w14:textId="5AA8E22C" w:rsidR="00336EDF" w:rsidRDefault="00336EDF">
      <w:pPr>
        <w:pStyle w:val="FootnoteText"/>
      </w:pPr>
      <w:r w:rsidRPr="00514625">
        <w:rPr>
          <w:rStyle w:val="FootnoteReference"/>
          <w:rFonts w:ascii="Times New Roman" w:hAnsi="Times New Roman" w:cs="Times New Roman"/>
        </w:rPr>
        <w:footnoteRef/>
      </w:r>
      <w:r w:rsidRPr="00514625">
        <w:rPr>
          <w:rFonts w:ascii="Times New Roman" w:hAnsi="Times New Roman" w:cs="Times New Roman"/>
        </w:rPr>
        <w:t xml:space="preserve"> </w:t>
      </w:r>
      <w:bookmarkStart w:id="1028" w:name="f705"/>
      <w:bookmarkEnd w:id="1028"/>
      <w:r w:rsidRPr="00514625">
        <w:rPr>
          <w:rFonts w:ascii="Times New Roman" w:hAnsi="Times New Roman" w:cs="Times New Roman"/>
          <w:i/>
          <w:iCs/>
        </w:rPr>
        <w:t>Id.</w:t>
      </w:r>
    </w:p>
  </w:footnote>
  <w:footnote w:id="736">
    <w:p w14:paraId="319DEF81" w14:textId="3EFFF001" w:rsidR="00336EDF" w:rsidRDefault="00336EDF">
      <w:pPr>
        <w:pStyle w:val="FootnoteText"/>
      </w:pPr>
      <w:r w:rsidRPr="00514625">
        <w:rPr>
          <w:rStyle w:val="FootnoteReference"/>
          <w:rFonts w:ascii="Times New Roman" w:hAnsi="Times New Roman" w:cs="Times New Roman"/>
        </w:rPr>
        <w:footnoteRef/>
      </w:r>
      <w:r w:rsidRPr="00514625">
        <w:rPr>
          <w:rFonts w:ascii="Times New Roman" w:hAnsi="Times New Roman" w:cs="Times New Roman"/>
        </w:rPr>
        <w:t xml:space="preserve"> </w:t>
      </w:r>
      <w:bookmarkStart w:id="1029" w:name="f706"/>
      <w:bookmarkEnd w:id="1029"/>
      <w:r w:rsidRPr="00514625">
        <w:rPr>
          <w:rFonts w:ascii="Times New Roman" w:hAnsi="Times New Roman" w:cs="Times New Roman"/>
          <w:i/>
          <w:iCs/>
        </w:rPr>
        <w:t>Id</w:t>
      </w:r>
      <w:r w:rsidRPr="00514625">
        <w:rPr>
          <w:rFonts w:ascii="Times New Roman" w:hAnsi="Times New Roman" w:cs="Times New Roman"/>
        </w:rPr>
        <w:t>. at 775</w:t>
      </w:r>
    </w:p>
  </w:footnote>
  <w:footnote w:id="737">
    <w:p w14:paraId="021EB392" w14:textId="62DD51AA" w:rsidR="00336EDF" w:rsidRDefault="00336EDF">
      <w:pPr>
        <w:pStyle w:val="FootnoteText"/>
      </w:pPr>
      <w:r w:rsidRPr="00514625">
        <w:rPr>
          <w:rStyle w:val="FootnoteReference"/>
          <w:rFonts w:ascii="Times New Roman" w:hAnsi="Times New Roman" w:cs="Times New Roman"/>
        </w:rPr>
        <w:footnoteRef/>
      </w:r>
      <w:r w:rsidRPr="00514625">
        <w:rPr>
          <w:rFonts w:ascii="Times New Roman" w:hAnsi="Times New Roman" w:cs="Times New Roman"/>
        </w:rPr>
        <w:t xml:space="preserve"> </w:t>
      </w:r>
      <w:bookmarkStart w:id="1030" w:name="f707"/>
      <w:bookmarkEnd w:id="1030"/>
      <w:r w:rsidRPr="00514625">
        <w:rPr>
          <w:rFonts w:ascii="Times New Roman" w:hAnsi="Times New Roman" w:cs="Times New Roman"/>
          <w:i/>
          <w:iCs/>
        </w:rPr>
        <w:t>Id.</w:t>
      </w:r>
    </w:p>
  </w:footnote>
  <w:footnote w:id="738">
    <w:p w14:paraId="1EA52099" w14:textId="6B8382B4" w:rsidR="00336EDF" w:rsidRDefault="00336EDF">
      <w:pPr>
        <w:pStyle w:val="FootnoteText"/>
      </w:pPr>
      <w:r w:rsidRPr="00024707">
        <w:rPr>
          <w:rStyle w:val="FootnoteReference"/>
          <w:rFonts w:ascii="Times New Roman" w:hAnsi="Times New Roman" w:cs="Times New Roman"/>
        </w:rPr>
        <w:footnoteRef/>
      </w:r>
      <w:r w:rsidRPr="00024707">
        <w:rPr>
          <w:rFonts w:ascii="Times New Roman" w:hAnsi="Times New Roman" w:cs="Times New Roman"/>
        </w:rPr>
        <w:t xml:space="preserve"> </w:t>
      </w:r>
      <w:bookmarkStart w:id="1031" w:name="f708"/>
      <w:bookmarkEnd w:id="1031"/>
      <w:r w:rsidRPr="00024707">
        <w:rPr>
          <w:rFonts w:ascii="Times New Roman" w:hAnsi="Times New Roman" w:cs="Times New Roman"/>
        </w:rPr>
        <w:t xml:space="preserve">Jacobs v. Workers’ Safety &amp; Comp. Div., </w:t>
      </w:r>
      <w:hyperlink r:id="rId288" w:history="1">
        <w:r w:rsidRPr="0040368D">
          <w:rPr>
            <w:rStyle w:val="Hyperlink"/>
            <w:rFonts w:ascii="Times New Roman" w:hAnsi="Times New Roman" w:cs="Times New Roman"/>
          </w:rPr>
          <w:t>301 P.3d 137</w:t>
        </w:r>
      </w:hyperlink>
      <w:r w:rsidRPr="00024707">
        <w:rPr>
          <w:rFonts w:ascii="Times New Roman" w:hAnsi="Times New Roman" w:cs="Times New Roman"/>
        </w:rPr>
        <w:t xml:space="preserve"> (Wyo. 2013)</w:t>
      </w:r>
    </w:p>
  </w:footnote>
  <w:footnote w:id="739">
    <w:p w14:paraId="783C9684" w14:textId="2D4D83A8" w:rsidR="00336EDF" w:rsidRDefault="00336EDF">
      <w:pPr>
        <w:pStyle w:val="FootnoteText"/>
      </w:pPr>
      <w:r w:rsidRPr="00024707">
        <w:rPr>
          <w:rStyle w:val="FootnoteReference"/>
          <w:rFonts w:ascii="Times New Roman" w:hAnsi="Times New Roman" w:cs="Times New Roman"/>
        </w:rPr>
        <w:footnoteRef/>
      </w:r>
      <w:r w:rsidRPr="00024707">
        <w:rPr>
          <w:rFonts w:ascii="Times New Roman" w:hAnsi="Times New Roman" w:cs="Times New Roman"/>
        </w:rPr>
        <w:t xml:space="preserve"> </w:t>
      </w:r>
      <w:bookmarkStart w:id="1032" w:name="f709"/>
      <w:bookmarkEnd w:id="1032"/>
      <w:r w:rsidRPr="00024707">
        <w:rPr>
          <w:rFonts w:ascii="Times New Roman" w:hAnsi="Times New Roman" w:cs="Times New Roman"/>
        </w:rPr>
        <w:t xml:space="preserve">Hood, </w:t>
      </w:r>
      <w:r w:rsidRPr="00024707">
        <w:rPr>
          <w:rFonts w:ascii="Times New Roman" w:hAnsi="Times New Roman" w:cs="Times New Roman"/>
          <w:i/>
          <w:iCs/>
        </w:rPr>
        <w:t>supra.,</w:t>
      </w:r>
      <w:r w:rsidRPr="00024707">
        <w:rPr>
          <w:rFonts w:ascii="Times New Roman" w:hAnsi="Times New Roman" w:cs="Times New Roman"/>
        </w:rPr>
        <w:t xml:space="preserve"> at 777-778</w:t>
      </w:r>
      <w:r>
        <w:rPr>
          <w:rFonts w:ascii="Times New Roman" w:hAnsi="Times New Roman" w:cs="Times New Roman"/>
        </w:rPr>
        <w:t xml:space="preserve"> </w:t>
      </w:r>
      <w:r w:rsidRPr="00024707">
        <w:rPr>
          <w:rFonts w:ascii="Times New Roman" w:hAnsi="Times New Roman" w:cs="Times New Roman"/>
          <w:i/>
          <w:iCs/>
        </w:rPr>
        <w:t xml:space="preserve">quoting </w:t>
      </w:r>
      <w:r w:rsidRPr="00024707">
        <w:rPr>
          <w:rFonts w:ascii="Times New Roman" w:hAnsi="Times New Roman" w:cs="Times New Roman"/>
        </w:rPr>
        <w:t>Jacobs v. Workers’ Safety &amp; Comp. Div.,</w:t>
      </w:r>
      <w:r>
        <w:rPr>
          <w:rFonts w:ascii="Times New Roman" w:hAnsi="Times New Roman" w:cs="Times New Roman"/>
        </w:rPr>
        <w:t xml:space="preserve"> </w:t>
      </w:r>
      <w:r w:rsidRPr="00024707">
        <w:rPr>
          <w:rFonts w:ascii="Times New Roman" w:hAnsi="Times New Roman" w:cs="Times New Roman"/>
          <w:i/>
          <w:iCs/>
        </w:rPr>
        <w:t>supra</w:t>
      </w:r>
      <w:r>
        <w:rPr>
          <w:rFonts w:ascii="Times New Roman" w:hAnsi="Times New Roman" w:cs="Times New Roman"/>
        </w:rPr>
        <w:t xml:space="preserve">., </w:t>
      </w:r>
      <w:r w:rsidRPr="00024707">
        <w:rPr>
          <w:rFonts w:ascii="Times New Roman" w:hAnsi="Times New Roman" w:cs="Times New Roman"/>
        </w:rPr>
        <w:t>301 P.3d</w:t>
      </w:r>
      <w:r>
        <w:rPr>
          <w:rFonts w:ascii="Times New Roman" w:hAnsi="Times New Roman" w:cs="Times New Roman"/>
        </w:rPr>
        <w:t xml:space="preserve"> at 148</w:t>
      </w:r>
    </w:p>
  </w:footnote>
  <w:footnote w:id="740">
    <w:p w14:paraId="7896A754" w14:textId="7B84E5C1" w:rsidR="00336EDF" w:rsidRDefault="00336EDF">
      <w:pPr>
        <w:pStyle w:val="FootnoteText"/>
      </w:pPr>
      <w:r w:rsidRPr="00725A02">
        <w:rPr>
          <w:rStyle w:val="FootnoteReference"/>
          <w:rFonts w:ascii="Times New Roman" w:hAnsi="Times New Roman" w:cs="Times New Roman"/>
        </w:rPr>
        <w:footnoteRef/>
      </w:r>
      <w:r w:rsidRPr="00725A02">
        <w:rPr>
          <w:rFonts w:ascii="Times New Roman" w:hAnsi="Times New Roman" w:cs="Times New Roman"/>
        </w:rPr>
        <w:t xml:space="preserve"> </w:t>
      </w:r>
      <w:bookmarkStart w:id="1033" w:name="f710"/>
      <w:bookmarkEnd w:id="1033"/>
      <w:r w:rsidRPr="00725A02">
        <w:rPr>
          <w:rFonts w:ascii="Times New Roman" w:hAnsi="Times New Roman" w:cs="Times New Roman"/>
        </w:rPr>
        <w:t>M.G.L. Ch. 152 § 8(1)</w:t>
      </w:r>
    </w:p>
  </w:footnote>
  <w:footnote w:id="741">
    <w:p w14:paraId="762D94CC" w14:textId="7FBBFE4A" w:rsidR="00336EDF" w:rsidRDefault="00336EDF">
      <w:pPr>
        <w:pStyle w:val="FootnoteText"/>
      </w:pPr>
      <w:r w:rsidRPr="00725A02">
        <w:rPr>
          <w:rStyle w:val="FootnoteReference"/>
          <w:rFonts w:ascii="Times New Roman" w:hAnsi="Times New Roman" w:cs="Times New Roman"/>
        </w:rPr>
        <w:footnoteRef/>
      </w:r>
      <w:r>
        <w:t xml:space="preserve"> </w:t>
      </w:r>
      <w:bookmarkStart w:id="1034" w:name="f711"/>
      <w:bookmarkEnd w:id="1034"/>
      <w:r w:rsidRPr="00725A02">
        <w:rPr>
          <w:rFonts w:ascii="Times New Roman" w:hAnsi="Times New Roman" w:cs="Times New Roman"/>
        </w:rPr>
        <w:t>Vt. St. T</w:t>
      </w:r>
      <w:r>
        <w:rPr>
          <w:rFonts w:ascii="Times New Roman" w:hAnsi="Times New Roman" w:cs="Times New Roman"/>
        </w:rPr>
        <w:t>.</w:t>
      </w:r>
      <w:r w:rsidRPr="00725A02">
        <w:rPr>
          <w:rFonts w:ascii="Times New Roman" w:hAnsi="Times New Roman" w:cs="Times New Roman"/>
        </w:rPr>
        <w:t xml:space="preserve"> 21 § 662</w:t>
      </w:r>
    </w:p>
  </w:footnote>
  <w:footnote w:id="742">
    <w:p w14:paraId="72E9A847" w14:textId="716AC2F5" w:rsidR="00336EDF" w:rsidRDefault="00336EDF">
      <w:pPr>
        <w:pStyle w:val="FootnoteText"/>
      </w:pPr>
      <w:r w:rsidRPr="00964221">
        <w:rPr>
          <w:rStyle w:val="FootnoteReference"/>
          <w:rFonts w:ascii="Times New Roman" w:hAnsi="Times New Roman" w:cs="Times New Roman"/>
        </w:rPr>
        <w:footnoteRef/>
      </w:r>
      <w:r w:rsidRPr="00964221">
        <w:rPr>
          <w:rFonts w:ascii="Times New Roman" w:hAnsi="Times New Roman" w:cs="Times New Roman"/>
        </w:rPr>
        <w:t xml:space="preserve"> </w:t>
      </w:r>
      <w:bookmarkStart w:id="1035" w:name="f712"/>
      <w:bookmarkStart w:id="1036" w:name="_Hlk12030728"/>
      <w:bookmarkEnd w:id="1035"/>
      <w:r>
        <w:rPr>
          <w:rFonts w:ascii="Times New Roman" w:hAnsi="Times New Roman" w:cs="Times New Roman"/>
        </w:rPr>
        <w:fldChar w:fldCharType="begin"/>
      </w:r>
      <w:r>
        <w:rPr>
          <w:rFonts w:ascii="Times New Roman" w:hAnsi="Times New Roman" w:cs="Times New Roman"/>
        </w:rPr>
        <w:instrText xml:space="preserve"> HYPERLINK "https://www.leagle.com/decision/inwyco20100609b17" </w:instrText>
      </w:r>
      <w:r>
        <w:rPr>
          <w:rFonts w:ascii="Times New Roman" w:hAnsi="Times New Roman" w:cs="Times New Roman"/>
        </w:rPr>
        <w:fldChar w:fldCharType="separate"/>
      </w:r>
      <w:r w:rsidRPr="00BF57BD">
        <w:rPr>
          <w:rStyle w:val="Hyperlink"/>
          <w:rFonts w:ascii="Times New Roman" w:hAnsi="Times New Roman" w:cs="Times New Roman"/>
        </w:rPr>
        <w:t xml:space="preserve">233 P.3d </w:t>
      </w:r>
      <w:bookmarkEnd w:id="1036"/>
      <w:r w:rsidRPr="00BF57BD">
        <w:rPr>
          <w:rStyle w:val="Hyperlink"/>
          <w:rFonts w:ascii="Times New Roman" w:hAnsi="Times New Roman" w:cs="Times New Roman"/>
        </w:rPr>
        <w:t>583</w:t>
      </w:r>
      <w:r>
        <w:rPr>
          <w:rFonts w:ascii="Times New Roman" w:hAnsi="Times New Roman" w:cs="Times New Roman"/>
        </w:rPr>
        <w:fldChar w:fldCharType="end"/>
      </w:r>
      <w:r w:rsidRPr="00964221">
        <w:rPr>
          <w:rFonts w:ascii="Times New Roman" w:hAnsi="Times New Roman" w:cs="Times New Roman"/>
        </w:rPr>
        <w:t xml:space="preserve"> (Wyo. 2010)</w:t>
      </w:r>
    </w:p>
  </w:footnote>
  <w:footnote w:id="743">
    <w:p w14:paraId="093AAB78" w14:textId="1CC6C3D3" w:rsidR="00336EDF" w:rsidRDefault="00336EDF">
      <w:pPr>
        <w:pStyle w:val="FootnoteText"/>
      </w:pPr>
      <w:r w:rsidRPr="000C3842">
        <w:rPr>
          <w:rStyle w:val="FootnoteReference"/>
          <w:rFonts w:ascii="Times New Roman" w:hAnsi="Times New Roman" w:cs="Times New Roman"/>
        </w:rPr>
        <w:footnoteRef/>
      </w:r>
      <w:r>
        <w:t xml:space="preserve"> </w:t>
      </w:r>
      <w:bookmarkStart w:id="1037" w:name="f713"/>
      <w:bookmarkEnd w:id="1037"/>
      <w:r w:rsidRPr="000C3842">
        <w:rPr>
          <w:rFonts w:ascii="Times New Roman" w:hAnsi="Times New Roman" w:cs="Times New Roman"/>
          <w:i/>
          <w:iCs/>
        </w:rPr>
        <w:t>Id</w:t>
      </w:r>
      <w:r w:rsidRPr="000C3842">
        <w:rPr>
          <w:rFonts w:ascii="Times New Roman" w:hAnsi="Times New Roman" w:cs="Times New Roman"/>
        </w:rPr>
        <w:t>. at 585</w:t>
      </w:r>
    </w:p>
  </w:footnote>
  <w:footnote w:id="744">
    <w:p w14:paraId="19AFA6AF" w14:textId="6C47A250" w:rsidR="00336EDF" w:rsidRDefault="00336EDF">
      <w:pPr>
        <w:pStyle w:val="FootnoteText"/>
      </w:pPr>
      <w:r w:rsidRPr="000C3842">
        <w:rPr>
          <w:rStyle w:val="FootnoteReference"/>
          <w:rFonts w:ascii="Times New Roman" w:hAnsi="Times New Roman" w:cs="Times New Roman"/>
        </w:rPr>
        <w:footnoteRef/>
      </w:r>
      <w:r>
        <w:t xml:space="preserve"> </w:t>
      </w:r>
      <w:bookmarkStart w:id="1038" w:name="f714"/>
      <w:bookmarkEnd w:id="1038"/>
      <w:r w:rsidRPr="000C3842">
        <w:rPr>
          <w:rFonts w:ascii="Times New Roman" w:hAnsi="Times New Roman" w:cs="Times New Roman"/>
          <w:i/>
          <w:iCs/>
        </w:rPr>
        <w:t>Id.</w:t>
      </w:r>
    </w:p>
  </w:footnote>
  <w:footnote w:id="745">
    <w:p w14:paraId="58E45678" w14:textId="6A0B1AC9" w:rsidR="00336EDF" w:rsidRDefault="00336EDF">
      <w:pPr>
        <w:pStyle w:val="FootnoteText"/>
      </w:pPr>
      <w:r w:rsidRPr="000C3842">
        <w:rPr>
          <w:rStyle w:val="FootnoteReference"/>
          <w:rFonts w:ascii="Times New Roman" w:hAnsi="Times New Roman" w:cs="Times New Roman"/>
        </w:rPr>
        <w:footnoteRef/>
      </w:r>
      <w:r>
        <w:t xml:space="preserve"> </w:t>
      </w:r>
      <w:bookmarkStart w:id="1039" w:name="f715"/>
      <w:bookmarkEnd w:id="1039"/>
      <w:r w:rsidRPr="000C3842">
        <w:rPr>
          <w:rFonts w:ascii="Times New Roman" w:hAnsi="Times New Roman" w:cs="Times New Roman"/>
          <w:i/>
          <w:iCs/>
        </w:rPr>
        <w:t>Id.</w:t>
      </w:r>
    </w:p>
  </w:footnote>
  <w:footnote w:id="746">
    <w:p w14:paraId="5A2378D8" w14:textId="27E04DD3" w:rsidR="00336EDF" w:rsidRDefault="00336EDF">
      <w:pPr>
        <w:pStyle w:val="FootnoteText"/>
      </w:pPr>
      <w:r w:rsidRPr="00CD5E97">
        <w:rPr>
          <w:rStyle w:val="FootnoteReference"/>
          <w:rFonts w:ascii="Times New Roman" w:hAnsi="Times New Roman" w:cs="Times New Roman"/>
        </w:rPr>
        <w:footnoteRef/>
      </w:r>
      <w:r w:rsidRPr="00CD5E97">
        <w:rPr>
          <w:rFonts w:ascii="Times New Roman" w:hAnsi="Times New Roman" w:cs="Times New Roman"/>
        </w:rPr>
        <w:t xml:space="preserve"> </w:t>
      </w:r>
      <w:bookmarkStart w:id="1040" w:name="f716"/>
      <w:bookmarkEnd w:id="1040"/>
      <w:r w:rsidRPr="00CD5E97">
        <w:rPr>
          <w:rFonts w:ascii="Times New Roman" w:hAnsi="Times New Roman" w:cs="Times New Roman"/>
          <w:i/>
          <w:iCs/>
        </w:rPr>
        <w:t>Id.</w:t>
      </w:r>
    </w:p>
  </w:footnote>
  <w:footnote w:id="747">
    <w:p w14:paraId="161D4ECE" w14:textId="1F152972" w:rsidR="00336EDF" w:rsidRDefault="00336EDF">
      <w:pPr>
        <w:pStyle w:val="FootnoteText"/>
      </w:pPr>
      <w:r w:rsidRPr="00CD5E97">
        <w:rPr>
          <w:rStyle w:val="FootnoteReference"/>
          <w:rFonts w:ascii="Times New Roman" w:hAnsi="Times New Roman" w:cs="Times New Roman"/>
        </w:rPr>
        <w:footnoteRef/>
      </w:r>
      <w:r>
        <w:t xml:space="preserve"> </w:t>
      </w:r>
      <w:bookmarkStart w:id="1041" w:name="f717"/>
      <w:bookmarkEnd w:id="1041"/>
      <w:r w:rsidRPr="00CD5E97">
        <w:rPr>
          <w:rFonts w:ascii="Times New Roman" w:hAnsi="Times New Roman" w:cs="Times New Roman"/>
          <w:i/>
          <w:iCs/>
        </w:rPr>
        <w:t>Id.</w:t>
      </w:r>
    </w:p>
  </w:footnote>
  <w:footnote w:id="748">
    <w:p w14:paraId="4374ACF8" w14:textId="71AE0288" w:rsidR="00336EDF" w:rsidRDefault="00336EDF">
      <w:pPr>
        <w:pStyle w:val="FootnoteText"/>
      </w:pPr>
      <w:r w:rsidRPr="0055502C">
        <w:rPr>
          <w:rStyle w:val="FootnoteReference"/>
          <w:rFonts w:ascii="Times New Roman" w:hAnsi="Times New Roman" w:cs="Times New Roman"/>
        </w:rPr>
        <w:footnoteRef/>
      </w:r>
      <w:r>
        <w:t xml:space="preserve"> </w:t>
      </w:r>
      <w:bookmarkStart w:id="1042" w:name="f718"/>
      <w:bookmarkEnd w:id="1042"/>
      <w:r w:rsidRPr="0055502C">
        <w:rPr>
          <w:rFonts w:ascii="Times New Roman" w:hAnsi="Times New Roman" w:cs="Times New Roman"/>
          <w:i/>
          <w:iCs/>
        </w:rPr>
        <w:t>Id</w:t>
      </w:r>
      <w:r w:rsidRPr="0055502C">
        <w:rPr>
          <w:rFonts w:ascii="Times New Roman" w:hAnsi="Times New Roman" w:cs="Times New Roman"/>
        </w:rPr>
        <w:t>. at 586</w:t>
      </w:r>
    </w:p>
  </w:footnote>
  <w:footnote w:id="749">
    <w:p w14:paraId="011C5005" w14:textId="4A404A62" w:rsidR="00336EDF" w:rsidRDefault="00336EDF">
      <w:pPr>
        <w:pStyle w:val="FootnoteText"/>
      </w:pPr>
      <w:r w:rsidRPr="000C11F3">
        <w:rPr>
          <w:rStyle w:val="FootnoteReference"/>
          <w:rFonts w:ascii="Times New Roman" w:hAnsi="Times New Roman" w:cs="Times New Roman"/>
        </w:rPr>
        <w:footnoteRef/>
      </w:r>
      <w:r>
        <w:t xml:space="preserve"> </w:t>
      </w:r>
      <w:bookmarkStart w:id="1043" w:name="f719"/>
      <w:bookmarkEnd w:id="1043"/>
      <w:r w:rsidRPr="000C11F3">
        <w:rPr>
          <w:rFonts w:ascii="Times New Roman" w:hAnsi="Times New Roman" w:cs="Times New Roman"/>
          <w:i/>
          <w:iCs/>
        </w:rPr>
        <w:t>Id.</w:t>
      </w:r>
      <w:r w:rsidRPr="000C11F3">
        <w:rPr>
          <w:rFonts w:ascii="Times New Roman" w:hAnsi="Times New Roman" w:cs="Times New Roman"/>
        </w:rPr>
        <w:t xml:space="preserve"> at 587</w:t>
      </w:r>
    </w:p>
  </w:footnote>
  <w:footnote w:id="750">
    <w:p w14:paraId="647A44D8" w14:textId="48A057B8" w:rsidR="00336EDF" w:rsidRDefault="00336EDF">
      <w:pPr>
        <w:pStyle w:val="FootnoteText"/>
      </w:pPr>
      <w:r w:rsidRPr="006D65DC">
        <w:rPr>
          <w:rStyle w:val="FootnoteReference"/>
          <w:rFonts w:ascii="Times New Roman" w:hAnsi="Times New Roman" w:cs="Times New Roman"/>
        </w:rPr>
        <w:footnoteRef/>
      </w:r>
      <w:r>
        <w:t xml:space="preserve"> </w:t>
      </w:r>
      <w:bookmarkStart w:id="1044" w:name="f720"/>
      <w:bookmarkEnd w:id="1044"/>
      <w:r w:rsidRPr="006D65DC">
        <w:rPr>
          <w:rFonts w:ascii="Times New Roman" w:hAnsi="Times New Roman" w:cs="Times New Roman"/>
          <w:i/>
          <w:iCs/>
        </w:rPr>
        <w:t xml:space="preserve">Id. </w:t>
      </w:r>
    </w:p>
  </w:footnote>
  <w:footnote w:id="751">
    <w:p w14:paraId="0FE92542" w14:textId="428CAA01" w:rsidR="00336EDF" w:rsidRDefault="00336EDF" w:rsidP="006D65DC">
      <w:pPr>
        <w:pStyle w:val="FootnoteText"/>
        <w:jc w:val="both"/>
      </w:pPr>
      <w:r w:rsidRPr="006D65DC">
        <w:rPr>
          <w:rStyle w:val="FootnoteReference"/>
          <w:rFonts w:ascii="Times New Roman" w:hAnsi="Times New Roman" w:cs="Times New Roman"/>
        </w:rPr>
        <w:footnoteRef/>
      </w:r>
      <w:r>
        <w:t xml:space="preserve"> </w:t>
      </w:r>
      <w:bookmarkStart w:id="1045" w:name="f721"/>
      <w:bookmarkEnd w:id="1045"/>
      <w:r w:rsidRPr="006D65DC">
        <w:rPr>
          <w:rFonts w:ascii="Times New Roman" w:hAnsi="Times New Roman" w:cs="Times New Roman"/>
        </w:rPr>
        <w:t xml:space="preserve">Wilkinson v. Workers Safety &amp; Comp. Div., </w:t>
      </w:r>
      <w:hyperlink r:id="rId289" w:history="1">
        <w:r w:rsidRPr="00BF57BD">
          <w:rPr>
            <w:rStyle w:val="Hyperlink"/>
            <w:rFonts w:ascii="Times New Roman" w:hAnsi="Times New Roman" w:cs="Times New Roman"/>
          </w:rPr>
          <w:t>991 P.2d 1228</w:t>
        </w:r>
      </w:hyperlink>
      <w:r w:rsidRPr="006D65DC">
        <w:rPr>
          <w:rFonts w:ascii="Times New Roman" w:hAnsi="Times New Roman" w:cs="Times New Roman"/>
        </w:rPr>
        <w:t xml:space="preserve">, 1234 (Wyo.1999) see also Tozzi v. Moffett, </w:t>
      </w:r>
      <w:hyperlink r:id="rId290" w:history="1">
        <w:r w:rsidRPr="00BF57BD">
          <w:rPr>
            <w:rStyle w:val="Hyperlink"/>
            <w:rFonts w:ascii="Times New Roman" w:hAnsi="Times New Roman" w:cs="Times New Roman"/>
          </w:rPr>
          <w:t>430 P.3d 754</w:t>
        </w:r>
      </w:hyperlink>
      <w:r w:rsidRPr="006D65DC">
        <w:rPr>
          <w:rFonts w:ascii="Times New Roman" w:hAnsi="Times New Roman" w:cs="Times New Roman"/>
        </w:rPr>
        <w:t>, 760 (Wyo. 2018)</w:t>
      </w:r>
    </w:p>
  </w:footnote>
  <w:footnote w:id="752">
    <w:p w14:paraId="338EE53B" w14:textId="07A906EF" w:rsidR="00336EDF" w:rsidRDefault="00336EDF">
      <w:pPr>
        <w:pStyle w:val="FootnoteText"/>
      </w:pPr>
      <w:r w:rsidRPr="00E834A9">
        <w:rPr>
          <w:rStyle w:val="FootnoteReference"/>
          <w:rFonts w:ascii="Times New Roman" w:hAnsi="Times New Roman" w:cs="Times New Roman"/>
        </w:rPr>
        <w:footnoteRef/>
      </w:r>
      <w:r w:rsidRPr="00E834A9">
        <w:rPr>
          <w:rFonts w:ascii="Times New Roman" w:hAnsi="Times New Roman" w:cs="Times New Roman"/>
        </w:rPr>
        <w:t xml:space="preserve"> </w:t>
      </w:r>
      <w:bookmarkStart w:id="1046" w:name="f722"/>
      <w:bookmarkStart w:id="1047" w:name="_Hlk12031052"/>
      <w:bookmarkEnd w:id="1046"/>
      <w:r w:rsidRPr="00E834A9">
        <w:rPr>
          <w:rFonts w:ascii="Times New Roman" w:hAnsi="Times New Roman" w:cs="Times New Roman"/>
        </w:rPr>
        <w:t xml:space="preserve">Taylor, </w:t>
      </w:r>
      <w:r w:rsidRPr="00E834A9">
        <w:rPr>
          <w:rFonts w:ascii="Times New Roman" w:hAnsi="Times New Roman" w:cs="Times New Roman"/>
          <w:i/>
          <w:iCs/>
        </w:rPr>
        <w:t>supra</w:t>
      </w:r>
      <w:r w:rsidRPr="00E834A9">
        <w:rPr>
          <w:rFonts w:ascii="Times New Roman" w:hAnsi="Times New Roman" w:cs="Times New Roman"/>
        </w:rPr>
        <w:t xml:space="preserve">., 233 P.3d at 587 </w:t>
      </w:r>
      <w:bookmarkEnd w:id="1047"/>
      <w:r w:rsidRPr="00E834A9">
        <w:rPr>
          <w:rFonts w:ascii="Times New Roman" w:hAnsi="Times New Roman" w:cs="Times New Roman"/>
          <w:i/>
          <w:iCs/>
        </w:rPr>
        <w:t>quoting</w:t>
      </w:r>
      <w:r w:rsidRPr="00E834A9">
        <w:rPr>
          <w:rFonts w:ascii="Times New Roman" w:hAnsi="Times New Roman" w:cs="Times New Roman"/>
        </w:rPr>
        <w:t xml:space="preserve"> Cermak v. Great West Cas. Co., </w:t>
      </w:r>
      <w:hyperlink r:id="rId291" w:history="1">
        <w:r w:rsidRPr="00BF57BD">
          <w:rPr>
            <w:rStyle w:val="Hyperlink"/>
            <w:rFonts w:ascii="Times New Roman" w:hAnsi="Times New Roman" w:cs="Times New Roman"/>
          </w:rPr>
          <w:t>2 P.3d 1047</w:t>
        </w:r>
      </w:hyperlink>
      <w:r w:rsidRPr="00E834A9">
        <w:rPr>
          <w:rFonts w:ascii="Times New Roman" w:hAnsi="Times New Roman" w:cs="Times New Roman"/>
        </w:rPr>
        <w:t>, 1054 (Wyo.2000).</w:t>
      </w:r>
    </w:p>
  </w:footnote>
  <w:footnote w:id="753">
    <w:p w14:paraId="486037C4" w14:textId="5603674F" w:rsidR="00336EDF" w:rsidRDefault="00336EDF">
      <w:pPr>
        <w:pStyle w:val="FootnoteText"/>
      </w:pPr>
      <w:r w:rsidRPr="00E834A9">
        <w:rPr>
          <w:rStyle w:val="FootnoteReference"/>
          <w:rFonts w:ascii="Times New Roman" w:hAnsi="Times New Roman" w:cs="Times New Roman"/>
        </w:rPr>
        <w:footnoteRef/>
      </w:r>
      <w:r w:rsidRPr="00E834A9">
        <w:rPr>
          <w:rFonts w:ascii="Times New Roman" w:hAnsi="Times New Roman" w:cs="Times New Roman"/>
        </w:rPr>
        <w:t xml:space="preserve"> </w:t>
      </w:r>
      <w:bookmarkStart w:id="1048" w:name="f723"/>
      <w:bookmarkEnd w:id="1048"/>
      <w:r w:rsidRPr="00E834A9">
        <w:rPr>
          <w:rFonts w:ascii="Times New Roman" w:hAnsi="Times New Roman" w:cs="Times New Roman"/>
        </w:rPr>
        <w:t xml:space="preserve">Taylor, </w:t>
      </w:r>
      <w:r w:rsidRPr="00E834A9">
        <w:rPr>
          <w:rFonts w:ascii="Times New Roman" w:hAnsi="Times New Roman" w:cs="Times New Roman"/>
          <w:i/>
          <w:iCs/>
        </w:rPr>
        <w:t>supra</w:t>
      </w:r>
      <w:r w:rsidRPr="00E834A9">
        <w:rPr>
          <w:rFonts w:ascii="Times New Roman" w:hAnsi="Times New Roman" w:cs="Times New Roman"/>
        </w:rPr>
        <w:t>., 233 P.3d at 58</w:t>
      </w:r>
      <w:r>
        <w:rPr>
          <w:rFonts w:ascii="Times New Roman" w:hAnsi="Times New Roman" w:cs="Times New Roman"/>
        </w:rPr>
        <w:t>8</w:t>
      </w:r>
    </w:p>
  </w:footnote>
  <w:footnote w:id="754">
    <w:p w14:paraId="70D529EA" w14:textId="6E2A5A3A" w:rsidR="00336EDF" w:rsidRDefault="00336EDF">
      <w:pPr>
        <w:pStyle w:val="FootnoteText"/>
      </w:pPr>
      <w:r w:rsidRPr="008F70E5">
        <w:rPr>
          <w:rStyle w:val="FootnoteReference"/>
          <w:rFonts w:ascii="Times New Roman" w:hAnsi="Times New Roman" w:cs="Times New Roman"/>
        </w:rPr>
        <w:footnoteRef/>
      </w:r>
      <w:r>
        <w:t xml:space="preserve"> </w:t>
      </w:r>
      <w:bookmarkStart w:id="1049" w:name="f724"/>
      <w:bookmarkEnd w:id="1049"/>
      <w:r w:rsidRPr="008F70E5">
        <w:rPr>
          <w:rFonts w:ascii="Times New Roman" w:hAnsi="Times New Roman" w:cs="Times New Roman"/>
          <w:i/>
          <w:iCs/>
        </w:rPr>
        <w:t>See generally</w:t>
      </w:r>
      <w:r>
        <w:t xml:space="preserve"> </w:t>
      </w:r>
      <w:bookmarkStart w:id="1050" w:name="_Hlk12792660"/>
      <w:r w:rsidRPr="00746B73">
        <w:rPr>
          <w:rFonts w:ascii="Times New Roman" w:hAnsi="Times New Roman" w:cs="Times New Roman"/>
        </w:rPr>
        <w:t xml:space="preserve">1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 1</w:t>
      </w:r>
      <w:r>
        <w:rPr>
          <w:rFonts w:ascii="Times New Roman" w:hAnsi="Times New Roman" w:cs="Times New Roman"/>
        </w:rPr>
        <w:t>0</w:t>
      </w:r>
      <w:r w:rsidRPr="00746B73">
        <w:rPr>
          <w:rFonts w:ascii="Times New Roman" w:hAnsi="Times New Roman" w:cs="Times New Roman"/>
        </w:rPr>
        <w:t>.0</w:t>
      </w:r>
      <w:r>
        <w:rPr>
          <w:rFonts w:ascii="Times New Roman" w:hAnsi="Times New Roman" w:cs="Times New Roman"/>
        </w:rPr>
        <w:t>2</w:t>
      </w:r>
      <w:bookmarkEnd w:id="1050"/>
    </w:p>
  </w:footnote>
  <w:footnote w:id="755">
    <w:p w14:paraId="391EA8EC" w14:textId="1DED6DBA" w:rsidR="00ED45A1" w:rsidRDefault="00ED45A1">
      <w:pPr>
        <w:pStyle w:val="FootnoteText"/>
      </w:pPr>
      <w:r w:rsidRPr="006B1474">
        <w:rPr>
          <w:rStyle w:val="FootnoteReference"/>
          <w:rFonts w:ascii="Times New Roman" w:hAnsi="Times New Roman" w:cs="Times New Roman"/>
        </w:rPr>
        <w:footnoteRef/>
      </w:r>
      <w:r>
        <w:t xml:space="preserve"> </w:t>
      </w:r>
      <w:hyperlink r:id="rId292" w:history="1">
        <w:r w:rsidRPr="006B1474">
          <w:rPr>
            <w:rStyle w:val="Hyperlink"/>
            <w:rFonts w:ascii="Times New Roman" w:hAnsi="Times New Roman" w:cs="Times New Roman"/>
          </w:rPr>
          <w:t>459 P.3d 443</w:t>
        </w:r>
      </w:hyperlink>
      <w:r w:rsidRPr="006B1474">
        <w:rPr>
          <w:rFonts w:ascii="Times New Roman" w:hAnsi="Times New Roman" w:cs="Times New Roman"/>
        </w:rPr>
        <w:t xml:space="preserve"> (2020)</w:t>
      </w:r>
    </w:p>
  </w:footnote>
  <w:footnote w:id="756">
    <w:p w14:paraId="59D2BA4D" w14:textId="454B8390" w:rsidR="00433BDA" w:rsidRDefault="00433BDA">
      <w:pPr>
        <w:pStyle w:val="FootnoteText"/>
      </w:pPr>
      <w:r w:rsidRPr="006B1474">
        <w:rPr>
          <w:rStyle w:val="FootnoteReference"/>
          <w:rFonts w:ascii="Times New Roman" w:hAnsi="Times New Roman" w:cs="Times New Roman"/>
        </w:rPr>
        <w:footnoteRef/>
      </w:r>
      <w:r>
        <w:t xml:space="preserve"> </w:t>
      </w:r>
      <w:r w:rsidRPr="006B1474">
        <w:rPr>
          <w:rFonts w:ascii="Times New Roman" w:hAnsi="Times New Roman" w:cs="Times New Roman"/>
          <w:i/>
          <w:iCs/>
        </w:rPr>
        <w:t>Id</w:t>
      </w:r>
      <w:r w:rsidRPr="006B1474">
        <w:rPr>
          <w:rFonts w:ascii="Times New Roman" w:hAnsi="Times New Roman" w:cs="Times New Roman"/>
        </w:rPr>
        <w:t>. at 447</w:t>
      </w:r>
    </w:p>
  </w:footnote>
  <w:footnote w:id="757">
    <w:p w14:paraId="33591556" w14:textId="753E8693" w:rsidR="00044250" w:rsidRDefault="00044250">
      <w:pPr>
        <w:pStyle w:val="FootnoteText"/>
      </w:pPr>
      <w:r w:rsidRPr="00D10591">
        <w:rPr>
          <w:rStyle w:val="FootnoteReference"/>
          <w:rFonts w:ascii="Times New Roman" w:hAnsi="Times New Roman" w:cs="Times New Roman"/>
        </w:rPr>
        <w:footnoteRef/>
      </w:r>
      <w:r w:rsidRPr="00D10591">
        <w:rPr>
          <w:rFonts w:ascii="Times New Roman" w:hAnsi="Times New Roman" w:cs="Times New Roman"/>
        </w:rPr>
        <w:t xml:space="preserve"> </w:t>
      </w:r>
      <w:r w:rsidRPr="00D10591">
        <w:rPr>
          <w:rFonts w:ascii="Times New Roman" w:hAnsi="Times New Roman" w:cs="Times New Roman"/>
          <w:i/>
          <w:iCs/>
        </w:rPr>
        <w:t>Id</w:t>
      </w:r>
      <w:r w:rsidRPr="00D10591">
        <w:rPr>
          <w:rFonts w:ascii="Times New Roman" w:hAnsi="Times New Roman" w:cs="Times New Roman"/>
        </w:rPr>
        <w:t>. at 446</w:t>
      </w:r>
    </w:p>
  </w:footnote>
  <w:footnote w:id="758">
    <w:p w14:paraId="5C0C570D" w14:textId="16CFB759" w:rsidR="00044250" w:rsidRDefault="00044250">
      <w:pPr>
        <w:pStyle w:val="FootnoteText"/>
      </w:pPr>
      <w:r w:rsidRPr="00D10591">
        <w:rPr>
          <w:rStyle w:val="FootnoteReference"/>
          <w:rFonts w:ascii="Times New Roman" w:hAnsi="Times New Roman" w:cs="Times New Roman"/>
        </w:rPr>
        <w:footnoteRef/>
      </w:r>
      <w:r>
        <w:t xml:space="preserve"> </w:t>
      </w:r>
      <w:r w:rsidRPr="00D10591">
        <w:rPr>
          <w:rFonts w:ascii="Times New Roman" w:hAnsi="Times New Roman" w:cs="Times New Roman"/>
          <w:i/>
          <w:iCs/>
        </w:rPr>
        <w:t>Id.</w:t>
      </w:r>
    </w:p>
  </w:footnote>
  <w:footnote w:id="759">
    <w:p w14:paraId="1A450BAF" w14:textId="0A12C6D1" w:rsidR="00044250" w:rsidRDefault="00044250">
      <w:pPr>
        <w:pStyle w:val="FootnoteText"/>
      </w:pPr>
      <w:r w:rsidRPr="00D10591">
        <w:rPr>
          <w:rStyle w:val="FootnoteReference"/>
          <w:rFonts w:ascii="Times New Roman" w:hAnsi="Times New Roman" w:cs="Times New Roman"/>
        </w:rPr>
        <w:footnoteRef/>
      </w:r>
      <w:r>
        <w:t xml:space="preserve"> </w:t>
      </w:r>
      <w:r w:rsidRPr="00D10591">
        <w:rPr>
          <w:rFonts w:ascii="Times New Roman" w:hAnsi="Times New Roman" w:cs="Times New Roman"/>
          <w:i/>
          <w:iCs/>
        </w:rPr>
        <w:t>Id.</w:t>
      </w:r>
    </w:p>
  </w:footnote>
  <w:footnote w:id="760">
    <w:p w14:paraId="04F1037F" w14:textId="289AE904" w:rsidR="00044250" w:rsidRDefault="00044250">
      <w:pPr>
        <w:pStyle w:val="FootnoteText"/>
      </w:pPr>
      <w:r w:rsidRPr="00D10591">
        <w:rPr>
          <w:rStyle w:val="FootnoteReference"/>
          <w:rFonts w:ascii="Times New Roman" w:hAnsi="Times New Roman" w:cs="Times New Roman"/>
        </w:rPr>
        <w:footnoteRef/>
      </w:r>
      <w:r>
        <w:t xml:space="preserve"> </w:t>
      </w:r>
      <w:r w:rsidRPr="00D10591">
        <w:rPr>
          <w:rFonts w:ascii="Times New Roman" w:hAnsi="Times New Roman" w:cs="Times New Roman"/>
          <w:i/>
          <w:iCs/>
        </w:rPr>
        <w:t>Id.</w:t>
      </w:r>
    </w:p>
  </w:footnote>
  <w:footnote w:id="761">
    <w:p w14:paraId="23C7E41C" w14:textId="44119EBC" w:rsidR="00044250" w:rsidRDefault="00044250">
      <w:pPr>
        <w:pStyle w:val="FootnoteText"/>
      </w:pPr>
      <w:r w:rsidRPr="00D10591">
        <w:rPr>
          <w:rStyle w:val="FootnoteReference"/>
          <w:rFonts w:ascii="Times New Roman" w:hAnsi="Times New Roman" w:cs="Times New Roman"/>
        </w:rPr>
        <w:footnoteRef/>
      </w:r>
      <w:r w:rsidRPr="00D10591">
        <w:rPr>
          <w:rStyle w:val="FootnoteReference"/>
          <w:rFonts w:ascii="Times New Roman" w:hAnsi="Times New Roman" w:cs="Times New Roman"/>
        </w:rPr>
        <w:t xml:space="preserve"> </w:t>
      </w:r>
      <w:r w:rsidRPr="00D10591">
        <w:rPr>
          <w:rFonts w:ascii="Times New Roman" w:hAnsi="Times New Roman" w:cs="Times New Roman"/>
          <w:i/>
          <w:iCs/>
        </w:rPr>
        <w:t>Id.</w:t>
      </w:r>
    </w:p>
  </w:footnote>
  <w:footnote w:id="762">
    <w:p w14:paraId="65528CA5" w14:textId="4B0D673A" w:rsidR="00044250" w:rsidRDefault="00044250">
      <w:pPr>
        <w:pStyle w:val="FootnoteText"/>
      </w:pPr>
      <w:r w:rsidRPr="00D10591">
        <w:rPr>
          <w:rStyle w:val="FootnoteReference"/>
          <w:rFonts w:ascii="Times New Roman" w:hAnsi="Times New Roman" w:cs="Times New Roman"/>
        </w:rPr>
        <w:footnoteRef/>
      </w:r>
      <w:r>
        <w:t xml:space="preserve"> </w:t>
      </w:r>
      <w:r w:rsidRPr="00D10591">
        <w:rPr>
          <w:rFonts w:ascii="Times New Roman" w:hAnsi="Times New Roman" w:cs="Times New Roman"/>
          <w:i/>
          <w:iCs/>
        </w:rPr>
        <w:t>Id.</w:t>
      </w:r>
    </w:p>
  </w:footnote>
  <w:footnote w:id="763">
    <w:p w14:paraId="2E1F21EC" w14:textId="58B64F2F" w:rsidR="00044250" w:rsidRDefault="00044250">
      <w:pPr>
        <w:pStyle w:val="FootnoteText"/>
      </w:pPr>
      <w:r w:rsidRPr="00D10591">
        <w:rPr>
          <w:rStyle w:val="FootnoteReference"/>
          <w:rFonts w:ascii="Times New Roman" w:hAnsi="Times New Roman" w:cs="Times New Roman"/>
        </w:rPr>
        <w:footnoteRef/>
      </w:r>
      <w:r w:rsidRPr="00D10591">
        <w:rPr>
          <w:rStyle w:val="FootnoteReference"/>
          <w:rFonts w:ascii="Times New Roman" w:hAnsi="Times New Roman" w:cs="Times New Roman"/>
        </w:rPr>
        <w:t xml:space="preserve"> </w:t>
      </w:r>
      <w:r w:rsidRPr="00D10591">
        <w:rPr>
          <w:rFonts w:ascii="Times New Roman" w:hAnsi="Times New Roman" w:cs="Times New Roman"/>
          <w:i/>
          <w:iCs/>
        </w:rPr>
        <w:t>Id.</w:t>
      </w:r>
      <w:r w:rsidRPr="00D10591">
        <w:rPr>
          <w:rFonts w:ascii="Times New Roman" w:hAnsi="Times New Roman" w:cs="Times New Roman"/>
        </w:rPr>
        <w:t xml:space="preserve"> at 447</w:t>
      </w:r>
    </w:p>
  </w:footnote>
  <w:footnote w:id="764">
    <w:p w14:paraId="18FD380C" w14:textId="52462ADC" w:rsidR="00044250" w:rsidRDefault="00044250">
      <w:pPr>
        <w:pStyle w:val="FootnoteText"/>
      </w:pPr>
      <w:r w:rsidRPr="00D10591">
        <w:rPr>
          <w:rStyle w:val="FootnoteReference"/>
          <w:rFonts w:ascii="Times New Roman" w:hAnsi="Times New Roman" w:cs="Times New Roman"/>
        </w:rPr>
        <w:footnoteRef/>
      </w:r>
      <w:r>
        <w:t xml:space="preserve"> </w:t>
      </w:r>
      <w:r w:rsidRPr="00D10591">
        <w:rPr>
          <w:rFonts w:ascii="Times New Roman" w:hAnsi="Times New Roman" w:cs="Times New Roman"/>
          <w:i/>
          <w:iCs/>
        </w:rPr>
        <w:t>Id.</w:t>
      </w:r>
    </w:p>
  </w:footnote>
  <w:footnote w:id="765">
    <w:p w14:paraId="79D8EE80" w14:textId="1F241CC9" w:rsidR="00336EDF" w:rsidRDefault="00336EDF">
      <w:pPr>
        <w:pStyle w:val="FootnoteText"/>
      </w:pPr>
      <w:r w:rsidRPr="00A21EC3">
        <w:rPr>
          <w:rStyle w:val="FootnoteReference"/>
          <w:rFonts w:ascii="Times New Roman" w:hAnsi="Times New Roman" w:cs="Times New Roman"/>
        </w:rPr>
        <w:footnoteRef/>
      </w:r>
      <w:r w:rsidRPr="00A21EC3">
        <w:rPr>
          <w:rFonts w:ascii="Times New Roman" w:hAnsi="Times New Roman" w:cs="Times New Roman"/>
        </w:rPr>
        <w:t xml:space="preserve"> </w:t>
      </w:r>
      <w:bookmarkStart w:id="1052" w:name="f725"/>
      <w:bookmarkEnd w:id="1052"/>
      <w:r w:rsidRPr="00A21EC3">
        <w:rPr>
          <w:rFonts w:ascii="Times New Roman" w:hAnsi="Times New Roman" w:cs="Times New Roman"/>
        </w:rPr>
        <w:t>Wyo. Stat. Ann. § 16–3–10</w:t>
      </w:r>
      <w:r>
        <w:rPr>
          <w:rFonts w:ascii="Times New Roman" w:hAnsi="Times New Roman" w:cs="Times New Roman"/>
        </w:rPr>
        <w:t>1 et seq.</w:t>
      </w:r>
    </w:p>
  </w:footnote>
  <w:footnote w:id="766">
    <w:p w14:paraId="719BAD65" w14:textId="36463DF5" w:rsidR="00336EDF" w:rsidRDefault="00336EDF">
      <w:pPr>
        <w:pStyle w:val="FootnoteText"/>
      </w:pPr>
      <w:r w:rsidRPr="00A21EC3">
        <w:rPr>
          <w:rStyle w:val="FootnoteReference"/>
          <w:rFonts w:ascii="Times New Roman" w:hAnsi="Times New Roman" w:cs="Times New Roman"/>
        </w:rPr>
        <w:footnoteRef/>
      </w:r>
      <w:r>
        <w:t xml:space="preserve"> </w:t>
      </w:r>
      <w:bookmarkStart w:id="1053" w:name="f726"/>
      <w:bookmarkEnd w:id="1053"/>
      <w:r w:rsidRPr="00A21EC3">
        <w:rPr>
          <w:rFonts w:ascii="Times New Roman" w:hAnsi="Times New Roman" w:cs="Times New Roman"/>
        </w:rPr>
        <w:t>Wyo. Stat. Ann. § 16–3–101 et seq</w:t>
      </w:r>
      <w:r>
        <w:rPr>
          <w:rFonts w:ascii="Times New Roman" w:hAnsi="Times New Roman" w:cs="Times New Roman"/>
        </w:rPr>
        <w:t>.</w:t>
      </w:r>
    </w:p>
  </w:footnote>
  <w:footnote w:id="767">
    <w:p w14:paraId="31164537" w14:textId="3312485D" w:rsidR="00336EDF" w:rsidRDefault="00336EDF">
      <w:pPr>
        <w:pStyle w:val="FootnoteText"/>
      </w:pPr>
      <w:r w:rsidRPr="00B811F2">
        <w:rPr>
          <w:rStyle w:val="FootnoteReference"/>
          <w:rFonts w:ascii="Times New Roman" w:hAnsi="Times New Roman" w:cs="Times New Roman"/>
        </w:rPr>
        <w:footnoteRef/>
      </w:r>
      <w:r>
        <w:t xml:space="preserve"> </w:t>
      </w:r>
      <w:bookmarkStart w:id="1055" w:name="f727"/>
      <w:bookmarkStart w:id="1056" w:name="_Hlk12373731"/>
      <w:bookmarkEnd w:id="1055"/>
      <w:r>
        <w:fldChar w:fldCharType="begin"/>
      </w:r>
      <w:r>
        <w:instrText xml:space="preserve"> HYPERLINK "https://www.leagle.com/decision/2006703135p3d5681703" </w:instrText>
      </w:r>
      <w:r>
        <w:fldChar w:fldCharType="separate"/>
      </w:r>
      <w:r w:rsidRPr="00B811F2">
        <w:rPr>
          <w:rStyle w:val="Hyperlink"/>
          <w:rFonts w:ascii="Times New Roman" w:hAnsi="Times New Roman" w:cs="Times New Roman"/>
        </w:rPr>
        <w:t>135 P.3d 568</w:t>
      </w:r>
      <w:r>
        <w:rPr>
          <w:rStyle w:val="Hyperlink"/>
          <w:rFonts w:ascii="Times New Roman" w:hAnsi="Times New Roman" w:cs="Times New Roman"/>
        </w:rPr>
        <w:fldChar w:fldCharType="end"/>
      </w:r>
      <w:r>
        <w:rPr>
          <w:rFonts w:ascii="Times New Roman" w:hAnsi="Times New Roman" w:cs="Times New Roman"/>
        </w:rPr>
        <w:t>, 571</w:t>
      </w:r>
      <w:r w:rsidRPr="00B811F2">
        <w:rPr>
          <w:rFonts w:ascii="Times New Roman" w:hAnsi="Times New Roman" w:cs="Times New Roman"/>
        </w:rPr>
        <w:t xml:space="preserve"> (Wyo. 2006)</w:t>
      </w:r>
      <w:bookmarkEnd w:id="1056"/>
    </w:p>
  </w:footnote>
  <w:footnote w:id="768">
    <w:p w14:paraId="30E0ED34" w14:textId="16927DB4" w:rsidR="00336EDF" w:rsidRDefault="00336EDF">
      <w:pPr>
        <w:pStyle w:val="FootnoteText"/>
      </w:pPr>
      <w:r w:rsidRPr="00B811F2">
        <w:rPr>
          <w:rStyle w:val="FootnoteReference"/>
          <w:rFonts w:ascii="Times New Roman" w:hAnsi="Times New Roman" w:cs="Times New Roman"/>
        </w:rPr>
        <w:footnoteRef/>
      </w:r>
      <w:r w:rsidRPr="00B811F2">
        <w:rPr>
          <w:rFonts w:ascii="Times New Roman" w:hAnsi="Times New Roman" w:cs="Times New Roman"/>
        </w:rPr>
        <w:t xml:space="preserve"> </w:t>
      </w:r>
      <w:bookmarkStart w:id="1057" w:name="f728"/>
      <w:bookmarkEnd w:id="1057"/>
      <w:r w:rsidRPr="00B811F2">
        <w:rPr>
          <w:rFonts w:ascii="Times New Roman" w:hAnsi="Times New Roman" w:cs="Times New Roman"/>
          <w:i/>
          <w:iCs/>
        </w:rPr>
        <w:t>Id</w:t>
      </w:r>
      <w:r w:rsidRPr="00B811F2">
        <w:rPr>
          <w:rFonts w:ascii="Times New Roman" w:hAnsi="Times New Roman" w:cs="Times New Roman"/>
        </w:rPr>
        <w:t>. 582-584</w:t>
      </w:r>
    </w:p>
  </w:footnote>
  <w:footnote w:id="769">
    <w:p w14:paraId="18B9AB61" w14:textId="221DC4C5" w:rsidR="00336EDF" w:rsidRDefault="00336EDF">
      <w:pPr>
        <w:pStyle w:val="FootnoteText"/>
      </w:pPr>
      <w:r w:rsidRPr="000B4DB9">
        <w:rPr>
          <w:rStyle w:val="FootnoteReference"/>
          <w:rFonts w:ascii="Times New Roman" w:hAnsi="Times New Roman" w:cs="Times New Roman"/>
        </w:rPr>
        <w:footnoteRef/>
      </w:r>
      <w:r>
        <w:t xml:space="preserve"> </w:t>
      </w:r>
      <w:bookmarkStart w:id="1058" w:name="f729"/>
      <w:bookmarkEnd w:id="1058"/>
      <w:r w:rsidRPr="000B4DB9">
        <w:rPr>
          <w:rFonts w:ascii="Times New Roman" w:hAnsi="Times New Roman" w:cs="Times New Roman"/>
          <w:i/>
          <w:iCs/>
        </w:rPr>
        <w:t>Id.</w:t>
      </w:r>
      <w:r w:rsidRPr="000B4DB9">
        <w:rPr>
          <w:rFonts w:ascii="Times New Roman" w:hAnsi="Times New Roman" w:cs="Times New Roman"/>
        </w:rPr>
        <w:t xml:space="preserve"> at 581</w:t>
      </w:r>
    </w:p>
  </w:footnote>
  <w:footnote w:id="770">
    <w:p w14:paraId="732626CE" w14:textId="3668604A" w:rsidR="00336EDF" w:rsidRDefault="00336EDF">
      <w:pPr>
        <w:pStyle w:val="FootnoteText"/>
      </w:pPr>
      <w:r w:rsidRPr="006D0503">
        <w:rPr>
          <w:rStyle w:val="FootnoteReference"/>
          <w:rFonts w:ascii="Times New Roman" w:hAnsi="Times New Roman" w:cs="Times New Roman"/>
        </w:rPr>
        <w:footnoteRef/>
      </w:r>
      <w:r>
        <w:t xml:space="preserve"> </w:t>
      </w:r>
      <w:bookmarkStart w:id="1059" w:name="f730"/>
      <w:bookmarkEnd w:id="1059"/>
      <w:r w:rsidRPr="006D0503">
        <w:rPr>
          <w:rFonts w:ascii="Times New Roman" w:hAnsi="Times New Roman" w:cs="Times New Roman"/>
          <w:i/>
          <w:iCs/>
        </w:rPr>
        <w:t>Id.</w:t>
      </w:r>
    </w:p>
  </w:footnote>
  <w:footnote w:id="771">
    <w:p w14:paraId="12B36F2D" w14:textId="4C7B2902" w:rsidR="00336EDF" w:rsidRDefault="00336EDF">
      <w:pPr>
        <w:pStyle w:val="FootnoteText"/>
      </w:pPr>
      <w:r w:rsidRPr="006D0503">
        <w:rPr>
          <w:rStyle w:val="FootnoteReference"/>
          <w:rFonts w:ascii="Times New Roman" w:hAnsi="Times New Roman" w:cs="Times New Roman"/>
        </w:rPr>
        <w:footnoteRef/>
      </w:r>
      <w:r w:rsidRPr="006D0503">
        <w:rPr>
          <w:rFonts w:ascii="Times New Roman" w:hAnsi="Times New Roman" w:cs="Times New Roman"/>
        </w:rPr>
        <w:t xml:space="preserve"> </w:t>
      </w:r>
      <w:bookmarkStart w:id="1060" w:name="f731"/>
      <w:bookmarkEnd w:id="1060"/>
      <w:r w:rsidRPr="006D0503">
        <w:rPr>
          <w:rFonts w:ascii="Times New Roman" w:hAnsi="Times New Roman" w:cs="Times New Roman"/>
          <w:i/>
          <w:iCs/>
        </w:rPr>
        <w:t>Id.</w:t>
      </w:r>
    </w:p>
  </w:footnote>
  <w:footnote w:id="772">
    <w:p w14:paraId="2B605367" w14:textId="0FEB86D2" w:rsidR="00336EDF" w:rsidRDefault="00336EDF">
      <w:pPr>
        <w:pStyle w:val="FootnoteText"/>
      </w:pPr>
      <w:r w:rsidRPr="006D0503">
        <w:rPr>
          <w:rStyle w:val="FootnoteReference"/>
          <w:rFonts w:ascii="Times New Roman" w:hAnsi="Times New Roman" w:cs="Times New Roman"/>
        </w:rPr>
        <w:footnoteRef/>
      </w:r>
      <w:r>
        <w:t xml:space="preserve"> </w:t>
      </w:r>
      <w:bookmarkStart w:id="1061" w:name="f732"/>
      <w:bookmarkEnd w:id="1061"/>
      <w:r w:rsidRPr="006D0503">
        <w:rPr>
          <w:rFonts w:ascii="Times New Roman" w:hAnsi="Times New Roman" w:cs="Times New Roman"/>
          <w:i/>
          <w:iCs/>
        </w:rPr>
        <w:t>Id.</w:t>
      </w:r>
    </w:p>
  </w:footnote>
  <w:footnote w:id="773">
    <w:p w14:paraId="1A8025A6" w14:textId="7B88127E" w:rsidR="00336EDF" w:rsidRDefault="00336EDF">
      <w:pPr>
        <w:pStyle w:val="FootnoteText"/>
      </w:pPr>
      <w:r w:rsidRPr="0064554E">
        <w:rPr>
          <w:rStyle w:val="FootnoteReference"/>
          <w:rFonts w:ascii="Times New Roman" w:hAnsi="Times New Roman" w:cs="Times New Roman"/>
        </w:rPr>
        <w:footnoteRef/>
      </w:r>
      <w:r>
        <w:t xml:space="preserve"> </w:t>
      </w:r>
      <w:bookmarkStart w:id="1062" w:name="f733"/>
      <w:bookmarkEnd w:id="1062"/>
      <w:r w:rsidRPr="0064554E">
        <w:rPr>
          <w:rFonts w:ascii="Times New Roman" w:hAnsi="Times New Roman" w:cs="Times New Roman"/>
          <w:i/>
          <w:iCs/>
        </w:rPr>
        <w:t>Id</w:t>
      </w:r>
      <w:r w:rsidRPr="0064554E">
        <w:rPr>
          <w:rFonts w:ascii="Times New Roman" w:hAnsi="Times New Roman" w:cs="Times New Roman"/>
        </w:rPr>
        <w:t>. at 585</w:t>
      </w:r>
    </w:p>
  </w:footnote>
  <w:footnote w:id="774">
    <w:p w14:paraId="4425218B" w14:textId="1B507177" w:rsidR="00336EDF" w:rsidRDefault="00336EDF">
      <w:pPr>
        <w:pStyle w:val="FootnoteText"/>
      </w:pPr>
      <w:r w:rsidRPr="000C5D3C">
        <w:rPr>
          <w:rStyle w:val="FootnoteReference"/>
          <w:rFonts w:ascii="Times New Roman" w:hAnsi="Times New Roman" w:cs="Times New Roman"/>
        </w:rPr>
        <w:footnoteRef/>
      </w:r>
      <w:r>
        <w:t xml:space="preserve"> </w:t>
      </w:r>
      <w:bookmarkStart w:id="1064" w:name="f734"/>
      <w:bookmarkEnd w:id="1064"/>
      <w:r w:rsidRPr="000C5D3C">
        <w:rPr>
          <w:rFonts w:ascii="Times New Roman" w:hAnsi="Times New Roman" w:cs="Times New Roman"/>
        </w:rPr>
        <w:t>60 &amp; 61 Vict</w:t>
      </w:r>
      <w:r>
        <w:rPr>
          <w:rFonts w:ascii="Times New Roman" w:hAnsi="Times New Roman" w:cs="Times New Roman"/>
        </w:rPr>
        <w:t>.</w:t>
      </w:r>
      <w:r w:rsidRPr="000C5D3C">
        <w:rPr>
          <w:rFonts w:ascii="Times New Roman" w:hAnsi="Times New Roman" w:cs="Times New Roman"/>
        </w:rPr>
        <w:t>, c. 37, 2nd Sched.</w:t>
      </w:r>
      <w:r>
        <w:rPr>
          <w:rFonts w:ascii="Times New Roman" w:hAnsi="Times New Roman" w:cs="Times New Roman"/>
        </w:rPr>
        <w:t>,</w:t>
      </w:r>
      <w:r w:rsidRPr="000C5D3C">
        <w:rPr>
          <w:rFonts w:ascii="Times New Roman" w:hAnsi="Times New Roman" w:cs="Times New Roman"/>
        </w:rPr>
        <w:t xml:space="preserve"> (4)</w:t>
      </w:r>
      <w:r>
        <w:rPr>
          <w:rFonts w:ascii="Times New Roman" w:hAnsi="Times New Roman" w:cs="Times New Roman"/>
        </w:rPr>
        <w:t xml:space="preserve"> (1897)</w:t>
      </w:r>
      <w:r>
        <w:t xml:space="preserve"> </w:t>
      </w:r>
    </w:p>
  </w:footnote>
  <w:footnote w:id="775">
    <w:p w14:paraId="21B5BAAB" w14:textId="62B00BA6" w:rsidR="00336EDF" w:rsidRPr="000C05E9" w:rsidRDefault="00336EDF" w:rsidP="000C05E9">
      <w:pPr>
        <w:pStyle w:val="FootnoteText"/>
        <w:jc w:val="both"/>
        <w:rPr>
          <w:rFonts w:ascii="Times New Roman" w:hAnsi="Times New Roman" w:cs="Times New Roman"/>
        </w:rPr>
      </w:pPr>
      <w:r w:rsidRPr="000C05E9">
        <w:rPr>
          <w:rStyle w:val="FootnoteReference"/>
          <w:rFonts w:ascii="Times New Roman" w:hAnsi="Times New Roman" w:cs="Times New Roman"/>
        </w:rPr>
        <w:footnoteRef/>
      </w:r>
      <w:r w:rsidRPr="000C05E9">
        <w:rPr>
          <w:rFonts w:ascii="Times New Roman" w:hAnsi="Times New Roman" w:cs="Times New Roman"/>
        </w:rPr>
        <w:t xml:space="preserve"> </w:t>
      </w:r>
      <w:bookmarkStart w:id="1065" w:name="f735"/>
      <w:bookmarkEnd w:id="1065"/>
      <w:r>
        <w:rPr>
          <w:rFonts w:ascii="Times New Roman" w:hAnsi="Times New Roman" w:cs="Times New Roman"/>
        </w:rPr>
        <w:t xml:space="preserve">I would like to thank my student Emily Madden for performing much of the research in the administrative law procedural section while completing a seminar paper with me during the spring semester of 2019. </w:t>
      </w:r>
      <w:r w:rsidRPr="000C05E9">
        <w:rPr>
          <w:rFonts w:ascii="Times New Roman" w:hAnsi="Times New Roman" w:cs="Times New Roman"/>
        </w:rPr>
        <w:t xml:space="preserve">For a succinct summary reflecting the universal use of administrative agencies in workers’ compensation adjudication </w:t>
      </w:r>
      <w:r w:rsidRPr="000C05E9">
        <w:rPr>
          <w:rFonts w:ascii="Times New Roman" w:hAnsi="Times New Roman" w:cs="Times New Roman"/>
          <w:i/>
          <w:iCs/>
        </w:rPr>
        <w:t xml:space="preserve">see </w:t>
      </w:r>
      <w:r w:rsidRPr="000C05E9">
        <w:rPr>
          <w:rFonts w:ascii="Times New Roman" w:hAnsi="Times New Roman" w:cs="Times New Roman"/>
        </w:rPr>
        <w:t xml:space="preserve">David B. Torrey, </w:t>
      </w:r>
      <w:r w:rsidRPr="000C05E9">
        <w:rPr>
          <w:rFonts w:ascii="Times New Roman" w:hAnsi="Times New Roman" w:cs="Times New Roman"/>
          <w:i/>
          <w:iCs/>
        </w:rPr>
        <w:t>The Workers’ Compensation Judge and Finality of Fact-Finding Among States: Introduction and Tables</w:t>
      </w:r>
      <w:r w:rsidRPr="000C05E9">
        <w:rPr>
          <w:rFonts w:ascii="Times New Roman" w:hAnsi="Times New Roman" w:cs="Times New Roman"/>
        </w:rPr>
        <w:t xml:space="preserve">, </w:t>
      </w:r>
      <w:r w:rsidRPr="000C05E9">
        <w:rPr>
          <w:rFonts w:ascii="Times New Roman" w:hAnsi="Times New Roman" w:cs="Times New Roman"/>
          <w:smallCaps/>
        </w:rPr>
        <w:t>National Association of Workers’ Compensation Judiciary Comparative Adjudication Systems</w:t>
      </w:r>
      <w:r w:rsidRPr="000F792D">
        <w:rPr>
          <w:rFonts w:ascii="Times New Roman" w:hAnsi="Times New Roman" w:cs="Times New Roman"/>
          <w:smallCaps/>
        </w:rPr>
        <w:t xml:space="preserve"> </w:t>
      </w:r>
      <w:r w:rsidRPr="000C05E9">
        <w:rPr>
          <w:rFonts w:ascii="Times New Roman" w:hAnsi="Times New Roman" w:cs="Times New Roman"/>
          <w:smallCaps/>
        </w:rPr>
        <w:t>Project</w:t>
      </w:r>
      <w:r w:rsidRPr="000C05E9">
        <w:rPr>
          <w:rFonts w:ascii="Times New Roman" w:hAnsi="Times New Roman" w:cs="Times New Roman"/>
        </w:rPr>
        <w:t xml:space="preserve">, at tbl. 1, 2 (2012), </w:t>
      </w:r>
      <w:hyperlink r:id="rId293" w:history="1">
        <w:r w:rsidRPr="000C05E9">
          <w:rPr>
            <w:rStyle w:val="Hyperlink"/>
            <w:rFonts w:ascii="Times New Roman" w:hAnsi="Times New Roman" w:cs="Times New Roman"/>
          </w:rPr>
          <w:t>http://www.davetorrey.info</w:t>
        </w:r>
      </w:hyperlink>
      <w:r w:rsidRPr="000C05E9">
        <w:rPr>
          <w:rFonts w:ascii="Times New Roman" w:hAnsi="Times New Roman" w:cs="Times New Roman"/>
        </w:rPr>
        <w:t xml:space="preserve">. Since Judge Torrey’s summary, Tennessee, possessing one of the last two court-based systems, has transitioned to an administrative agency based system. </w:t>
      </w:r>
      <w:r w:rsidRPr="000C05E9">
        <w:rPr>
          <w:rFonts w:ascii="Times New Roman" w:hAnsi="Times New Roman" w:cs="Times New Roman"/>
          <w:i/>
          <w:iCs/>
        </w:rPr>
        <w:t xml:space="preserve">Id. </w:t>
      </w:r>
      <w:r w:rsidRPr="000C05E9">
        <w:rPr>
          <w:rFonts w:ascii="Times New Roman" w:hAnsi="Times New Roman" w:cs="Times New Roman"/>
        </w:rPr>
        <w:t xml:space="preserve">Only Alabama remains as a court-based system. </w:t>
      </w:r>
      <w:r w:rsidRPr="000C05E9">
        <w:rPr>
          <w:rFonts w:ascii="Times New Roman" w:hAnsi="Times New Roman" w:cs="Times New Roman"/>
          <w:i/>
          <w:iCs/>
        </w:rPr>
        <w:t>Id.</w:t>
      </w:r>
      <w:r w:rsidRPr="000C05E9">
        <w:rPr>
          <w:rFonts w:ascii="Times New Roman" w:hAnsi="Times New Roman" w:cs="Times New Roman"/>
        </w:rPr>
        <w:t xml:space="preserve">; </w:t>
      </w:r>
      <w:r w:rsidRPr="000C05E9">
        <w:rPr>
          <w:rFonts w:ascii="Times New Roman" w:hAnsi="Times New Roman" w:cs="Times New Roman"/>
          <w:i/>
          <w:iCs/>
        </w:rPr>
        <w:t xml:space="preserve">see also </w:t>
      </w:r>
      <w:r w:rsidRPr="000C05E9">
        <w:rPr>
          <w:rFonts w:ascii="Times New Roman" w:hAnsi="Times New Roman" w:cs="Times New Roman"/>
        </w:rPr>
        <w:t xml:space="preserve">David B. Torrey, </w:t>
      </w:r>
      <w:r w:rsidRPr="000C05E9">
        <w:rPr>
          <w:rFonts w:ascii="Times New Roman" w:hAnsi="Times New Roman" w:cs="Times New Roman"/>
          <w:i/>
          <w:iCs/>
        </w:rPr>
        <w:t>Master or Chancellor? The Workers’ Compensation Judge and Adjudicatory Power</w:t>
      </w:r>
      <w:r w:rsidRPr="000C05E9">
        <w:rPr>
          <w:rFonts w:ascii="Times New Roman" w:hAnsi="Times New Roman" w:cs="Times New Roman"/>
        </w:rPr>
        <w:t xml:space="preserve">, </w:t>
      </w:r>
      <w:hyperlink r:id="rId294" w:history="1">
        <w:r w:rsidRPr="000C05E9">
          <w:rPr>
            <w:rStyle w:val="Hyperlink"/>
            <w:rFonts w:ascii="Times New Roman" w:hAnsi="Times New Roman" w:cs="Times New Roman"/>
          </w:rPr>
          <w:t xml:space="preserve">32 J. </w:t>
        </w:r>
        <w:r w:rsidRPr="000C05E9">
          <w:rPr>
            <w:rStyle w:val="Hyperlink"/>
            <w:rFonts w:ascii="Times New Roman" w:hAnsi="Times New Roman" w:cs="Times New Roman"/>
            <w:smallCaps/>
          </w:rPr>
          <w:t>Nat. Assoc. of</w:t>
        </w:r>
        <w:r w:rsidRPr="000F792D">
          <w:rPr>
            <w:rStyle w:val="Hyperlink"/>
            <w:rFonts w:ascii="Times New Roman" w:hAnsi="Times New Roman" w:cs="Times New Roman"/>
            <w:smallCaps/>
          </w:rPr>
          <w:t xml:space="preserve"> Admin. Law Judiciary</w:t>
        </w:r>
      </w:hyperlink>
      <w:r w:rsidRPr="000C05E9">
        <w:rPr>
          <w:rFonts w:ascii="Times New Roman" w:hAnsi="Times New Roman" w:cs="Times New Roman"/>
        </w:rPr>
        <w:t xml:space="preserve"> 23, 35 (2012).</w:t>
      </w:r>
    </w:p>
  </w:footnote>
  <w:footnote w:id="776">
    <w:p w14:paraId="745A29CA" w14:textId="1C2EE46A" w:rsidR="00336EDF" w:rsidRPr="0070778C" w:rsidRDefault="00336EDF" w:rsidP="0070778C">
      <w:pPr>
        <w:pStyle w:val="FootnoteText"/>
        <w:jc w:val="both"/>
        <w:rPr>
          <w:rFonts w:ascii="Times New Roman" w:hAnsi="Times New Roman" w:cs="Times New Roman"/>
        </w:rPr>
      </w:pPr>
      <w:r w:rsidRPr="0070778C">
        <w:rPr>
          <w:rStyle w:val="FootnoteReference"/>
          <w:rFonts w:ascii="Times New Roman" w:hAnsi="Times New Roman" w:cs="Times New Roman"/>
        </w:rPr>
        <w:footnoteRef/>
      </w:r>
      <w:r w:rsidRPr="0070778C">
        <w:rPr>
          <w:rFonts w:ascii="Times New Roman" w:hAnsi="Times New Roman" w:cs="Times New Roman"/>
        </w:rPr>
        <w:t xml:space="preserve"> </w:t>
      </w:r>
      <w:bookmarkStart w:id="1066" w:name="f736"/>
      <w:bookmarkEnd w:id="1066"/>
      <w:r w:rsidRPr="0070778C">
        <w:rPr>
          <w:rFonts w:ascii="Times New Roman" w:hAnsi="Times New Roman" w:cs="Times New Roman"/>
          <w:smallCaps/>
        </w:rPr>
        <w:t>Duff</w:t>
      </w:r>
      <w:r w:rsidRPr="0070778C">
        <w:rPr>
          <w:rFonts w:ascii="Times New Roman" w:hAnsi="Times New Roman" w:cs="Times New Roman"/>
        </w:rPr>
        <w:t xml:space="preserve">, </w:t>
      </w:r>
      <w:r w:rsidRPr="0070778C">
        <w:rPr>
          <w:rFonts w:ascii="Times New Roman" w:hAnsi="Times New Roman" w:cs="Times New Roman"/>
          <w:smallCaps/>
        </w:rPr>
        <w:t>Workers’ Compensation Law</w:t>
      </w:r>
      <w:r>
        <w:rPr>
          <w:rFonts w:ascii="Times New Roman" w:hAnsi="Times New Roman" w:cs="Times New Roman"/>
          <w:smallCaps/>
        </w:rPr>
        <w:t xml:space="preserve"> </w:t>
      </w:r>
      <w:r w:rsidRPr="0070778C">
        <w:rPr>
          <w:rFonts w:ascii="Times New Roman" w:hAnsi="Times New Roman" w:cs="Times New Roman"/>
        </w:rPr>
        <w:t xml:space="preserve">at 391. </w:t>
      </w:r>
    </w:p>
  </w:footnote>
  <w:footnote w:id="777">
    <w:p w14:paraId="42022D82" w14:textId="66E9D35C" w:rsidR="00336EDF" w:rsidRPr="0070778C" w:rsidRDefault="00336EDF" w:rsidP="0070778C">
      <w:pPr>
        <w:pStyle w:val="FootnoteText"/>
        <w:jc w:val="both"/>
        <w:rPr>
          <w:rFonts w:ascii="Times New Roman" w:hAnsi="Times New Roman" w:cs="Times New Roman"/>
        </w:rPr>
      </w:pPr>
      <w:r w:rsidRPr="0070778C">
        <w:rPr>
          <w:rStyle w:val="FootnoteReference"/>
          <w:rFonts w:ascii="Times New Roman" w:hAnsi="Times New Roman" w:cs="Times New Roman"/>
        </w:rPr>
        <w:footnoteRef/>
      </w:r>
      <w:r w:rsidRPr="0070778C">
        <w:rPr>
          <w:rFonts w:ascii="Times New Roman" w:hAnsi="Times New Roman" w:cs="Times New Roman"/>
        </w:rPr>
        <w:t xml:space="preserve"> </w:t>
      </w:r>
      <w:bookmarkStart w:id="1068" w:name="f737"/>
      <w:bookmarkEnd w:id="1068"/>
      <w:r w:rsidRPr="0070778C">
        <w:rPr>
          <w:rFonts w:ascii="Times New Roman" w:hAnsi="Times New Roman" w:cs="Times New Roman"/>
          <w:i/>
        </w:rPr>
        <w:t>Id.</w:t>
      </w:r>
      <w:r w:rsidRPr="0070778C">
        <w:rPr>
          <w:rFonts w:ascii="Times New Roman" w:hAnsi="Times New Roman" w:cs="Times New Roman"/>
        </w:rPr>
        <w:t xml:space="preserve"> at</w:t>
      </w:r>
      <w:r w:rsidRPr="0070778C">
        <w:rPr>
          <w:rFonts w:ascii="Times New Roman" w:hAnsi="Times New Roman" w:cs="Times New Roman"/>
          <w:smallCaps/>
        </w:rPr>
        <w:t xml:space="preserve"> </w:t>
      </w:r>
      <w:r w:rsidRPr="0070778C">
        <w:rPr>
          <w:rFonts w:ascii="Times New Roman" w:hAnsi="Times New Roman" w:cs="Times New Roman"/>
        </w:rPr>
        <w:t xml:space="preserve">392. “A contested case is defined as a proceeding ‘in which legal rights, duties or privileges of a party are required by law to be determined by an agency after an opportunity for hearing.’” Justin Newell Hesser, </w:t>
      </w:r>
      <w:r w:rsidRPr="0070778C">
        <w:rPr>
          <w:rFonts w:ascii="Times New Roman" w:hAnsi="Times New Roman" w:cs="Times New Roman"/>
          <w:i/>
        </w:rPr>
        <w:t>Administrative Law—Deliberating in the Open? Applying Wyoming’s Public Meetings Act to Contested Case Hearings; Decker v. State ex rel. Wyo. Med. Comm’n (Decker II), 191 P.3d 105 (Wyo. 2008)</w:t>
      </w:r>
      <w:r w:rsidRPr="0070778C">
        <w:rPr>
          <w:rFonts w:ascii="Times New Roman" w:hAnsi="Times New Roman" w:cs="Times New Roman"/>
        </w:rPr>
        <w:t xml:space="preserve">, </w:t>
      </w:r>
      <w:hyperlink r:id="rId295" w:history="1">
        <w:r w:rsidRPr="000F792D">
          <w:rPr>
            <w:rStyle w:val="Hyperlink"/>
            <w:rFonts w:ascii="Times New Roman" w:hAnsi="Times New Roman" w:cs="Times New Roman"/>
            <w:smallCaps/>
          </w:rPr>
          <w:t>10 Wyo. L. Rev</w:t>
        </w:r>
      </w:hyperlink>
      <w:r w:rsidRPr="0070778C">
        <w:rPr>
          <w:rFonts w:ascii="Times New Roman" w:hAnsi="Times New Roman" w:cs="Times New Roman"/>
          <w:smallCaps/>
        </w:rPr>
        <w:t>. 203</w:t>
      </w:r>
      <w:r w:rsidRPr="0070778C">
        <w:rPr>
          <w:rFonts w:ascii="Times New Roman" w:hAnsi="Times New Roman" w:cs="Times New Roman"/>
        </w:rPr>
        <w:t xml:space="preserve"> (2010); </w:t>
      </w:r>
      <w:r w:rsidRPr="0070778C">
        <w:rPr>
          <w:rFonts w:ascii="Times New Roman" w:hAnsi="Times New Roman" w:cs="Times New Roman"/>
          <w:i/>
        </w:rPr>
        <w:t>see also</w:t>
      </w:r>
      <w:r w:rsidRPr="0070778C">
        <w:rPr>
          <w:rFonts w:ascii="Times New Roman" w:hAnsi="Times New Roman" w:cs="Times New Roman"/>
        </w:rPr>
        <w:t xml:space="preserve"> </w:t>
      </w:r>
      <w:r w:rsidRPr="0070778C">
        <w:rPr>
          <w:rFonts w:ascii="Times New Roman" w:hAnsi="Times New Roman" w:cs="Times New Roman"/>
          <w:smallCaps/>
        </w:rPr>
        <w:t>Wyo. Stat. Ann.</w:t>
      </w:r>
      <w:r w:rsidRPr="0070778C">
        <w:rPr>
          <w:rFonts w:ascii="Times New Roman" w:hAnsi="Times New Roman" w:cs="Times New Roman"/>
        </w:rPr>
        <w:t xml:space="preserve"> § 16-3-101(b)(ii) (2009). In Wyoming, “[i]nitial, pre-dispute claims processing is conducted directly by the Wyoming Safety and Compensation Division (WSCD).” </w:t>
      </w:r>
      <w:bookmarkStart w:id="1069" w:name="_Hlk13048512"/>
      <w:bookmarkStart w:id="1070" w:name="_Hlk12895286"/>
      <w:r w:rsidRPr="0070778C">
        <w:rPr>
          <w:rFonts w:ascii="Times New Roman" w:hAnsi="Times New Roman" w:cs="Times New Roman"/>
        </w:rPr>
        <w:t xml:space="preserve">Michael C. Duff, </w:t>
      </w:r>
      <w:r w:rsidRPr="0070778C">
        <w:rPr>
          <w:rFonts w:ascii="Times New Roman" w:hAnsi="Times New Roman" w:cs="Times New Roman"/>
          <w:i/>
        </w:rPr>
        <w:t>A Tale of Two Standards</w:t>
      </w:r>
      <w:r w:rsidRPr="0070778C">
        <w:rPr>
          <w:rFonts w:ascii="Times New Roman" w:hAnsi="Times New Roman" w:cs="Times New Roman"/>
        </w:rPr>
        <w:t xml:space="preserve">, </w:t>
      </w:r>
      <w:hyperlink r:id="rId296" w:history="1">
        <w:r w:rsidRPr="000F792D">
          <w:rPr>
            <w:rStyle w:val="Hyperlink"/>
            <w:rFonts w:ascii="Times New Roman" w:hAnsi="Times New Roman" w:cs="Times New Roman"/>
          </w:rPr>
          <w:t xml:space="preserve">18 </w:t>
        </w:r>
        <w:r w:rsidRPr="000F792D">
          <w:rPr>
            <w:rStyle w:val="Hyperlink"/>
            <w:rFonts w:ascii="Times New Roman" w:hAnsi="Times New Roman" w:cs="Times New Roman"/>
            <w:smallCaps/>
          </w:rPr>
          <w:t>Wyo. L. Rev</w:t>
        </w:r>
        <w:r w:rsidRPr="000F792D">
          <w:rPr>
            <w:rStyle w:val="Hyperlink"/>
            <w:rFonts w:ascii="Times New Roman" w:hAnsi="Times New Roman" w:cs="Times New Roman"/>
          </w:rPr>
          <w:t xml:space="preserve"> 1</w:t>
        </w:r>
      </w:hyperlink>
      <w:r w:rsidRPr="0070778C">
        <w:rPr>
          <w:rFonts w:ascii="Times New Roman" w:hAnsi="Times New Roman" w:cs="Times New Roman"/>
        </w:rPr>
        <w:t>, 2 n.9 (2018)</w:t>
      </w:r>
      <w:bookmarkEnd w:id="1069"/>
      <w:r w:rsidRPr="0070778C">
        <w:rPr>
          <w:rFonts w:ascii="Times New Roman" w:hAnsi="Times New Roman" w:cs="Times New Roman"/>
        </w:rPr>
        <w:t>.</w:t>
      </w:r>
    </w:p>
    <w:bookmarkEnd w:id="1070"/>
  </w:footnote>
  <w:footnote w:id="778">
    <w:p w14:paraId="6898A945" w14:textId="563E2B7D" w:rsidR="00336EDF" w:rsidRPr="0070778C" w:rsidRDefault="00336EDF" w:rsidP="0070778C">
      <w:pPr>
        <w:pStyle w:val="FootnoteText"/>
        <w:jc w:val="both"/>
        <w:rPr>
          <w:rFonts w:ascii="Times New Roman" w:hAnsi="Times New Roman" w:cs="Times New Roman"/>
        </w:rPr>
      </w:pPr>
      <w:r w:rsidRPr="00770B74">
        <w:rPr>
          <w:rStyle w:val="FootnoteReference"/>
          <w:rFonts w:ascii="Times New Roman" w:hAnsi="Times New Roman" w:cs="Times New Roman"/>
        </w:rPr>
        <w:footnoteRef/>
      </w:r>
      <w:bookmarkStart w:id="1072" w:name="f738"/>
      <w:bookmarkEnd w:id="1072"/>
      <w:r w:rsidRPr="00A77FDF">
        <w:t xml:space="preserve"> </w:t>
      </w:r>
      <w:r w:rsidRPr="0070778C">
        <w:rPr>
          <w:rFonts w:ascii="Times New Roman" w:hAnsi="Times New Roman" w:cs="Times New Roman"/>
        </w:rPr>
        <w:t xml:space="preserve">David B. Torrey, </w:t>
      </w:r>
      <w:r w:rsidRPr="0070778C">
        <w:rPr>
          <w:rFonts w:ascii="Times New Roman" w:hAnsi="Times New Roman" w:cs="Times New Roman"/>
          <w:i/>
        </w:rPr>
        <w:t>Master or Chancellor? The Workers’ Compensation Judge and Adjudicatory Power</w:t>
      </w:r>
      <w:r w:rsidRPr="0070778C">
        <w:rPr>
          <w:rFonts w:ascii="Times New Roman" w:hAnsi="Times New Roman" w:cs="Times New Roman"/>
        </w:rPr>
        <w:t xml:space="preserve">, </w:t>
      </w:r>
      <w:r w:rsidRPr="0070778C">
        <w:rPr>
          <w:rFonts w:ascii="Times New Roman" w:hAnsi="Times New Roman" w:cs="Times New Roman"/>
          <w:smallCaps/>
        </w:rPr>
        <w:t>32 J. Nat’l Ass’n Admin. L. Judiciary</w:t>
      </w:r>
      <w:r>
        <w:rPr>
          <w:rFonts w:ascii="Times New Roman" w:hAnsi="Times New Roman" w:cs="Times New Roman"/>
          <w:smallCaps/>
        </w:rPr>
        <w:t xml:space="preserve"> 23,</w:t>
      </w:r>
      <w:r w:rsidRPr="0070778C">
        <w:rPr>
          <w:rFonts w:ascii="Times New Roman" w:hAnsi="Times New Roman" w:cs="Times New Roman"/>
          <w:smallCaps/>
        </w:rPr>
        <w:t xml:space="preserve"> </w:t>
      </w:r>
      <w:r>
        <w:rPr>
          <w:rFonts w:ascii="Times New Roman" w:hAnsi="Times New Roman" w:cs="Times New Roman"/>
          <w:smallCaps/>
        </w:rPr>
        <w:t>109</w:t>
      </w:r>
      <w:r w:rsidRPr="0070778C">
        <w:rPr>
          <w:rFonts w:ascii="Times New Roman" w:hAnsi="Times New Roman" w:cs="Times New Roman"/>
        </w:rPr>
        <w:t xml:space="preserve"> (2012) (“Prior to [1986], contested compensation cases were entertained by judges in the district courts</w:t>
      </w:r>
      <w:r>
        <w:rPr>
          <w:rFonts w:ascii="Times New Roman" w:hAnsi="Times New Roman" w:cs="Times New Roman"/>
        </w:rPr>
        <w:t xml:space="preserve"> [of Wyoming]</w:t>
      </w:r>
      <w:r w:rsidRPr="0070778C">
        <w:rPr>
          <w:rFonts w:ascii="Times New Roman" w:hAnsi="Times New Roman" w:cs="Times New Roman"/>
        </w:rPr>
        <w:t>.”); Hesser,</w:t>
      </w:r>
      <w:r>
        <w:rPr>
          <w:rFonts w:ascii="Times New Roman" w:hAnsi="Times New Roman" w:cs="Times New Roman"/>
        </w:rPr>
        <w:t xml:space="preserve"> </w:t>
      </w:r>
      <w:r w:rsidRPr="00425F0D">
        <w:rPr>
          <w:rFonts w:ascii="Times New Roman" w:hAnsi="Times New Roman" w:cs="Times New Roman"/>
          <w:i/>
          <w:iCs/>
        </w:rPr>
        <w:t>Deliberating in the Open</w:t>
      </w:r>
      <w:r>
        <w:rPr>
          <w:rFonts w:ascii="Times New Roman" w:hAnsi="Times New Roman" w:cs="Times New Roman"/>
        </w:rPr>
        <w:t>,</w:t>
      </w:r>
      <w:r w:rsidRPr="0070778C">
        <w:rPr>
          <w:rFonts w:ascii="Times New Roman" w:hAnsi="Times New Roman" w:cs="Times New Roman"/>
        </w:rPr>
        <w:t xml:space="preserve"> </w:t>
      </w:r>
      <w:r w:rsidRPr="0070778C">
        <w:rPr>
          <w:rFonts w:ascii="Times New Roman" w:hAnsi="Times New Roman" w:cs="Times New Roman"/>
          <w:i/>
        </w:rPr>
        <w:t>supra</w:t>
      </w:r>
      <w:r w:rsidRPr="0070778C">
        <w:rPr>
          <w:rFonts w:ascii="Times New Roman" w:hAnsi="Times New Roman" w:cs="Times New Roman"/>
        </w:rPr>
        <w:t xml:space="preserve"> at 209.  </w:t>
      </w:r>
    </w:p>
  </w:footnote>
  <w:footnote w:id="779">
    <w:p w14:paraId="43A29C20" w14:textId="6A4230B2" w:rsidR="00336EDF" w:rsidRPr="00770B74" w:rsidRDefault="00336EDF" w:rsidP="0070778C">
      <w:pPr>
        <w:pStyle w:val="FootnoteText"/>
        <w:jc w:val="both"/>
        <w:rPr>
          <w:rFonts w:ascii="Times New Roman" w:hAnsi="Times New Roman" w:cs="Times New Roman"/>
        </w:rPr>
      </w:pPr>
      <w:r w:rsidRPr="00770B74">
        <w:rPr>
          <w:rStyle w:val="FootnoteReference"/>
          <w:rFonts w:ascii="Times New Roman" w:hAnsi="Times New Roman" w:cs="Times New Roman"/>
        </w:rPr>
        <w:footnoteRef/>
      </w:r>
      <w:r w:rsidRPr="00A77FDF">
        <w:t xml:space="preserve"> </w:t>
      </w:r>
      <w:bookmarkStart w:id="1073" w:name="f739"/>
      <w:bookmarkEnd w:id="1073"/>
      <w:r w:rsidRPr="00770B74">
        <w:rPr>
          <w:rFonts w:ascii="Times New Roman" w:hAnsi="Times New Roman" w:cs="Times New Roman"/>
        </w:rPr>
        <w:t>Torrey,</w:t>
      </w:r>
      <w:r>
        <w:rPr>
          <w:rFonts w:ascii="Times New Roman" w:hAnsi="Times New Roman" w:cs="Times New Roman"/>
        </w:rPr>
        <w:t xml:space="preserve"> </w:t>
      </w:r>
      <w:r w:rsidRPr="00770B74">
        <w:rPr>
          <w:rFonts w:ascii="Times New Roman" w:hAnsi="Times New Roman" w:cs="Times New Roman"/>
          <w:i/>
          <w:iCs/>
        </w:rPr>
        <w:t>Master or Chancellor</w:t>
      </w:r>
      <w:r>
        <w:rPr>
          <w:rFonts w:ascii="Times New Roman" w:hAnsi="Times New Roman" w:cs="Times New Roman"/>
        </w:rPr>
        <w:t xml:space="preserve">, </w:t>
      </w:r>
      <w:r w:rsidRPr="00770B74">
        <w:rPr>
          <w:rFonts w:ascii="Times New Roman" w:hAnsi="Times New Roman" w:cs="Times New Roman"/>
          <w:i/>
        </w:rPr>
        <w:t xml:space="preserve">supra </w:t>
      </w:r>
      <w:r w:rsidRPr="00770B74">
        <w:rPr>
          <w:rFonts w:ascii="Times New Roman" w:hAnsi="Times New Roman" w:cs="Times New Roman"/>
        </w:rPr>
        <w:t xml:space="preserve">at 34. “The trend towards [administrative] fact-find[ing] in the system has not been widely noted or commented upon.” </w:t>
      </w:r>
      <w:r w:rsidRPr="00770B74">
        <w:rPr>
          <w:rFonts w:ascii="Times New Roman" w:hAnsi="Times New Roman" w:cs="Times New Roman"/>
          <w:i/>
        </w:rPr>
        <w:t>Id.</w:t>
      </w:r>
      <w:r w:rsidRPr="00770B74">
        <w:rPr>
          <w:rFonts w:ascii="Times New Roman" w:hAnsi="Times New Roman" w:cs="Times New Roman"/>
        </w:rPr>
        <w:t xml:space="preserve">; </w:t>
      </w:r>
      <w:r w:rsidRPr="00770B74">
        <w:rPr>
          <w:rFonts w:ascii="Times New Roman" w:hAnsi="Times New Roman" w:cs="Times New Roman"/>
          <w:i/>
        </w:rPr>
        <w:t>see</w:t>
      </w:r>
      <w:r w:rsidRPr="00770B74">
        <w:rPr>
          <w:rFonts w:ascii="Times New Roman" w:hAnsi="Times New Roman" w:cs="Times New Roman"/>
        </w:rPr>
        <w:t xml:space="preserve"> Webb v. Workers’ Comp. Comm’n, </w:t>
      </w:r>
      <w:hyperlink r:id="rId297" w:history="1">
        <w:r w:rsidRPr="00425F0D">
          <w:rPr>
            <w:rStyle w:val="Hyperlink"/>
            <w:rFonts w:ascii="Times New Roman" w:hAnsi="Times New Roman" w:cs="Times New Roman"/>
          </w:rPr>
          <w:t>733 S.W.2d 726</w:t>
        </w:r>
      </w:hyperlink>
      <w:r w:rsidRPr="00770B74">
        <w:rPr>
          <w:rFonts w:ascii="Times New Roman" w:hAnsi="Times New Roman" w:cs="Times New Roman"/>
        </w:rPr>
        <w:t xml:space="preserve">, 728 (Ark. 1987) (Newbern, J., concurring) (recognizing the trend towards an administrative state in workers’ compensation). </w:t>
      </w:r>
      <w:r w:rsidRPr="00770B74">
        <w:rPr>
          <w:rFonts w:ascii="Times New Roman" w:hAnsi="Times New Roman" w:cs="Times New Roman"/>
          <w:i/>
        </w:rPr>
        <w:t>But see</w:t>
      </w:r>
      <w:r w:rsidRPr="00770B74">
        <w:rPr>
          <w:rFonts w:ascii="Times New Roman" w:hAnsi="Times New Roman" w:cs="Times New Roman"/>
        </w:rPr>
        <w:t xml:space="preserve"> </w:t>
      </w:r>
      <w:r w:rsidRPr="00746B73">
        <w:rPr>
          <w:rFonts w:ascii="Times New Roman" w:hAnsi="Times New Roman" w:cs="Times New Roman"/>
        </w:rPr>
        <w:t>1</w:t>
      </w:r>
      <w:r>
        <w:rPr>
          <w:rFonts w:ascii="Times New Roman" w:hAnsi="Times New Roman" w:cs="Times New Roman"/>
        </w:rPr>
        <w:t>1</w:t>
      </w:r>
      <w:r w:rsidRPr="00746B73">
        <w:rPr>
          <w:rFonts w:ascii="Times New Roman" w:hAnsi="Times New Roman" w:cs="Times New Roman"/>
        </w:rPr>
        <w:t xml:space="preserve">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 12</w:t>
      </w:r>
      <w:r>
        <w:rPr>
          <w:rFonts w:ascii="Times New Roman" w:hAnsi="Times New Roman" w:cs="Times New Roman"/>
        </w:rPr>
        <w:t>4</w:t>
      </w:r>
      <w:r w:rsidRPr="00746B73">
        <w:rPr>
          <w:rFonts w:ascii="Times New Roman" w:hAnsi="Times New Roman" w:cs="Times New Roman"/>
        </w:rPr>
        <w:t>.0</w:t>
      </w:r>
      <w:r>
        <w:rPr>
          <w:rFonts w:ascii="Times New Roman" w:hAnsi="Times New Roman" w:cs="Times New Roman"/>
        </w:rPr>
        <w:t>2 (noting some implicit limits to relaxation of procedure)</w:t>
      </w:r>
      <w:r w:rsidRPr="00770B74">
        <w:rPr>
          <w:rFonts w:ascii="Times New Roman" w:hAnsi="Times New Roman" w:cs="Times New Roman"/>
        </w:rPr>
        <w:t>; Hesser,</w:t>
      </w:r>
      <w:r>
        <w:rPr>
          <w:rFonts w:ascii="Times New Roman" w:hAnsi="Times New Roman" w:cs="Times New Roman"/>
        </w:rPr>
        <w:t xml:space="preserve"> </w:t>
      </w:r>
      <w:r w:rsidRPr="00425F0D">
        <w:rPr>
          <w:rFonts w:ascii="Times New Roman" w:hAnsi="Times New Roman" w:cs="Times New Roman"/>
          <w:i/>
          <w:iCs/>
        </w:rPr>
        <w:t>Deliberating in the Open</w:t>
      </w:r>
      <w:r>
        <w:rPr>
          <w:rFonts w:ascii="Times New Roman" w:hAnsi="Times New Roman" w:cs="Times New Roman"/>
        </w:rPr>
        <w:t>,</w:t>
      </w:r>
      <w:r w:rsidRPr="00770B74">
        <w:rPr>
          <w:rFonts w:ascii="Times New Roman" w:hAnsi="Times New Roman" w:cs="Times New Roman"/>
        </w:rPr>
        <w:t xml:space="preserve"> </w:t>
      </w:r>
      <w:r w:rsidRPr="00770B74">
        <w:rPr>
          <w:rFonts w:ascii="Times New Roman" w:hAnsi="Times New Roman" w:cs="Times New Roman"/>
          <w:i/>
        </w:rPr>
        <w:t>supra</w:t>
      </w:r>
      <w:r>
        <w:rPr>
          <w:rFonts w:ascii="Times New Roman" w:hAnsi="Times New Roman" w:cs="Times New Roman"/>
          <w:i/>
        </w:rPr>
        <w:t>.</w:t>
      </w:r>
      <w:r w:rsidRPr="00770B74">
        <w:rPr>
          <w:rFonts w:ascii="Times New Roman" w:hAnsi="Times New Roman" w:cs="Times New Roman"/>
        </w:rPr>
        <w:t xml:space="preserve"> at 209–10 (referring to the former workers’ compensation commission as a quasi-judicial administration). </w:t>
      </w:r>
    </w:p>
  </w:footnote>
  <w:footnote w:id="780">
    <w:p w14:paraId="504C4C38" w14:textId="77777777" w:rsidR="00336EDF" w:rsidRPr="006E0E44" w:rsidRDefault="00336EDF" w:rsidP="006E0E44">
      <w:pPr>
        <w:pStyle w:val="FootnoteText"/>
        <w:jc w:val="both"/>
        <w:rPr>
          <w:rFonts w:ascii="Times New Roman" w:hAnsi="Times New Roman" w:cs="Times New Roman"/>
        </w:rPr>
      </w:pPr>
      <w:r w:rsidRPr="006E0E44">
        <w:rPr>
          <w:rStyle w:val="FootnoteReference"/>
          <w:rFonts w:ascii="Times New Roman" w:hAnsi="Times New Roman" w:cs="Times New Roman"/>
        </w:rPr>
        <w:footnoteRef/>
      </w:r>
      <w:r w:rsidRPr="00A77FDF">
        <w:t xml:space="preserve"> </w:t>
      </w:r>
      <w:bookmarkStart w:id="1074" w:name="f740"/>
      <w:bookmarkEnd w:id="1074"/>
      <w:r w:rsidRPr="006E0E44">
        <w:rPr>
          <w:rFonts w:ascii="Times New Roman" w:hAnsi="Times New Roman" w:cs="Times New Roman"/>
          <w:i/>
        </w:rPr>
        <w:t>See</w:t>
      </w:r>
      <w:r w:rsidRPr="006E0E44">
        <w:rPr>
          <w:rFonts w:ascii="Times New Roman" w:hAnsi="Times New Roman" w:cs="Times New Roman"/>
        </w:rPr>
        <w:t xml:space="preserve"> Dean M. Hashimoto, </w:t>
      </w:r>
      <w:r w:rsidRPr="006E0E44">
        <w:rPr>
          <w:rFonts w:ascii="Times New Roman" w:hAnsi="Times New Roman" w:cs="Times New Roman"/>
          <w:i/>
        </w:rPr>
        <w:t>The Future Role of Managed Care and Capitation in Workers’ Compensation</w:t>
      </w:r>
      <w:r w:rsidRPr="006E0E44">
        <w:rPr>
          <w:rFonts w:ascii="Times New Roman" w:hAnsi="Times New Roman" w:cs="Times New Roman"/>
        </w:rPr>
        <w:t xml:space="preserve">, 22 </w:t>
      </w:r>
      <w:r w:rsidRPr="006E0E44">
        <w:rPr>
          <w:rFonts w:ascii="Times New Roman" w:hAnsi="Times New Roman" w:cs="Times New Roman"/>
          <w:smallCaps/>
        </w:rPr>
        <w:t>Am. J. L. M.</w:t>
      </w:r>
      <w:r w:rsidRPr="006E0E44">
        <w:rPr>
          <w:rFonts w:ascii="Times New Roman" w:hAnsi="Times New Roman" w:cs="Times New Roman"/>
        </w:rPr>
        <w:t xml:space="preserve"> 233, at 250. </w:t>
      </w:r>
    </w:p>
  </w:footnote>
  <w:footnote w:id="781">
    <w:p w14:paraId="1A14DCF5" w14:textId="72AA7408" w:rsidR="00336EDF" w:rsidRPr="006E0E44" w:rsidRDefault="00336EDF" w:rsidP="006E0E44">
      <w:pPr>
        <w:pStyle w:val="FootnoteText"/>
        <w:jc w:val="both"/>
        <w:rPr>
          <w:rFonts w:ascii="Times New Roman" w:hAnsi="Times New Roman" w:cs="Times New Roman"/>
        </w:rPr>
      </w:pPr>
      <w:r w:rsidRPr="006E0E44">
        <w:rPr>
          <w:rStyle w:val="FootnoteReference"/>
          <w:rFonts w:ascii="Times New Roman" w:hAnsi="Times New Roman" w:cs="Times New Roman"/>
        </w:rPr>
        <w:footnoteRef/>
      </w:r>
      <w:r w:rsidRPr="006E0E44">
        <w:rPr>
          <w:rFonts w:ascii="Times New Roman" w:hAnsi="Times New Roman" w:cs="Times New Roman"/>
        </w:rPr>
        <w:t xml:space="preserve"> </w:t>
      </w:r>
      <w:bookmarkStart w:id="1075" w:name="f741"/>
      <w:bookmarkEnd w:id="1075"/>
      <w:r w:rsidRPr="00F55473">
        <w:rPr>
          <w:rFonts w:ascii="Times New Roman" w:hAnsi="Times New Roman" w:cs="Times New Roman"/>
          <w:smallCaps/>
        </w:rPr>
        <w:t xml:space="preserve">W.S. </w:t>
      </w:r>
      <w:r w:rsidRPr="00F55473">
        <w:rPr>
          <w:rFonts w:ascii="Times New Roman" w:hAnsi="Times New Roman" w:cs="Times New Roman"/>
        </w:rPr>
        <w:t xml:space="preserve">§ </w:t>
      </w:r>
      <w:hyperlink r:id="rId298" w:history="1">
        <w:r w:rsidRPr="00F55473">
          <w:rPr>
            <w:rStyle w:val="Hyperlink"/>
            <w:rFonts w:ascii="Times New Roman" w:hAnsi="Times New Roman" w:cs="Times New Roman"/>
          </w:rPr>
          <w:t>27-14-601</w:t>
        </w:r>
      </w:hyperlink>
      <w:r w:rsidRPr="00F55473">
        <w:rPr>
          <w:rFonts w:ascii="Times New Roman" w:hAnsi="Times New Roman" w:cs="Times New Roman"/>
        </w:rPr>
        <w:t>(a)</w:t>
      </w:r>
      <w:r w:rsidRPr="006E0E44">
        <w:rPr>
          <w:rFonts w:ascii="Times New Roman" w:hAnsi="Times New Roman" w:cs="Times New Roman"/>
        </w:rPr>
        <w:t xml:space="preserve"> (“Upon receipt, the division shall review the initial injury reports to determine if the injury or death from injury is compensable and within the jurisdiction of this act.”). </w:t>
      </w:r>
    </w:p>
  </w:footnote>
  <w:footnote w:id="782">
    <w:p w14:paraId="2D6D69F6" w14:textId="0C9B0796" w:rsidR="00336EDF" w:rsidRPr="006E0E44" w:rsidRDefault="00336EDF" w:rsidP="006E0E44">
      <w:pPr>
        <w:pStyle w:val="FootnoteText"/>
        <w:jc w:val="both"/>
        <w:rPr>
          <w:rFonts w:ascii="Times New Roman" w:hAnsi="Times New Roman" w:cs="Times New Roman"/>
        </w:rPr>
      </w:pPr>
      <w:r w:rsidRPr="006E0E44">
        <w:rPr>
          <w:rStyle w:val="FootnoteReference"/>
          <w:rFonts w:ascii="Times New Roman" w:hAnsi="Times New Roman" w:cs="Times New Roman"/>
        </w:rPr>
        <w:footnoteRef/>
      </w:r>
      <w:r w:rsidRPr="006E0E44">
        <w:rPr>
          <w:rFonts w:ascii="Times New Roman" w:hAnsi="Times New Roman" w:cs="Times New Roman"/>
        </w:rPr>
        <w:t xml:space="preserve"> </w:t>
      </w:r>
      <w:bookmarkStart w:id="1076" w:name="f742"/>
      <w:bookmarkEnd w:id="1076"/>
      <w:r w:rsidRPr="006E0E44">
        <w:rPr>
          <w:rFonts w:ascii="Times New Roman" w:hAnsi="Times New Roman" w:cs="Times New Roman"/>
          <w:i/>
        </w:rPr>
        <w:t>See</w:t>
      </w:r>
      <w:r w:rsidRPr="006E0E44">
        <w:rPr>
          <w:rFonts w:ascii="Times New Roman" w:hAnsi="Times New Roman" w:cs="Times New Roman"/>
        </w:rPr>
        <w:t xml:space="preserve"> Torrey,</w:t>
      </w:r>
      <w:r>
        <w:rPr>
          <w:rFonts w:ascii="Times New Roman" w:hAnsi="Times New Roman" w:cs="Times New Roman"/>
        </w:rPr>
        <w:t xml:space="preserve"> </w:t>
      </w:r>
      <w:r w:rsidRPr="00425F0D">
        <w:rPr>
          <w:rFonts w:ascii="Times New Roman" w:hAnsi="Times New Roman" w:cs="Times New Roman"/>
          <w:i/>
          <w:iCs/>
        </w:rPr>
        <w:t>Master or Chancellor</w:t>
      </w:r>
      <w:r>
        <w:rPr>
          <w:rFonts w:ascii="Times New Roman" w:hAnsi="Times New Roman" w:cs="Times New Roman"/>
          <w:i/>
          <w:iCs/>
        </w:rPr>
        <w:t>,</w:t>
      </w:r>
      <w:r w:rsidRPr="006E0E44">
        <w:rPr>
          <w:rFonts w:ascii="Times New Roman" w:hAnsi="Times New Roman" w:cs="Times New Roman"/>
          <w:i/>
        </w:rPr>
        <w:t xml:space="preserve"> supra </w:t>
      </w:r>
      <w:r w:rsidRPr="006E0E44">
        <w:rPr>
          <w:rFonts w:ascii="Times New Roman" w:hAnsi="Times New Roman" w:cs="Times New Roman"/>
        </w:rPr>
        <w:t xml:space="preserve">at 26. </w:t>
      </w:r>
    </w:p>
  </w:footnote>
  <w:footnote w:id="783">
    <w:p w14:paraId="5986DCBB" w14:textId="77777777" w:rsidR="00336EDF" w:rsidRPr="006E0E44" w:rsidRDefault="00336EDF" w:rsidP="006E0E44">
      <w:pPr>
        <w:pStyle w:val="FootnoteText"/>
        <w:jc w:val="both"/>
        <w:rPr>
          <w:rFonts w:ascii="Times New Roman" w:hAnsi="Times New Roman" w:cs="Times New Roman"/>
        </w:rPr>
      </w:pPr>
      <w:r w:rsidRPr="006E0E44">
        <w:rPr>
          <w:rStyle w:val="FootnoteReference"/>
          <w:rFonts w:ascii="Times New Roman" w:hAnsi="Times New Roman" w:cs="Times New Roman"/>
        </w:rPr>
        <w:footnoteRef/>
      </w:r>
      <w:r w:rsidRPr="006E0E44">
        <w:rPr>
          <w:rFonts w:ascii="Times New Roman" w:hAnsi="Times New Roman" w:cs="Times New Roman"/>
        </w:rPr>
        <w:t xml:space="preserve"> </w:t>
      </w:r>
      <w:bookmarkStart w:id="1077" w:name="f743"/>
      <w:bookmarkEnd w:id="1077"/>
      <w:r w:rsidRPr="006E0E44">
        <w:rPr>
          <w:rFonts w:ascii="Times New Roman" w:hAnsi="Times New Roman" w:cs="Times New Roman"/>
          <w:i/>
        </w:rPr>
        <w:t>Id.</w:t>
      </w:r>
    </w:p>
  </w:footnote>
  <w:footnote w:id="784">
    <w:p w14:paraId="25CECE06" w14:textId="21B2B2EE" w:rsidR="00336EDF" w:rsidRPr="006E0E44" w:rsidRDefault="00336EDF" w:rsidP="006E0E44">
      <w:pPr>
        <w:pStyle w:val="FootnoteText"/>
        <w:jc w:val="both"/>
        <w:rPr>
          <w:rFonts w:ascii="Times New Roman" w:hAnsi="Times New Roman" w:cs="Times New Roman"/>
        </w:rPr>
      </w:pPr>
      <w:r w:rsidRPr="006E0E44">
        <w:rPr>
          <w:rStyle w:val="FootnoteReference"/>
          <w:rFonts w:ascii="Times New Roman" w:hAnsi="Times New Roman" w:cs="Times New Roman"/>
        </w:rPr>
        <w:footnoteRef/>
      </w:r>
      <w:r w:rsidRPr="006E0E44">
        <w:rPr>
          <w:rFonts w:ascii="Times New Roman" w:hAnsi="Times New Roman" w:cs="Times New Roman"/>
        </w:rPr>
        <w:t xml:space="preserve"> </w:t>
      </w:r>
      <w:bookmarkStart w:id="1078" w:name="f744"/>
      <w:bookmarkEnd w:id="1078"/>
      <w:r w:rsidRPr="008E53E1">
        <w:rPr>
          <w:rFonts w:ascii="Times New Roman" w:hAnsi="Times New Roman" w:cs="Times New Roman"/>
          <w:i/>
          <w:iCs/>
        </w:rPr>
        <w:t>See</w:t>
      </w:r>
      <w:r>
        <w:rPr>
          <w:rFonts w:ascii="Times New Roman" w:hAnsi="Times New Roman" w:cs="Times New Roman"/>
        </w:rPr>
        <w:t xml:space="preserve"> Duff, </w:t>
      </w:r>
      <w:r w:rsidRPr="006E0E44">
        <w:rPr>
          <w:rFonts w:ascii="Times New Roman" w:hAnsi="Times New Roman" w:cs="Times New Roman"/>
          <w:i/>
        </w:rPr>
        <w:t>A Tale of Two Standards</w:t>
      </w:r>
      <w:r w:rsidRPr="006E0E44">
        <w:rPr>
          <w:rFonts w:ascii="Times New Roman" w:hAnsi="Times New Roman" w:cs="Times New Roman"/>
        </w:rPr>
        <w:t xml:space="preserve">, </w:t>
      </w:r>
      <w:r w:rsidRPr="006E0E44">
        <w:rPr>
          <w:rFonts w:ascii="Times New Roman" w:hAnsi="Times New Roman" w:cs="Times New Roman"/>
          <w:i/>
        </w:rPr>
        <w:t>supra</w:t>
      </w:r>
      <w:r w:rsidRPr="006E0E44">
        <w:rPr>
          <w:rFonts w:ascii="Times New Roman" w:hAnsi="Times New Roman" w:cs="Times New Roman"/>
        </w:rPr>
        <w:t xml:space="preserve"> at 2. </w:t>
      </w:r>
    </w:p>
  </w:footnote>
  <w:footnote w:id="785">
    <w:p w14:paraId="09C278BA" w14:textId="253BA9E5" w:rsidR="00336EDF" w:rsidRPr="006E0E44" w:rsidRDefault="00336EDF" w:rsidP="006E0E44">
      <w:pPr>
        <w:pStyle w:val="FootnoteText"/>
        <w:jc w:val="both"/>
        <w:rPr>
          <w:rFonts w:ascii="Times New Roman" w:hAnsi="Times New Roman" w:cs="Times New Roman"/>
        </w:rPr>
      </w:pPr>
      <w:r w:rsidRPr="006E0E44">
        <w:rPr>
          <w:rStyle w:val="FootnoteReference"/>
          <w:rFonts w:ascii="Times New Roman" w:hAnsi="Times New Roman" w:cs="Times New Roman"/>
        </w:rPr>
        <w:footnoteRef/>
      </w:r>
      <w:r w:rsidRPr="006E0E44">
        <w:rPr>
          <w:rFonts w:ascii="Times New Roman" w:hAnsi="Times New Roman" w:cs="Times New Roman"/>
        </w:rPr>
        <w:t xml:space="preserve"> </w:t>
      </w:r>
      <w:bookmarkStart w:id="1080" w:name="f745"/>
      <w:bookmarkEnd w:id="1080"/>
      <w:r w:rsidRPr="006E0E44">
        <w:rPr>
          <w:rFonts w:ascii="Times New Roman" w:hAnsi="Times New Roman" w:cs="Times New Roman"/>
        </w:rPr>
        <w:t xml:space="preserve">Ohio, North Dakota, and Washington are the only other monopolistic workers’ compensation systems—that is the state is the de facto (and only) workers’ compensation insurer. </w:t>
      </w:r>
    </w:p>
  </w:footnote>
  <w:footnote w:id="786">
    <w:p w14:paraId="049E220F" w14:textId="0D08F5C2" w:rsidR="00336EDF" w:rsidRPr="00A77FDF" w:rsidRDefault="00336EDF" w:rsidP="008E53E1">
      <w:pPr>
        <w:pStyle w:val="FootnoteText"/>
        <w:jc w:val="both"/>
      </w:pPr>
      <w:r w:rsidRPr="008E53E1">
        <w:rPr>
          <w:rStyle w:val="FootnoteReference"/>
          <w:rFonts w:ascii="Times New Roman" w:hAnsi="Times New Roman" w:cs="Times New Roman"/>
        </w:rPr>
        <w:footnoteRef/>
      </w:r>
      <w:r w:rsidRPr="008E53E1">
        <w:rPr>
          <w:rFonts w:ascii="Times New Roman" w:hAnsi="Times New Roman" w:cs="Times New Roman"/>
        </w:rPr>
        <w:t xml:space="preserve"> </w:t>
      </w:r>
      <w:bookmarkStart w:id="1085" w:name="f746"/>
      <w:bookmarkEnd w:id="1085"/>
      <w:r w:rsidRPr="00F55473">
        <w:rPr>
          <w:rFonts w:ascii="Times New Roman" w:hAnsi="Times New Roman" w:cs="Times New Roman"/>
        </w:rPr>
        <w:t xml:space="preserve">W.S. § </w:t>
      </w:r>
      <w:hyperlink r:id="rId299" w:history="1">
        <w:r w:rsidRPr="00F55473">
          <w:rPr>
            <w:rStyle w:val="Hyperlink"/>
            <w:rFonts w:ascii="Times New Roman" w:hAnsi="Times New Roman" w:cs="Times New Roman"/>
          </w:rPr>
          <w:t>27-14-102</w:t>
        </w:r>
      </w:hyperlink>
      <w:r w:rsidRPr="008E53E1">
        <w:rPr>
          <w:rFonts w:ascii="Times New Roman" w:hAnsi="Times New Roman" w:cs="Times New Roman"/>
        </w:rPr>
        <w:t xml:space="preserve">(a)(vi) </w:t>
      </w:r>
    </w:p>
  </w:footnote>
  <w:footnote w:id="787">
    <w:p w14:paraId="458C5DB5" w14:textId="4C7C1503" w:rsidR="00336EDF" w:rsidRPr="00C7149D" w:rsidRDefault="00336EDF" w:rsidP="00C7149D">
      <w:pPr>
        <w:pStyle w:val="FootnoteText"/>
        <w:jc w:val="both"/>
        <w:rPr>
          <w:rFonts w:ascii="Times New Roman" w:hAnsi="Times New Roman" w:cs="Times New Roman"/>
        </w:rPr>
      </w:pPr>
      <w:r w:rsidRPr="00C7149D">
        <w:rPr>
          <w:rStyle w:val="FootnoteReference"/>
          <w:rFonts w:ascii="Times New Roman" w:hAnsi="Times New Roman" w:cs="Times New Roman"/>
        </w:rPr>
        <w:footnoteRef/>
      </w:r>
      <w:r>
        <w:t xml:space="preserve"> </w:t>
      </w:r>
      <w:bookmarkStart w:id="1086" w:name="f747"/>
      <w:bookmarkEnd w:id="1086"/>
      <w:r w:rsidRPr="00C7149D">
        <w:rPr>
          <w:rFonts w:ascii="Times New Roman" w:hAnsi="Times New Roman" w:cs="Times New Roman"/>
        </w:rPr>
        <w:t xml:space="preserve">The Department of Workforce </w:t>
      </w:r>
      <w:r>
        <w:rPr>
          <w:rFonts w:ascii="Times New Roman" w:hAnsi="Times New Roman" w:cs="Times New Roman"/>
        </w:rPr>
        <w:t>S</w:t>
      </w:r>
      <w:r w:rsidRPr="00C7149D">
        <w:rPr>
          <w:rFonts w:ascii="Times New Roman" w:hAnsi="Times New Roman" w:cs="Times New Roman"/>
        </w:rPr>
        <w:t xml:space="preserve">ervices </w:t>
      </w:r>
      <w:hyperlink r:id="rId300" w:history="1">
        <w:r w:rsidRPr="00C7149D">
          <w:rPr>
            <w:rStyle w:val="Hyperlink"/>
            <w:rFonts w:ascii="Times New Roman" w:hAnsi="Times New Roman" w:cs="Times New Roman"/>
          </w:rPr>
          <w:t>counsel</w:t>
        </w:r>
      </w:hyperlink>
      <w:r>
        <w:rPr>
          <w:rStyle w:val="Hyperlink"/>
          <w:rFonts w:ascii="Times New Roman" w:hAnsi="Times New Roman" w:cs="Times New Roman"/>
        </w:rPr>
        <w:t>s</w:t>
      </w:r>
      <w:r w:rsidRPr="00C7149D">
        <w:rPr>
          <w:rFonts w:ascii="Times New Roman" w:hAnsi="Times New Roman" w:cs="Times New Roman"/>
        </w:rPr>
        <w:t xml:space="preserve"> that one make the following selections: Agency: Workforce Services, Department of; Program: Workers' Compensation Division; Rule Type: (All Rule Types); Leave all other fields blank; Click on the Search button.</w:t>
      </w:r>
      <w:r>
        <w:rPr>
          <w:rFonts w:ascii="Times New Roman" w:hAnsi="Times New Roman" w:cs="Times New Roman"/>
        </w:rPr>
        <w:t xml:space="preserve"> All regulations can be reached here:  </w:t>
      </w:r>
      <w:hyperlink r:id="rId301" w:history="1">
        <w:r w:rsidRPr="006B3B14">
          <w:rPr>
            <w:rStyle w:val="Hyperlink"/>
            <w:rFonts w:ascii="Times New Roman" w:hAnsi="Times New Roman" w:cs="Times New Roman"/>
          </w:rPr>
          <w:t>https://rules.wyo.gov/</w:t>
        </w:r>
      </w:hyperlink>
    </w:p>
  </w:footnote>
  <w:footnote w:id="788">
    <w:p w14:paraId="24A76A82" w14:textId="3D39B3E8" w:rsidR="00336EDF" w:rsidRDefault="00336EDF" w:rsidP="008D04BE">
      <w:pPr>
        <w:pStyle w:val="FootnoteText"/>
        <w:jc w:val="both"/>
      </w:pPr>
      <w:r w:rsidRPr="008D04BE">
        <w:rPr>
          <w:rStyle w:val="FootnoteReference"/>
          <w:rFonts w:ascii="Times New Roman" w:hAnsi="Times New Roman" w:cs="Times New Roman"/>
        </w:rPr>
        <w:footnoteRef/>
      </w:r>
      <w:r w:rsidRPr="008D04BE">
        <w:rPr>
          <w:rFonts w:ascii="Times New Roman" w:hAnsi="Times New Roman" w:cs="Times New Roman"/>
        </w:rPr>
        <w:t xml:space="preserve"> </w:t>
      </w:r>
      <w:bookmarkStart w:id="1087" w:name="f748"/>
      <w:bookmarkEnd w:id="1087"/>
      <w:r w:rsidRPr="00F55473">
        <w:rPr>
          <w:rFonts w:ascii="Times New Roman" w:hAnsi="Times New Roman" w:cs="Times New Roman"/>
          <w:iCs/>
        </w:rPr>
        <w:t>W.S</w:t>
      </w:r>
      <w:r w:rsidRPr="00F55473">
        <w:rPr>
          <w:rFonts w:ascii="Times New Roman" w:hAnsi="Times New Roman" w:cs="Times New Roman"/>
          <w:i/>
        </w:rPr>
        <w:t>.</w:t>
      </w:r>
      <w:r w:rsidRPr="00F55473">
        <w:rPr>
          <w:rFonts w:ascii="Times New Roman" w:hAnsi="Times New Roman" w:cs="Times New Roman"/>
          <w:smallCaps/>
        </w:rPr>
        <w:t xml:space="preserve"> </w:t>
      </w:r>
      <w:r w:rsidRPr="00F55473">
        <w:rPr>
          <w:rFonts w:ascii="Times New Roman" w:hAnsi="Times New Roman" w:cs="Times New Roman"/>
        </w:rPr>
        <w:t xml:space="preserve">§ </w:t>
      </w:r>
      <w:hyperlink r:id="rId302" w:history="1">
        <w:r w:rsidRPr="00F55473">
          <w:rPr>
            <w:rStyle w:val="Hyperlink"/>
            <w:rFonts w:ascii="Times New Roman" w:hAnsi="Times New Roman" w:cs="Times New Roman"/>
          </w:rPr>
          <w:t>27-14-601</w:t>
        </w:r>
      </w:hyperlink>
      <w:r>
        <w:rPr>
          <w:rFonts w:ascii="Times New Roman" w:hAnsi="Times New Roman" w:cs="Times New Roman"/>
        </w:rPr>
        <w:t>(a), (b), &amp; (d)</w:t>
      </w:r>
    </w:p>
  </w:footnote>
  <w:footnote w:id="789">
    <w:p w14:paraId="1EDC81D0" w14:textId="4C425C90" w:rsidR="00336EDF" w:rsidRDefault="00336EDF">
      <w:pPr>
        <w:pStyle w:val="FootnoteText"/>
      </w:pPr>
      <w:r w:rsidRPr="00DA7B4E">
        <w:rPr>
          <w:rStyle w:val="FootnoteReference"/>
          <w:rFonts w:ascii="Times New Roman" w:hAnsi="Times New Roman" w:cs="Times New Roman"/>
        </w:rPr>
        <w:footnoteRef/>
      </w:r>
      <w:r w:rsidRPr="00DA7B4E">
        <w:rPr>
          <w:rFonts w:ascii="Times New Roman" w:hAnsi="Times New Roman" w:cs="Times New Roman"/>
        </w:rPr>
        <w:t xml:space="preserve"> </w:t>
      </w:r>
      <w:bookmarkStart w:id="1088" w:name="f749"/>
      <w:bookmarkEnd w:id="1088"/>
      <w:r w:rsidRPr="00DA7B4E">
        <w:rPr>
          <w:rFonts w:ascii="Times New Roman" w:hAnsi="Times New Roman" w:cs="Times New Roman"/>
        </w:rPr>
        <w:t>WY Rules and Regulations 053.0021.5 § 4</w:t>
      </w:r>
      <w:r>
        <w:rPr>
          <w:rFonts w:ascii="Times New Roman" w:hAnsi="Times New Roman" w:cs="Times New Roman"/>
        </w:rPr>
        <w:t>;</w:t>
      </w:r>
      <w:r w:rsidRPr="00DA7B4E">
        <w:rPr>
          <w:rFonts w:ascii="Times New Roman" w:hAnsi="Times New Roman" w:cs="Times New Roman"/>
          <w:i/>
          <w:iCs/>
        </w:rPr>
        <w:t xml:space="preserve"> accord</w:t>
      </w:r>
      <w:r>
        <w:rPr>
          <w:rFonts w:ascii="Times New Roman" w:hAnsi="Times New Roman" w:cs="Times New Roman"/>
        </w:rPr>
        <w:t xml:space="preserve"> </w:t>
      </w:r>
      <w:r w:rsidRPr="00DA7B4E">
        <w:rPr>
          <w:rFonts w:ascii="Times New Roman" w:hAnsi="Times New Roman" w:cs="Times New Roman"/>
        </w:rPr>
        <w:t xml:space="preserve"> Manning v. Worker's Compensation Div</w:t>
      </w:r>
      <w:r>
        <w:rPr>
          <w:rFonts w:ascii="Times New Roman" w:hAnsi="Times New Roman" w:cs="Times New Roman"/>
        </w:rPr>
        <w:t>.</w:t>
      </w:r>
      <w:r w:rsidRPr="00DA7B4E">
        <w:rPr>
          <w:rFonts w:ascii="Times New Roman" w:hAnsi="Times New Roman" w:cs="Times New Roman"/>
        </w:rPr>
        <w:t xml:space="preserve">, </w:t>
      </w:r>
      <w:hyperlink r:id="rId303" w:history="1">
        <w:r w:rsidRPr="00DA7B4E">
          <w:rPr>
            <w:rStyle w:val="Hyperlink"/>
            <w:rFonts w:ascii="Times New Roman" w:hAnsi="Times New Roman" w:cs="Times New Roman"/>
          </w:rPr>
          <w:t>938 P.2d 870</w:t>
        </w:r>
      </w:hyperlink>
      <w:r w:rsidRPr="00DA7B4E">
        <w:rPr>
          <w:rFonts w:ascii="Times New Roman" w:hAnsi="Times New Roman" w:cs="Times New Roman"/>
        </w:rPr>
        <w:t>, 872 (Wyo.1997)</w:t>
      </w:r>
      <w:r>
        <w:rPr>
          <w:rFonts w:ascii="Times New Roman" w:hAnsi="Times New Roman" w:cs="Times New Roman"/>
        </w:rPr>
        <w:t xml:space="preserve">; Daiss v. Workers’ Safety &amp; Compensation Div., </w:t>
      </w:r>
      <w:hyperlink r:id="rId304" w:history="1">
        <w:r w:rsidRPr="00A328A9">
          <w:rPr>
            <w:rStyle w:val="Hyperlink"/>
            <w:rFonts w:ascii="Times New Roman" w:hAnsi="Times New Roman" w:cs="Times New Roman"/>
          </w:rPr>
          <w:t>965 P.2d 692</w:t>
        </w:r>
      </w:hyperlink>
      <w:r>
        <w:rPr>
          <w:rFonts w:ascii="Times New Roman" w:hAnsi="Times New Roman" w:cs="Times New Roman"/>
        </w:rPr>
        <w:t>, 694 (Wyo. 1998)</w:t>
      </w:r>
    </w:p>
  </w:footnote>
  <w:footnote w:id="790">
    <w:p w14:paraId="54CE2590" w14:textId="21C8F67A" w:rsidR="00336EDF" w:rsidRDefault="00336EDF">
      <w:pPr>
        <w:pStyle w:val="FootnoteText"/>
      </w:pPr>
      <w:r w:rsidRPr="00A328A9">
        <w:rPr>
          <w:rStyle w:val="FootnoteReference"/>
          <w:rFonts w:ascii="Times New Roman" w:hAnsi="Times New Roman" w:cs="Times New Roman"/>
        </w:rPr>
        <w:footnoteRef/>
      </w:r>
      <w:r>
        <w:t xml:space="preserve"> </w:t>
      </w:r>
      <w:bookmarkStart w:id="1089" w:name="f750"/>
      <w:bookmarkEnd w:id="1089"/>
      <w:r w:rsidRPr="00A328A9">
        <w:rPr>
          <w:rFonts w:ascii="Times New Roman" w:hAnsi="Times New Roman" w:cs="Times New Roman"/>
          <w:i/>
          <w:iCs/>
        </w:rPr>
        <w:t>Id.</w:t>
      </w:r>
    </w:p>
  </w:footnote>
  <w:footnote w:id="791">
    <w:p w14:paraId="445371E1" w14:textId="20FFA1BD" w:rsidR="00336EDF" w:rsidRDefault="00336EDF">
      <w:pPr>
        <w:pStyle w:val="FootnoteText"/>
      </w:pPr>
      <w:r w:rsidRPr="00BD7A70">
        <w:rPr>
          <w:rStyle w:val="FootnoteReference"/>
          <w:rFonts w:ascii="Times New Roman" w:hAnsi="Times New Roman" w:cs="Times New Roman"/>
        </w:rPr>
        <w:footnoteRef/>
      </w:r>
      <w:r>
        <w:t xml:space="preserve"> </w:t>
      </w:r>
      <w:bookmarkStart w:id="1091" w:name="f751"/>
      <w:bookmarkEnd w:id="1091"/>
      <w:r w:rsidRPr="00BD7A70">
        <w:rPr>
          <w:rFonts w:ascii="Times New Roman" w:hAnsi="Times New Roman" w:cs="Times New Roman"/>
          <w:i/>
          <w:iCs/>
        </w:rPr>
        <w:t>See</w:t>
      </w:r>
      <w:r w:rsidRPr="00BD7A70">
        <w:rPr>
          <w:rFonts w:ascii="Times New Roman" w:hAnsi="Times New Roman" w:cs="Times New Roman"/>
        </w:rPr>
        <w:t xml:space="preserve"> </w:t>
      </w:r>
      <w:hyperlink r:id="rId305" w:history="1">
        <w:r w:rsidRPr="00BD7A70">
          <w:rPr>
            <w:rStyle w:val="Hyperlink"/>
            <w:rFonts w:ascii="Times New Roman" w:hAnsi="Times New Roman" w:cs="Times New Roman"/>
          </w:rPr>
          <w:t>http://www.wyomingworkforce.org/workers/workerscomp/docs/</w:t>
        </w:r>
      </w:hyperlink>
    </w:p>
  </w:footnote>
  <w:footnote w:id="792">
    <w:p w14:paraId="17295BB8" w14:textId="0A0EE08F" w:rsidR="00336EDF" w:rsidRDefault="00336EDF">
      <w:pPr>
        <w:pStyle w:val="FootnoteText"/>
      </w:pPr>
      <w:r w:rsidRPr="00F02EA4">
        <w:rPr>
          <w:rStyle w:val="FootnoteReference"/>
          <w:rFonts w:ascii="Times New Roman" w:hAnsi="Times New Roman" w:cs="Times New Roman"/>
        </w:rPr>
        <w:footnoteRef/>
      </w:r>
      <w:r w:rsidRPr="00F02EA4">
        <w:rPr>
          <w:rFonts w:ascii="Times New Roman" w:hAnsi="Times New Roman" w:cs="Times New Roman"/>
        </w:rPr>
        <w:t xml:space="preserve"> </w:t>
      </w:r>
      <w:bookmarkStart w:id="1092" w:name="f752"/>
      <w:bookmarkStart w:id="1093" w:name="_Hlk12441850"/>
      <w:bookmarkEnd w:id="1092"/>
      <w:r w:rsidRPr="00F55473">
        <w:rPr>
          <w:rFonts w:ascii="Times New Roman" w:hAnsi="Times New Roman" w:cs="Times New Roman"/>
        </w:rPr>
        <w:t xml:space="preserve">W.S. § </w:t>
      </w:r>
      <w:hyperlink r:id="rId306" w:history="1">
        <w:r w:rsidRPr="00F55473">
          <w:rPr>
            <w:rStyle w:val="Hyperlink"/>
            <w:rFonts w:ascii="Times New Roman" w:hAnsi="Times New Roman" w:cs="Times New Roman"/>
          </w:rPr>
          <w:t>27-14-601</w:t>
        </w:r>
      </w:hyperlink>
      <w:r w:rsidRPr="00F02EA4">
        <w:rPr>
          <w:rFonts w:ascii="Times New Roman" w:hAnsi="Times New Roman" w:cs="Times New Roman"/>
        </w:rPr>
        <w:t>(b)</w:t>
      </w:r>
      <w:bookmarkEnd w:id="1093"/>
    </w:p>
  </w:footnote>
  <w:footnote w:id="793">
    <w:p w14:paraId="490BC651" w14:textId="667F8BC6" w:rsidR="00336EDF" w:rsidRDefault="00336EDF">
      <w:pPr>
        <w:pStyle w:val="FootnoteText"/>
      </w:pPr>
      <w:r w:rsidRPr="00A93D05">
        <w:rPr>
          <w:rStyle w:val="FootnoteReference"/>
          <w:rFonts w:ascii="Times New Roman" w:hAnsi="Times New Roman" w:cs="Times New Roman"/>
        </w:rPr>
        <w:footnoteRef/>
      </w:r>
      <w:r>
        <w:t xml:space="preserve"> </w:t>
      </w:r>
      <w:bookmarkStart w:id="1094" w:name="f753"/>
      <w:bookmarkEnd w:id="1094"/>
      <w:r w:rsidRPr="00A93D05">
        <w:rPr>
          <w:rFonts w:ascii="Times New Roman" w:hAnsi="Times New Roman" w:cs="Times New Roman"/>
        </w:rPr>
        <w:t xml:space="preserve">Shenemen v. Division of Workers’ Safety &amp; Compensation Internal Unit, </w:t>
      </w:r>
      <w:hyperlink r:id="rId307" w:history="1">
        <w:r w:rsidRPr="00A93D05">
          <w:rPr>
            <w:rStyle w:val="Hyperlink"/>
            <w:rFonts w:ascii="Times New Roman" w:hAnsi="Times New Roman" w:cs="Times New Roman"/>
          </w:rPr>
          <w:t>956 P.2d 344</w:t>
        </w:r>
      </w:hyperlink>
      <w:r w:rsidRPr="00A93D05">
        <w:rPr>
          <w:rFonts w:ascii="Times New Roman" w:hAnsi="Times New Roman" w:cs="Times New Roman"/>
        </w:rPr>
        <w:t xml:space="preserve"> (Wyo. 1998)</w:t>
      </w:r>
    </w:p>
  </w:footnote>
  <w:footnote w:id="794">
    <w:p w14:paraId="07E76B00" w14:textId="44DC24C3" w:rsidR="00336EDF" w:rsidRDefault="00336EDF">
      <w:pPr>
        <w:pStyle w:val="FootnoteText"/>
      </w:pPr>
      <w:r w:rsidRPr="008613B1">
        <w:rPr>
          <w:rStyle w:val="FootnoteReference"/>
          <w:rFonts w:ascii="Times New Roman" w:hAnsi="Times New Roman" w:cs="Times New Roman"/>
        </w:rPr>
        <w:footnoteRef/>
      </w:r>
      <w:r w:rsidRPr="008613B1">
        <w:rPr>
          <w:rFonts w:ascii="Times New Roman" w:hAnsi="Times New Roman" w:cs="Times New Roman"/>
        </w:rPr>
        <w:t xml:space="preserve"> </w:t>
      </w:r>
      <w:bookmarkStart w:id="1095" w:name="f754"/>
      <w:bookmarkEnd w:id="1095"/>
      <w:r w:rsidRPr="008613B1">
        <w:rPr>
          <w:rFonts w:ascii="Times New Roman" w:hAnsi="Times New Roman" w:cs="Times New Roman"/>
        </w:rPr>
        <w:t>WY Rules and Regulations 053.0021.5 § 2</w:t>
      </w:r>
    </w:p>
  </w:footnote>
  <w:footnote w:id="795">
    <w:p w14:paraId="0F6D0D4C" w14:textId="5E15C3A1" w:rsidR="00336EDF" w:rsidRPr="00D803E1" w:rsidRDefault="00336EDF" w:rsidP="00D803E1">
      <w:pPr>
        <w:pStyle w:val="FootnoteText"/>
        <w:jc w:val="both"/>
        <w:rPr>
          <w:rFonts w:ascii="Times New Roman" w:hAnsi="Times New Roman" w:cs="Times New Roman"/>
        </w:rPr>
      </w:pPr>
      <w:r w:rsidRPr="00D803E1">
        <w:rPr>
          <w:rStyle w:val="FootnoteReference"/>
          <w:rFonts w:ascii="Times New Roman" w:hAnsi="Times New Roman" w:cs="Times New Roman"/>
        </w:rPr>
        <w:footnoteRef/>
      </w:r>
      <w:r>
        <w:t xml:space="preserve"> </w:t>
      </w:r>
      <w:bookmarkStart w:id="1096" w:name="f755"/>
      <w:bookmarkEnd w:id="1096"/>
      <w:r w:rsidRPr="00D803E1">
        <w:rPr>
          <w:rFonts w:ascii="Times New Roman" w:hAnsi="Times New Roman" w:cs="Times New Roman"/>
          <w:i/>
          <w:iCs/>
        </w:rPr>
        <w:t>See generally</w:t>
      </w:r>
      <w:r w:rsidRPr="00D803E1">
        <w:rPr>
          <w:rFonts w:ascii="Times New Roman" w:hAnsi="Times New Roman" w:cs="Times New Roman"/>
        </w:rPr>
        <w:t xml:space="preserve"> Thomas Gilcrease Foundation for Gilcrease Hoback One Charitable Trust v. Cavallaro, 397 P.3d 166, 170 (Wyo. 2017); Apodaca v. Safeway, Inc., 346 P.3d 21, 23-24 (Wyo. 2015) </w:t>
      </w:r>
    </w:p>
  </w:footnote>
  <w:footnote w:id="796">
    <w:p w14:paraId="4D8C2649" w14:textId="184C8AA6" w:rsidR="00336EDF" w:rsidRDefault="00336EDF">
      <w:pPr>
        <w:pStyle w:val="FootnoteText"/>
      </w:pPr>
      <w:r w:rsidRPr="00F02EA4">
        <w:rPr>
          <w:rStyle w:val="FootnoteReference"/>
          <w:rFonts w:ascii="Times New Roman" w:hAnsi="Times New Roman" w:cs="Times New Roman"/>
        </w:rPr>
        <w:footnoteRef/>
      </w:r>
      <w:r w:rsidRPr="00F02EA4">
        <w:rPr>
          <w:rFonts w:ascii="Times New Roman" w:hAnsi="Times New Roman" w:cs="Times New Roman"/>
        </w:rPr>
        <w:t xml:space="preserve"> </w:t>
      </w:r>
      <w:bookmarkStart w:id="1097" w:name="f756"/>
      <w:bookmarkStart w:id="1098" w:name="_Hlk12442211"/>
      <w:bookmarkEnd w:id="1097"/>
      <w:r w:rsidRPr="00F55473">
        <w:rPr>
          <w:rFonts w:ascii="Times New Roman" w:hAnsi="Times New Roman" w:cs="Times New Roman"/>
        </w:rPr>
        <w:t xml:space="preserve">W.S. § </w:t>
      </w:r>
      <w:hyperlink r:id="rId308" w:history="1">
        <w:r w:rsidRPr="00F55473">
          <w:rPr>
            <w:rStyle w:val="Hyperlink"/>
            <w:rFonts w:ascii="Times New Roman" w:hAnsi="Times New Roman" w:cs="Times New Roman"/>
          </w:rPr>
          <w:t>27-14-601</w:t>
        </w:r>
        <w:bookmarkEnd w:id="1098"/>
      </w:hyperlink>
      <w:r w:rsidRPr="00F02EA4">
        <w:rPr>
          <w:rFonts w:ascii="Times New Roman" w:hAnsi="Times New Roman" w:cs="Times New Roman"/>
        </w:rPr>
        <w:t>(</w:t>
      </w:r>
      <w:r>
        <w:rPr>
          <w:rFonts w:ascii="Times New Roman" w:hAnsi="Times New Roman" w:cs="Times New Roman"/>
        </w:rPr>
        <w:t>d</w:t>
      </w:r>
      <w:r w:rsidRPr="00F02EA4">
        <w:rPr>
          <w:rFonts w:ascii="Times New Roman" w:hAnsi="Times New Roman" w:cs="Times New Roman"/>
        </w:rPr>
        <w:t>)</w:t>
      </w:r>
      <w:r>
        <w:rPr>
          <w:rFonts w:ascii="Times New Roman" w:hAnsi="Times New Roman" w:cs="Times New Roman"/>
        </w:rPr>
        <w:t>. Moreover, “[n]</w:t>
      </w:r>
      <w:r w:rsidRPr="00F02EA4">
        <w:rPr>
          <w:rFonts w:ascii="Times New Roman" w:hAnsi="Times New Roman" w:cs="Times New Roman"/>
        </w:rPr>
        <w:t>otice to any employee or his dependents</w:t>
      </w:r>
      <w:r>
        <w:rPr>
          <w:rFonts w:ascii="Times New Roman" w:hAnsi="Times New Roman" w:cs="Times New Roman"/>
        </w:rPr>
        <w:t xml:space="preserve"> . . . </w:t>
      </w:r>
      <w:r w:rsidRPr="00F02EA4">
        <w:rPr>
          <w:rFonts w:ascii="Times New Roman" w:hAnsi="Times New Roman" w:cs="Times New Roman"/>
        </w:rPr>
        <w:t>of a final determination by the division denying the compensability of an initial injury, a claim for medical or hospital care for which the employee or his dependents may be liable for payment or denying any impairment, disability or death benefit, shall include reasons for denial and a statement of the employee's or his dependents' rights to a hearing before a hearing examiner as provided by this act and to legal representation.</w:t>
      </w:r>
      <w:r>
        <w:rPr>
          <w:rFonts w:ascii="Times New Roman" w:hAnsi="Times New Roman" w:cs="Times New Roman"/>
        </w:rPr>
        <w:t xml:space="preserve">” </w:t>
      </w:r>
      <w:r w:rsidRPr="00F55473">
        <w:rPr>
          <w:rFonts w:ascii="Times New Roman" w:hAnsi="Times New Roman" w:cs="Times New Roman"/>
        </w:rPr>
        <w:t xml:space="preserve">W.S. § </w:t>
      </w:r>
      <w:hyperlink r:id="rId309" w:history="1">
        <w:r w:rsidRPr="00F55473">
          <w:rPr>
            <w:rStyle w:val="Hyperlink"/>
            <w:rFonts w:ascii="Times New Roman" w:hAnsi="Times New Roman" w:cs="Times New Roman"/>
          </w:rPr>
          <w:t>27-14-601</w:t>
        </w:r>
      </w:hyperlink>
      <w:r>
        <w:rPr>
          <w:rFonts w:ascii="Times New Roman" w:hAnsi="Times New Roman" w:cs="Times New Roman"/>
        </w:rPr>
        <w:t>(j)</w:t>
      </w:r>
    </w:p>
  </w:footnote>
  <w:footnote w:id="797">
    <w:p w14:paraId="1A2EC6B6" w14:textId="22BF514B" w:rsidR="00336EDF" w:rsidRPr="00365D9D" w:rsidRDefault="00336EDF" w:rsidP="00365D9D">
      <w:pPr>
        <w:pStyle w:val="FootnoteText"/>
        <w:jc w:val="both"/>
        <w:rPr>
          <w:rFonts w:ascii="Times New Roman" w:hAnsi="Times New Roman" w:cs="Times New Roman"/>
        </w:rPr>
      </w:pPr>
      <w:r w:rsidRPr="00365D9D">
        <w:rPr>
          <w:rStyle w:val="FootnoteReference"/>
          <w:rFonts w:ascii="Times New Roman" w:hAnsi="Times New Roman" w:cs="Times New Roman"/>
        </w:rPr>
        <w:footnoteRef/>
      </w:r>
      <w:r>
        <w:t xml:space="preserve"> </w:t>
      </w:r>
      <w:bookmarkStart w:id="1099" w:name="f757"/>
      <w:bookmarkEnd w:id="1099"/>
      <w:r w:rsidRPr="00365D9D">
        <w:rPr>
          <w:rFonts w:ascii="Times New Roman" w:hAnsi="Times New Roman" w:cs="Times New Roman"/>
        </w:rPr>
        <w:t>Low dollar c</w:t>
      </w:r>
      <w:r>
        <w:rPr>
          <w:rFonts w:ascii="Times New Roman" w:hAnsi="Times New Roman" w:cs="Times New Roman"/>
        </w:rPr>
        <w:t>laims</w:t>
      </w:r>
      <w:r w:rsidRPr="00365D9D">
        <w:rPr>
          <w:rFonts w:ascii="Times New Roman" w:hAnsi="Times New Roman" w:cs="Times New Roman"/>
        </w:rPr>
        <w:t xml:space="preserve"> (currently</w:t>
      </w:r>
      <w:r>
        <w:rPr>
          <w:rFonts w:ascii="Times New Roman" w:hAnsi="Times New Roman" w:cs="Times New Roman"/>
        </w:rPr>
        <w:t xml:space="preserve"> those less than</w:t>
      </w:r>
      <w:r w:rsidRPr="00365D9D">
        <w:rPr>
          <w:rFonts w:ascii="Times New Roman" w:hAnsi="Times New Roman" w:cs="Times New Roman"/>
        </w:rPr>
        <w:t xml:space="preserve"> $2,000) may in limited cases be conducted as small claims hearings in which no attorney fees or other costs shall are allowed by the hearing officer on behalf of or for any party to a hearing</w:t>
      </w:r>
      <w:r>
        <w:rPr>
          <w:rFonts w:ascii="Times New Roman" w:hAnsi="Times New Roman" w:cs="Times New Roman"/>
        </w:rPr>
        <w:t xml:space="preserve">. </w:t>
      </w:r>
      <w:r w:rsidRPr="00F55473">
        <w:rPr>
          <w:rFonts w:ascii="Times New Roman" w:hAnsi="Times New Roman" w:cs="Times New Roman"/>
        </w:rPr>
        <w:t xml:space="preserve">W.S. § </w:t>
      </w:r>
      <w:hyperlink r:id="rId310" w:history="1">
        <w:r w:rsidRPr="00F55473">
          <w:rPr>
            <w:rStyle w:val="Hyperlink"/>
            <w:rFonts w:ascii="Times New Roman" w:hAnsi="Times New Roman" w:cs="Times New Roman"/>
          </w:rPr>
          <w:t>27-14-602</w:t>
        </w:r>
      </w:hyperlink>
      <w:r w:rsidRPr="00F55473">
        <w:rPr>
          <w:rFonts w:ascii="Times New Roman" w:hAnsi="Times New Roman" w:cs="Times New Roman"/>
        </w:rPr>
        <w:t>(</w:t>
      </w:r>
      <w:r w:rsidRPr="00F02EA4">
        <w:rPr>
          <w:rFonts w:ascii="Times New Roman" w:hAnsi="Times New Roman" w:cs="Times New Roman"/>
        </w:rPr>
        <w:t>b)</w:t>
      </w:r>
    </w:p>
  </w:footnote>
  <w:footnote w:id="798">
    <w:p w14:paraId="418D4C8D" w14:textId="1FC88220" w:rsidR="00336EDF" w:rsidRPr="00A77FDF" w:rsidRDefault="00336EDF" w:rsidP="008E53E1">
      <w:pPr>
        <w:pStyle w:val="FootnoteText"/>
        <w:jc w:val="both"/>
      </w:pPr>
      <w:r w:rsidRPr="008E53E1">
        <w:rPr>
          <w:rStyle w:val="FootnoteReference"/>
          <w:rFonts w:ascii="Times New Roman" w:hAnsi="Times New Roman" w:cs="Times New Roman"/>
        </w:rPr>
        <w:footnoteRef/>
      </w:r>
      <w:r w:rsidRPr="008E53E1">
        <w:rPr>
          <w:rFonts w:ascii="Times New Roman" w:hAnsi="Times New Roman" w:cs="Times New Roman"/>
        </w:rPr>
        <w:t xml:space="preserve"> </w:t>
      </w:r>
      <w:bookmarkStart w:id="1100" w:name="f758"/>
      <w:bookmarkEnd w:id="1100"/>
      <w:r w:rsidRPr="008E53E1">
        <w:rPr>
          <w:rFonts w:ascii="Times New Roman" w:hAnsi="Times New Roman" w:cs="Times New Roman"/>
          <w:i/>
        </w:rPr>
        <w:t xml:space="preserve">Id.; see also </w:t>
      </w:r>
      <w:bookmarkStart w:id="1101" w:name="_Hlk12439331"/>
      <w:r w:rsidRPr="00F55473">
        <w:rPr>
          <w:rFonts w:ascii="Times New Roman" w:hAnsi="Times New Roman" w:cs="Times New Roman"/>
          <w:iCs/>
        </w:rPr>
        <w:t>W.S</w:t>
      </w:r>
      <w:r w:rsidRPr="00F55473">
        <w:rPr>
          <w:rFonts w:ascii="Times New Roman" w:hAnsi="Times New Roman" w:cs="Times New Roman"/>
          <w:i/>
        </w:rPr>
        <w:t>.</w:t>
      </w:r>
      <w:r w:rsidRPr="00F55473">
        <w:rPr>
          <w:rFonts w:ascii="Times New Roman" w:hAnsi="Times New Roman" w:cs="Times New Roman"/>
          <w:smallCaps/>
        </w:rPr>
        <w:t xml:space="preserve"> </w:t>
      </w:r>
      <w:r w:rsidRPr="00F55473">
        <w:rPr>
          <w:rFonts w:ascii="Times New Roman" w:hAnsi="Times New Roman" w:cs="Times New Roman"/>
        </w:rPr>
        <w:t xml:space="preserve">§ </w:t>
      </w:r>
      <w:hyperlink r:id="rId311" w:history="1">
        <w:r w:rsidRPr="00F55473">
          <w:rPr>
            <w:rStyle w:val="Hyperlink"/>
            <w:rFonts w:ascii="Times New Roman" w:hAnsi="Times New Roman" w:cs="Times New Roman"/>
          </w:rPr>
          <w:t>27-14-616</w:t>
        </w:r>
      </w:hyperlink>
      <w:r w:rsidRPr="008E53E1">
        <w:rPr>
          <w:rFonts w:ascii="Times New Roman" w:hAnsi="Times New Roman" w:cs="Times New Roman"/>
        </w:rPr>
        <w:t>(b)(iv)</w:t>
      </w:r>
    </w:p>
    <w:bookmarkEnd w:id="1101"/>
  </w:footnote>
  <w:footnote w:id="799">
    <w:p w14:paraId="64BE926A" w14:textId="6BDB16DA" w:rsidR="00336EDF" w:rsidRPr="001B70CB" w:rsidRDefault="00336EDF" w:rsidP="001B70CB">
      <w:pPr>
        <w:pStyle w:val="FootnoteText"/>
        <w:jc w:val="both"/>
        <w:rPr>
          <w:rFonts w:ascii="Times New Roman" w:hAnsi="Times New Roman" w:cs="Times New Roman"/>
          <w:iCs/>
        </w:rPr>
      </w:pPr>
      <w:r w:rsidRPr="001B70CB">
        <w:rPr>
          <w:rStyle w:val="FootnoteReference"/>
          <w:rFonts w:ascii="Times New Roman" w:hAnsi="Times New Roman" w:cs="Times New Roman"/>
        </w:rPr>
        <w:footnoteRef/>
      </w:r>
      <w:r w:rsidRPr="00A77FDF">
        <w:t xml:space="preserve"> </w:t>
      </w:r>
      <w:bookmarkStart w:id="1103" w:name="f759"/>
      <w:bookmarkEnd w:id="1103"/>
      <w:r w:rsidRPr="001B70CB">
        <w:rPr>
          <w:rFonts w:ascii="Times New Roman" w:hAnsi="Times New Roman" w:cs="Times New Roman"/>
          <w:i/>
        </w:rPr>
        <w:t>Id</w:t>
      </w:r>
      <w:r w:rsidRPr="001B70CB">
        <w:rPr>
          <w:rFonts w:ascii="Times New Roman" w:hAnsi="Times New Roman" w:cs="Times New Roman"/>
          <w:iCs/>
        </w:rPr>
        <w:t>.</w:t>
      </w:r>
      <w:r>
        <w:rPr>
          <w:rFonts w:ascii="Times New Roman" w:hAnsi="Times New Roman" w:cs="Times New Roman"/>
          <w:iCs/>
        </w:rPr>
        <w:t xml:space="preserve"> </w:t>
      </w:r>
      <w:r w:rsidRPr="001B70CB">
        <w:rPr>
          <w:rFonts w:ascii="Times New Roman" w:hAnsi="Times New Roman" w:cs="Times New Roman"/>
          <w:iCs/>
        </w:rPr>
        <w:t xml:space="preserve">The statute </w:t>
      </w:r>
      <w:r>
        <w:rPr>
          <w:rFonts w:ascii="Times New Roman" w:hAnsi="Times New Roman" w:cs="Times New Roman"/>
          <w:iCs/>
        </w:rPr>
        <w:t xml:space="preserve">additionally </w:t>
      </w:r>
      <w:r w:rsidRPr="001B70CB">
        <w:rPr>
          <w:rFonts w:ascii="Times New Roman" w:hAnsi="Times New Roman" w:cs="Times New Roman"/>
          <w:iCs/>
        </w:rPr>
        <w:t xml:space="preserve">provides that parties may agree to have a case transferred from the OAH to the Commission. </w:t>
      </w:r>
      <w:r w:rsidRPr="001B70CB">
        <w:rPr>
          <w:rFonts w:ascii="Times New Roman" w:hAnsi="Times New Roman" w:cs="Times New Roman"/>
          <w:i/>
        </w:rPr>
        <w:t>Id</w:t>
      </w:r>
      <w:r w:rsidRPr="001B70CB">
        <w:rPr>
          <w:rFonts w:ascii="Times New Roman" w:hAnsi="Times New Roman" w:cs="Times New Roman"/>
          <w:iCs/>
        </w:rPr>
        <w:t>.</w:t>
      </w:r>
      <w:r>
        <w:rPr>
          <w:rFonts w:ascii="Times New Roman" w:hAnsi="Times New Roman" w:cs="Times New Roman"/>
          <w:iCs/>
        </w:rPr>
        <w:t xml:space="preserve"> </w:t>
      </w:r>
      <w:r w:rsidRPr="00F55473">
        <w:rPr>
          <w:rFonts w:ascii="Times New Roman" w:hAnsi="Times New Roman" w:cs="Times New Roman"/>
          <w:iCs/>
        </w:rPr>
        <w:t xml:space="preserve">W.S. § </w:t>
      </w:r>
      <w:hyperlink r:id="rId312" w:history="1">
        <w:r w:rsidRPr="00F55473">
          <w:rPr>
            <w:rStyle w:val="Hyperlink"/>
            <w:rFonts w:ascii="Times New Roman" w:hAnsi="Times New Roman" w:cs="Times New Roman"/>
            <w:iCs/>
          </w:rPr>
          <w:t>27-14-616</w:t>
        </w:r>
      </w:hyperlink>
      <w:r w:rsidRPr="00F55473">
        <w:rPr>
          <w:rFonts w:ascii="Times New Roman" w:hAnsi="Times New Roman" w:cs="Times New Roman"/>
          <w:iCs/>
        </w:rPr>
        <w:t>(</w:t>
      </w:r>
      <w:r w:rsidRPr="001B70CB">
        <w:rPr>
          <w:rFonts w:ascii="Times New Roman" w:hAnsi="Times New Roman" w:cs="Times New Roman"/>
          <w:iCs/>
        </w:rPr>
        <w:t xml:space="preserve">e); French v. Amax Coal West, </w:t>
      </w:r>
      <w:hyperlink r:id="rId313" w:history="1">
        <w:r w:rsidRPr="003455C0">
          <w:rPr>
            <w:rStyle w:val="Hyperlink"/>
            <w:rFonts w:ascii="Times New Roman" w:hAnsi="Times New Roman" w:cs="Times New Roman"/>
            <w:iCs/>
          </w:rPr>
          <w:t>960 P.2d 1023</w:t>
        </w:r>
      </w:hyperlink>
      <w:r w:rsidRPr="001B70CB">
        <w:rPr>
          <w:rFonts w:ascii="Times New Roman" w:hAnsi="Times New Roman" w:cs="Times New Roman"/>
          <w:iCs/>
        </w:rPr>
        <w:t xml:space="preserve">, 1030 (Wyo. 1998). </w:t>
      </w:r>
    </w:p>
  </w:footnote>
  <w:footnote w:id="800">
    <w:p w14:paraId="7E03DA80" w14:textId="48294AA3" w:rsidR="00336EDF" w:rsidRPr="001B70CB" w:rsidRDefault="00336EDF" w:rsidP="001B70CB">
      <w:pPr>
        <w:pStyle w:val="FootnoteText"/>
        <w:jc w:val="both"/>
        <w:rPr>
          <w:rFonts w:ascii="Times New Roman" w:hAnsi="Times New Roman" w:cs="Times New Roman"/>
        </w:rPr>
      </w:pPr>
      <w:r w:rsidRPr="001B70CB">
        <w:rPr>
          <w:rStyle w:val="FootnoteReference"/>
          <w:rFonts w:ascii="Times New Roman" w:hAnsi="Times New Roman" w:cs="Times New Roman"/>
        </w:rPr>
        <w:footnoteRef/>
      </w:r>
      <w:r w:rsidRPr="00A77FDF">
        <w:t xml:space="preserve"> </w:t>
      </w:r>
      <w:bookmarkStart w:id="1105" w:name="f760"/>
      <w:bookmarkEnd w:id="1105"/>
      <w:r w:rsidRPr="003455C0">
        <w:rPr>
          <w:rFonts w:ascii="Times New Roman" w:hAnsi="Times New Roman" w:cs="Times New Roman"/>
          <w:iCs/>
        </w:rPr>
        <w:t>French</w:t>
      </w:r>
      <w:r w:rsidRPr="001B70CB">
        <w:rPr>
          <w:rFonts w:ascii="Times New Roman" w:hAnsi="Times New Roman" w:cs="Times New Roman"/>
        </w:rPr>
        <w:t xml:space="preserve">, </w:t>
      </w:r>
      <w:r w:rsidRPr="001B70CB">
        <w:rPr>
          <w:rFonts w:ascii="Times New Roman" w:hAnsi="Times New Roman" w:cs="Times New Roman"/>
          <w:i/>
          <w:iCs/>
        </w:rPr>
        <w:t>supra</w:t>
      </w:r>
      <w:r>
        <w:rPr>
          <w:rFonts w:ascii="Times New Roman" w:hAnsi="Times New Roman" w:cs="Times New Roman"/>
        </w:rPr>
        <w:t xml:space="preserve">., </w:t>
      </w:r>
      <w:r w:rsidRPr="001B70CB">
        <w:rPr>
          <w:rFonts w:ascii="Times New Roman" w:hAnsi="Times New Roman" w:cs="Times New Roman"/>
        </w:rPr>
        <w:t>960 P.2d at 1030. Th</w:t>
      </w:r>
      <w:r>
        <w:rPr>
          <w:rFonts w:ascii="Times New Roman" w:hAnsi="Times New Roman" w:cs="Times New Roman"/>
        </w:rPr>
        <w:t>e</w:t>
      </w:r>
      <w:r w:rsidRPr="001B70CB">
        <w:rPr>
          <w:rFonts w:ascii="Times New Roman" w:hAnsi="Times New Roman" w:cs="Times New Roman"/>
        </w:rPr>
        <w:t xml:space="preserve"> definition includes</w:t>
      </w:r>
      <w:r>
        <w:rPr>
          <w:rFonts w:ascii="Times New Roman" w:hAnsi="Times New Roman" w:cs="Times New Roman"/>
        </w:rPr>
        <w:t xml:space="preserve"> </w:t>
      </w:r>
      <w:r w:rsidRPr="001B70CB">
        <w:rPr>
          <w:rFonts w:ascii="Times New Roman" w:hAnsi="Times New Roman" w:cs="Times New Roman"/>
        </w:rPr>
        <w:t>those cases where the primary issue is whether: (1) a claimant’s percentage of physical impairment; (2) a claimant is permanently totally disabled; (3) a claimant who has been receiving temporary total disability benefits remains eligible for those benefits under</w:t>
      </w:r>
      <w:r>
        <w:rPr>
          <w:rFonts w:ascii="Times New Roman" w:hAnsi="Times New Roman" w:cs="Times New Roman"/>
        </w:rPr>
        <w:t xml:space="preserve"> W.S.</w:t>
      </w:r>
      <w:r w:rsidRPr="001B70CB">
        <w:rPr>
          <w:rFonts w:ascii="Times New Roman" w:hAnsi="Times New Roman" w:cs="Times New Roman"/>
        </w:rPr>
        <w:t xml:space="preserve"> § 27-14-404(c); or (4) any other issue, the resolution of which is primarily dependent upon the evaluation of conflicting evidence as to medical diagnosis, medical prognosis, or the reasonableness and appropriateness of medical care. </w:t>
      </w:r>
      <w:r w:rsidRPr="001B70CB">
        <w:rPr>
          <w:rFonts w:ascii="Times New Roman" w:hAnsi="Times New Roman" w:cs="Times New Roman"/>
          <w:i/>
        </w:rPr>
        <w:t>Id.</w:t>
      </w:r>
      <w:r w:rsidRPr="001B70CB">
        <w:rPr>
          <w:rFonts w:ascii="Times New Roman" w:hAnsi="Times New Roman" w:cs="Times New Roman"/>
        </w:rPr>
        <w:t xml:space="preserve"> </w:t>
      </w:r>
    </w:p>
  </w:footnote>
  <w:footnote w:id="801">
    <w:p w14:paraId="74E25336" w14:textId="7ED6F737" w:rsidR="00336EDF" w:rsidRPr="00A77FDF" w:rsidRDefault="00336EDF" w:rsidP="001E66FC">
      <w:pPr>
        <w:pStyle w:val="FootnoteText"/>
        <w:jc w:val="both"/>
      </w:pPr>
      <w:r w:rsidRPr="001E66FC">
        <w:rPr>
          <w:rStyle w:val="FootnoteReference"/>
          <w:rFonts w:ascii="Times New Roman" w:hAnsi="Times New Roman" w:cs="Times New Roman"/>
        </w:rPr>
        <w:footnoteRef/>
      </w:r>
      <w:r w:rsidRPr="00A77FDF">
        <w:t xml:space="preserve"> </w:t>
      </w:r>
      <w:bookmarkStart w:id="1107" w:name="f761"/>
      <w:bookmarkEnd w:id="1107"/>
      <w:r w:rsidRPr="006E2D47">
        <w:rPr>
          <w:rFonts w:ascii="Times New Roman" w:hAnsi="Times New Roman" w:cs="Times New Roman"/>
          <w:smallCaps/>
        </w:rPr>
        <w:t xml:space="preserve">W.S. </w:t>
      </w:r>
      <w:r w:rsidRPr="006E2D47">
        <w:rPr>
          <w:rFonts w:ascii="Times New Roman" w:hAnsi="Times New Roman" w:cs="Times New Roman"/>
        </w:rPr>
        <w:t xml:space="preserve">§ </w:t>
      </w:r>
      <w:hyperlink r:id="rId314" w:history="1">
        <w:r w:rsidRPr="006E2D47">
          <w:rPr>
            <w:rStyle w:val="Hyperlink"/>
            <w:rFonts w:ascii="Times New Roman" w:hAnsi="Times New Roman" w:cs="Times New Roman"/>
          </w:rPr>
          <w:t>27-14-616</w:t>
        </w:r>
      </w:hyperlink>
      <w:r w:rsidRPr="001E66FC">
        <w:rPr>
          <w:rFonts w:ascii="Times New Roman" w:hAnsi="Times New Roman" w:cs="Times New Roman"/>
        </w:rPr>
        <w:t>(b)(iv).</w:t>
      </w:r>
      <w:r w:rsidRPr="001E66FC">
        <w:rPr>
          <w:rFonts w:ascii="Times New Roman" w:hAnsi="Times New Roman" w:cs="Times New Roman"/>
        </w:rPr>
        <w:tab/>
      </w:r>
    </w:p>
  </w:footnote>
  <w:footnote w:id="802">
    <w:p w14:paraId="299F426B" w14:textId="38CE81AD" w:rsidR="00336EDF" w:rsidRPr="00137BCD" w:rsidRDefault="00336EDF" w:rsidP="00C137D9">
      <w:pPr>
        <w:pStyle w:val="FootnoteText"/>
        <w:jc w:val="both"/>
        <w:rPr>
          <w:rFonts w:ascii="Times New Roman" w:hAnsi="Times New Roman" w:cs="Times New Roman"/>
        </w:rPr>
      </w:pPr>
      <w:r w:rsidRPr="00137BCD">
        <w:rPr>
          <w:rStyle w:val="FootnoteReference"/>
          <w:rFonts w:ascii="Times New Roman" w:hAnsi="Times New Roman" w:cs="Times New Roman"/>
        </w:rPr>
        <w:footnoteRef/>
      </w:r>
      <w:r w:rsidRPr="00137BCD">
        <w:rPr>
          <w:rFonts w:ascii="Times New Roman" w:hAnsi="Times New Roman" w:cs="Times New Roman"/>
        </w:rPr>
        <w:t xml:space="preserve"> </w:t>
      </w:r>
      <w:bookmarkStart w:id="1108" w:name="f762"/>
      <w:bookmarkEnd w:id="1108"/>
      <w:r w:rsidRPr="00C137D9">
        <w:rPr>
          <w:rFonts w:ascii="Times New Roman" w:eastAsia="Calibri" w:hAnsi="Times New Roman" w:cs="Times New Roman"/>
        </w:rPr>
        <w:t xml:space="preserve">George Santini, </w:t>
      </w:r>
      <w:r w:rsidRPr="00C137D9">
        <w:rPr>
          <w:rFonts w:ascii="Times New Roman" w:eastAsia="Calibri" w:hAnsi="Times New Roman" w:cs="Times New Roman"/>
          <w:i/>
        </w:rPr>
        <w:t>The Breaking of a Compromise: An Analysis of Wyoming Workers’ Compensation Legislation, 1986–1997</w:t>
      </w:r>
      <w:r w:rsidRPr="00C137D9">
        <w:rPr>
          <w:rFonts w:ascii="Times New Roman" w:eastAsia="Calibri" w:hAnsi="Times New Roman" w:cs="Times New Roman"/>
        </w:rPr>
        <w:t xml:space="preserve">, </w:t>
      </w:r>
      <w:r w:rsidRPr="00C137D9">
        <w:rPr>
          <w:rFonts w:ascii="Times New Roman" w:eastAsia="Calibri" w:hAnsi="Times New Roman" w:cs="Times New Roman"/>
          <w:smallCaps/>
        </w:rPr>
        <w:t>33 Land &amp; Water L. Rev.</w:t>
      </w:r>
      <w:r w:rsidRPr="00C137D9">
        <w:rPr>
          <w:rFonts w:ascii="Times New Roman" w:eastAsia="Calibri" w:hAnsi="Times New Roman" w:cs="Times New Roman"/>
        </w:rPr>
        <w:t xml:space="preserve"> 489, 493 (1998)</w:t>
      </w:r>
      <w:r w:rsidRPr="00C137D9">
        <w:rPr>
          <w:rFonts w:ascii="Times New Roman" w:hAnsi="Times New Roman" w:cs="Times New Roman"/>
        </w:rPr>
        <w:t>.</w:t>
      </w:r>
      <w:r w:rsidRPr="00137BCD">
        <w:rPr>
          <w:rFonts w:ascii="Times New Roman" w:hAnsi="Times New Roman" w:cs="Times New Roman"/>
        </w:rPr>
        <w:t xml:space="preserve"> </w:t>
      </w:r>
    </w:p>
  </w:footnote>
  <w:footnote w:id="803">
    <w:p w14:paraId="7128F412" w14:textId="0D43122F" w:rsidR="00336EDF" w:rsidRDefault="00336EDF">
      <w:pPr>
        <w:pStyle w:val="FootnoteText"/>
      </w:pPr>
      <w:r w:rsidRPr="003114E9">
        <w:rPr>
          <w:rStyle w:val="FootnoteReference"/>
          <w:rFonts w:ascii="Times New Roman" w:hAnsi="Times New Roman" w:cs="Times New Roman"/>
        </w:rPr>
        <w:footnoteRef/>
      </w:r>
      <w:r>
        <w:t xml:space="preserve"> </w:t>
      </w:r>
      <w:bookmarkStart w:id="1111" w:name="f763"/>
      <w:bookmarkEnd w:id="1111"/>
      <w:r w:rsidRPr="006E2D47">
        <w:rPr>
          <w:rFonts w:ascii="Times New Roman" w:hAnsi="Times New Roman" w:cs="Times New Roman"/>
        </w:rPr>
        <w:t xml:space="preserve">W.S. § </w:t>
      </w:r>
      <w:hyperlink r:id="rId315" w:history="1">
        <w:r w:rsidRPr="006E2D47">
          <w:rPr>
            <w:rStyle w:val="Hyperlink"/>
            <w:rFonts w:ascii="Times New Roman" w:hAnsi="Times New Roman" w:cs="Times New Roman"/>
          </w:rPr>
          <w:t>9-2-2202</w:t>
        </w:r>
      </w:hyperlink>
      <w:r w:rsidRPr="003114E9">
        <w:rPr>
          <w:rFonts w:ascii="Times New Roman" w:hAnsi="Times New Roman" w:cs="Times New Roman"/>
        </w:rPr>
        <w:t>.</w:t>
      </w:r>
    </w:p>
  </w:footnote>
  <w:footnote w:id="804">
    <w:p w14:paraId="5DC3C9D4" w14:textId="1333B376" w:rsidR="00336EDF" w:rsidRPr="00A77FDF" w:rsidRDefault="00336EDF" w:rsidP="00C137D9">
      <w:pPr>
        <w:pStyle w:val="FootnoteText"/>
        <w:jc w:val="both"/>
      </w:pPr>
      <w:r w:rsidRPr="00C137D9">
        <w:rPr>
          <w:rStyle w:val="FootnoteReference"/>
          <w:rFonts w:ascii="Times New Roman" w:hAnsi="Times New Roman" w:cs="Times New Roman"/>
        </w:rPr>
        <w:footnoteRef/>
      </w:r>
      <w:r w:rsidRPr="00C137D9">
        <w:rPr>
          <w:rFonts w:ascii="Times New Roman" w:hAnsi="Times New Roman" w:cs="Times New Roman"/>
        </w:rPr>
        <w:t xml:space="preserve"> </w:t>
      </w:r>
      <w:bookmarkStart w:id="1112" w:name="f764"/>
      <w:bookmarkEnd w:id="1112"/>
      <w:r w:rsidRPr="00C137D9">
        <w:rPr>
          <w:rFonts w:ascii="Times New Roman" w:hAnsi="Times New Roman" w:cs="Times New Roman"/>
          <w:i/>
        </w:rPr>
        <w:t>See supra</w:t>
      </w:r>
      <w:r>
        <w:rPr>
          <w:rFonts w:ascii="Times New Roman" w:hAnsi="Times New Roman" w:cs="Times New Roman"/>
          <w:i/>
        </w:rPr>
        <w:t>.</w:t>
      </w:r>
    </w:p>
  </w:footnote>
  <w:footnote w:id="805">
    <w:p w14:paraId="3B22A461" w14:textId="4AC59326" w:rsidR="00336EDF" w:rsidRPr="00537C09" w:rsidRDefault="00336EDF" w:rsidP="00537C09">
      <w:pPr>
        <w:pStyle w:val="FootnoteText"/>
        <w:jc w:val="both"/>
        <w:rPr>
          <w:rFonts w:ascii="Times New Roman" w:hAnsi="Times New Roman" w:cs="Times New Roman"/>
          <w:iCs/>
        </w:rPr>
      </w:pPr>
      <w:r w:rsidRPr="00537C09">
        <w:rPr>
          <w:rStyle w:val="FootnoteReference"/>
          <w:rFonts w:ascii="Times New Roman" w:hAnsi="Times New Roman" w:cs="Times New Roman"/>
        </w:rPr>
        <w:footnoteRef/>
      </w:r>
      <w:r w:rsidRPr="00A77FDF">
        <w:t xml:space="preserve"> </w:t>
      </w:r>
      <w:bookmarkStart w:id="1113" w:name="f765"/>
      <w:bookmarkEnd w:id="1113"/>
      <w:r w:rsidRPr="00537C09">
        <w:rPr>
          <w:rFonts w:ascii="Times New Roman" w:hAnsi="Times New Roman" w:cs="Times New Roman"/>
          <w:iCs/>
        </w:rPr>
        <w:t xml:space="preserve">For a brief discussion of central panels see H. Alexander Manuel, </w:t>
      </w:r>
      <w:hyperlink r:id="rId316" w:history="1">
        <w:r w:rsidRPr="00537C09">
          <w:rPr>
            <w:rStyle w:val="Hyperlink"/>
            <w:rFonts w:ascii="Times New Roman" w:hAnsi="Times New Roman" w:cs="Times New Roman"/>
            <w:i/>
          </w:rPr>
          <w:t>Judges and the Administrative State</w:t>
        </w:r>
      </w:hyperlink>
      <w:r w:rsidRPr="00537C09">
        <w:rPr>
          <w:rFonts w:ascii="Times New Roman" w:hAnsi="Times New Roman" w:cs="Times New Roman"/>
          <w:iCs/>
        </w:rPr>
        <w:t>, ABA Journal, May 9, 2008.</w:t>
      </w:r>
    </w:p>
  </w:footnote>
  <w:footnote w:id="806">
    <w:p w14:paraId="3B08F953" w14:textId="35EAD361" w:rsidR="00336EDF" w:rsidRPr="00537C09" w:rsidRDefault="00336EDF" w:rsidP="00537C0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15" w:name="f766"/>
      <w:bookmarkEnd w:id="1115"/>
      <w:r w:rsidRPr="00537C09">
        <w:rPr>
          <w:rFonts w:ascii="Times New Roman" w:hAnsi="Times New Roman" w:cs="Times New Roman"/>
        </w:rPr>
        <w:t>Deborah A. Baumer</w:t>
      </w:r>
      <w:r>
        <w:rPr>
          <w:rFonts w:ascii="Times New Roman" w:hAnsi="Times New Roman" w:cs="Times New Roman"/>
        </w:rPr>
        <w:t xml:space="preserve"> (former director of OAH)</w:t>
      </w:r>
      <w:r w:rsidRPr="00537C09">
        <w:rPr>
          <w:rFonts w:ascii="Times New Roman" w:hAnsi="Times New Roman" w:cs="Times New Roman"/>
        </w:rPr>
        <w:t xml:space="preserve">, </w:t>
      </w:r>
      <w:r w:rsidRPr="00537C09">
        <w:rPr>
          <w:rFonts w:ascii="Times New Roman" w:hAnsi="Times New Roman" w:cs="Times New Roman"/>
          <w:i/>
        </w:rPr>
        <w:t>The Office of Administrative Hearings</w:t>
      </w:r>
      <w:r w:rsidRPr="00537C09">
        <w:rPr>
          <w:rFonts w:ascii="Times New Roman" w:hAnsi="Times New Roman" w:cs="Times New Roman"/>
        </w:rPr>
        <w:t xml:space="preserve">, </w:t>
      </w:r>
      <w:r w:rsidRPr="00537C09">
        <w:rPr>
          <w:rFonts w:ascii="Times New Roman" w:hAnsi="Times New Roman" w:cs="Times New Roman"/>
          <w:smallCaps/>
        </w:rPr>
        <w:t>Wyo. Lawyer</w:t>
      </w:r>
      <w:r w:rsidRPr="00537C09">
        <w:rPr>
          <w:rFonts w:ascii="Times New Roman" w:hAnsi="Times New Roman" w:cs="Times New Roman"/>
        </w:rPr>
        <w:t xml:space="preserve"> (Oct. 2007). </w:t>
      </w:r>
    </w:p>
  </w:footnote>
  <w:footnote w:id="807">
    <w:p w14:paraId="6251C80E" w14:textId="16D89C69" w:rsidR="00336EDF" w:rsidRPr="00537C09" w:rsidRDefault="00336EDF" w:rsidP="00537C0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16" w:name="f767"/>
      <w:bookmarkEnd w:id="1116"/>
      <w:r w:rsidRPr="006E2D47">
        <w:rPr>
          <w:rFonts w:ascii="Times New Roman" w:hAnsi="Times New Roman" w:cs="Times New Roman"/>
          <w:smallCaps/>
        </w:rPr>
        <w:t>W.S.</w:t>
      </w:r>
      <w:r w:rsidRPr="006E2D47">
        <w:rPr>
          <w:rFonts w:ascii="Times New Roman" w:hAnsi="Times New Roman" w:cs="Times New Roman"/>
        </w:rPr>
        <w:t xml:space="preserve"> § </w:t>
      </w:r>
      <w:hyperlink r:id="rId317" w:history="1">
        <w:r w:rsidRPr="006E2D47">
          <w:rPr>
            <w:rStyle w:val="Hyperlink"/>
            <w:rFonts w:ascii="Times New Roman" w:hAnsi="Times New Roman" w:cs="Times New Roman"/>
          </w:rPr>
          <w:t>27-14-602</w:t>
        </w:r>
      </w:hyperlink>
    </w:p>
  </w:footnote>
  <w:footnote w:id="808">
    <w:p w14:paraId="7674B84B" w14:textId="08A630E8" w:rsidR="00336EDF" w:rsidRPr="00537C09" w:rsidRDefault="00336EDF" w:rsidP="00537C0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17" w:name="f768"/>
      <w:bookmarkEnd w:id="1117"/>
      <w:r>
        <w:fldChar w:fldCharType="begin"/>
      </w:r>
      <w:r>
        <w:instrText xml:space="preserve"> HYPERLINK "https://wyoleg.gov/NXT/gateway.dll?f=templates&amp;fn=default.htm" </w:instrText>
      </w:r>
      <w:r>
        <w:fldChar w:fldCharType="separate"/>
      </w:r>
      <w:r w:rsidRPr="00B17348">
        <w:rPr>
          <w:rStyle w:val="Hyperlink"/>
          <w:rFonts w:ascii="Times New Roman" w:hAnsi="Times New Roman" w:cs="Times New Roman"/>
          <w:smallCaps/>
        </w:rPr>
        <w:t xml:space="preserve">W.S. </w:t>
      </w:r>
      <w:r w:rsidRPr="00B17348">
        <w:rPr>
          <w:rStyle w:val="Hyperlink"/>
          <w:rFonts w:ascii="Times New Roman" w:hAnsi="Times New Roman" w:cs="Times New Roman"/>
        </w:rPr>
        <w:t>§ 31-7-105</w:t>
      </w:r>
      <w:r>
        <w:rPr>
          <w:rStyle w:val="Hyperlink"/>
          <w:rFonts w:ascii="Times New Roman" w:hAnsi="Times New Roman" w:cs="Times New Roman"/>
        </w:rPr>
        <w:fldChar w:fldCharType="end"/>
      </w:r>
      <w:r w:rsidRPr="00537C09">
        <w:rPr>
          <w:rFonts w:ascii="Times New Roman" w:hAnsi="Times New Roman" w:cs="Times New Roman"/>
        </w:rPr>
        <w:t xml:space="preserve"> </w:t>
      </w:r>
    </w:p>
  </w:footnote>
  <w:footnote w:id="809">
    <w:p w14:paraId="76CF1512" w14:textId="43484B16" w:rsidR="00336EDF" w:rsidRPr="00537C09" w:rsidRDefault="00336EDF" w:rsidP="003114E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18" w:name="f769"/>
      <w:bookmarkEnd w:id="1118"/>
      <w:r w:rsidRPr="006E2D47">
        <w:rPr>
          <w:rFonts w:ascii="Times New Roman" w:hAnsi="Times New Roman" w:cs="Times New Roman"/>
          <w:smallCaps/>
        </w:rPr>
        <w:t xml:space="preserve">W. S. </w:t>
      </w:r>
      <w:r w:rsidRPr="006E2D47">
        <w:rPr>
          <w:rFonts w:ascii="Times New Roman" w:hAnsi="Times New Roman" w:cs="Times New Roman"/>
        </w:rPr>
        <w:t xml:space="preserve">§ </w:t>
      </w:r>
      <w:hyperlink r:id="rId318" w:history="1">
        <w:r w:rsidRPr="006E2D47">
          <w:rPr>
            <w:rStyle w:val="Hyperlink"/>
            <w:rFonts w:ascii="Times New Roman" w:hAnsi="Times New Roman" w:cs="Times New Roman"/>
          </w:rPr>
          <w:t>9-2-1019</w:t>
        </w:r>
      </w:hyperlink>
      <w:r w:rsidRPr="006E2D47">
        <w:rPr>
          <w:rFonts w:ascii="Times New Roman" w:hAnsi="Times New Roman" w:cs="Times New Roman"/>
        </w:rPr>
        <w:t>(a).</w:t>
      </w:r>
      <w:r>
        <w:rPr>
          <w:rFonts w:ascii="Times New Roman" w:hAnsi="Times New Roman" w:cs="Times New Roman"/>
        </w:rPr>
        <w:t xml:space="preserve"> The agency is the successor </w:t>
      </w:r>
      <w:r w:rsidRPr="003114E9">
        <w:rPr>
          <w:rFonts w:ascii="Times New Roman" w:hAnsi="Times New Roman" w:cs="Times New Roman"/>
        </w:rPr>
        <w:t>to the office of independent hearing examiners created by</w:t>
      </w:r>
      <w:r>
        <w:rPr>
          <w:rFonts w:ascii="Times New Roman" w:hAnsi="Times New Roman" w:cs="Times New Roman"/>
        </w:rPr>
        <w:t xml:space="preserve"> </w:t>
      </w:r>
      <w:r w:rsidRPr="003114E9">
        <w:rPr>
          <w:rFonts w:ascii="Times New Roman" w:hAnsi="Times New Roman" w:cs="Times New Roman"/>
        </w:rPr>
        <w:t xml:space="preserve">W.S. </w:t>
      </w:r>
      <w:r>
        <w:rPr>
          <w:rFonts w:ascii="Times New Roman" w:hAnsi="Times New Roman" w:cs="Times New Roman"/>
        </w:rPr>
        <w:t xml:space="preserve">§ </w:t>
      </w:r>
      <w:hyperlink r:id="rId319" w:history="1">
        <w:r w:rsidRPr="006E2D47">
          <w:rPr>
            <w:rStyle w:val="Hyperlink"/>
            <w:rFonts w:ascii="Times New Roman" w:hAnsi="Times New Roman" w:cs="Times New Roman"/>
          </w:rPr>
          <w:t>27-14-602</w:t>
        </w:r>
      </w:hyperlink>
      <w:r w:rsidRPr="003114E9">
        <w:rPr>
          <w:rFonts w:ascii="Times New Roman" w:hAnsi="Times New Roman" w:cs="Times New Roman"/>
        </w:rPr>
        <w:t xml:space="preserve"> and the office of hearing examiners created by</w:t>
      </w:r>
      <w:r>
        <w:rPr>
          <w:rFonts w:ascii="Times New Roman" w:hAnsi="Times New Roman" w:cs="Times New Roman"/>
        </w:rPr>
        <w:t xml:space="preserve"> </w:t>
      </w:r>
      <w:r w:rsidRPr="003114E9">
        <w:rPr>
          <w:rFonts w:ascii="Times New Roman" w:hAnsi="Times New Roman" w:cs="Times New Roman"/>
        </w:rPr>
        <w:t xml:space="preserve">W.S. </w:t>
      </w:r>
      <w:r>
        <w:rPr>
          <w:rFonts w:ascii="Times New Roman" w:hAnsi="Times New Roman" w:cs="Times New Roman"/>
        </w:rPr>
        <w:t xml:space="preserve">§ </w:t>
      </w:r>
      <w:hyperlink r:id="rId320" w:history="1">
        <w:r w:rsidRPr="006E2D47">
          <w:rPr>
            <w:rStyle w:val="Hyperlink"/>
            <w:rFonts w:ascii="Times New Roman" w:hAnsi="Times New Roman" w:cs="Times New Roman"/>
          </w:rPr>
          <w:t>31-7-105</w:t>
        </w:r>
      </w:hyperlink>
      <w:r w:rsidRPr="003114E9">
        <w:rPr>
          <w:rFonts w:ascii="Times New Roman" w:hAnsi="Times New Roman" w:cs="Times New Roman"/>
        </w:rPr>
        <w:t>.</w:t>
      </w:r>
      <w:r>
        <w:rPr>
          <w:rFonts w:ascii="Times New Roman" w:hAnsi="Times New Roman" w:cs="Times New Roman"/>
        </w:rPr>
        <w:t xml:space="preserve"> </w:t>
      </w:r>
      <w:r w:rsidRPr="00BB057A">
        <w:rPr>
          <w:rFonts w:ascii="Times New Roman" w:hAnsi="Times New Roman" w:cs="Times New Roman"/>
        </w:rPr>
        <w:t>The legislative delegation to the office of independent hearing examiners of final administrative authority to decide the validity and amount of benefits to be paid under the Wyoming Worker's Compensation Act</w:t>
      </w:r>
      <w:r>
        <w:rPr>
          <w:rFonts w:ascii="Times New Roman" w:hAnsi="Times New Roman" w:cs="Times New Roman"/>
        </w:rPr>
        <w:t xml:space="preserve"> has been deemed by the Wyoming Attorney General</w:t>
      </w:r>
      <w:r w:rsidRPr="00BB057A">
        <w:rPr>
          <w:rFonts w:ascii="Times New Roman" w:hAnsi="Times New Roman" w:cs="Times New Roman"/>
        </w:rPr>
        <w:t xml:space="preserve"> not</w:t>
      </w:r>
      <w:r>
        <w:rPr>
          <w:rFonts w:ascii="Times New Roman" w:hAnsi="Times New Roman" w:cs="Times New Roman"/>
        </w:rPr>
        <w:t xml:space="preserve"> to</w:t>
      </w:r>
      <w:r w:rsidRPr="00BB057A">
        <w:rPr>
          <w:rFonts w:ascii="Times New Roman" w:hAnsi="Times New Roman" w:cs="Times New Roman"/>
        </w:rPr>
        <w:t xml:space="preserve"> violate the separation of powers required by Article 2, § 1 of the Wyoming Constitution. Op.Atty.Gen. 90-010, (Nov. 20, 1990).</w:t>
      </w:r>
    </w:p>
  </w:footnote>
  <w:footnote w:id="810">
    <w:p w14:paraId="01684F40" w14:textId="41788464" w:rsidR="00336EDF" w:rsidRPr="00537C09" w:rsidRDefault="00336EDF" w:rsidP="00537C0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19" w:name="f770"/>
      <w:bookmarkEnd w:id="1119"/>
      <w:r w:rsidRPr="00537C09">
        <w:rPr>
          <w:rFonts w:ascii="Times New Roman" w:hAnsi="Times New Roman" w:cs="Times New Roman"/>
        </w:rPr>
        <w:t xml:space="preserve">Baumer, </w:t>
      </w:r>
      <w:r w:rsidRPr="00537C09">
        <w:rPr>
          <w:rFonts w:ascii="Times New Roman" w:hAnsi="Times New Roman" w:cs="Times New Roman"/>
          <w:i/>
        </w:rPr>
        <w:t>supra</w:t>
      </w:r>
      <w:r>
        <w:rPr>
          <w:rFonts w:ascii="Times New Roman" w:hAnsi="Times New Roman" w:cs="Times New Roman"/>
          <w:i/>
        </w:rPr>
        <w:t>.</w:t>
      </w:r>
    </w:p>
  </w:footnote>
  <w:footnote w:id="811">
    <w:p w14:paraId="19B4F988" w14:textId="16710434" w:rsidR="00336EDF" w:rsidRPr="00537C09" w:rsidRDefault="00336EDF" w:rsidP="00537C0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20" w:name="f771"/>
      <w:bookmarkEnd w:id="1120"/>
      <w:r w:rsidRPr="00537C09">
        <w:rPr>
          <w:rFonts w:ascii="Times New Roman" w:hAnsi="Times New Roman" w:cs="Times New Roman"/>
          <w:i/>
        </w:rPr>
        <w:t>See</w:t>
      </w:r>
      <w:r w:rsidRPr="00537C09">
        <w:rPr>
          <w:rFonts w:ascii="Times New Roman" w:hAnsi="Times New Roman" w:cs="Times New Roman"/>
        </w:rPr>
        <w:t xml:space="preserve"> </w:t>
      </w:r>
      <w:r w:rsidRPr="00537C09">
        <w:rPr>
          <w:rFonts w:ascii="Times New Roman" w:hAnsi="Times New Roman" w:cs="Times New Roman"/>
          <w:smallCaps/>
        </w:rPr>
        <w:t xml:space="preserve">W. S. </w:t>
      </w:r>
      <w:r w:rsidRPr="00537C09">
        <w:rPr>
          <w:rFonts w:ascii="Times New Roman" w:hAnsi="Times New Roman" w:cs="Times New Roman"/>
        </w:rPr>
        <w:t xml:space="preserve">§ </w:t>
      </w:r>
      <w:hyperlink r:id="rId321" w:history="1">
        <w:r w:rsidRPr="006E2D47">
          <w:rPr>
            <w:rStyle w:val="Hyperlink"/>
            <w:rFonts w:ascii="Times New Roman" w:hAnsi="Times New Roman" w:cs="Times New Roman"/>
          </w:rPr>
          <w:t>9-2-2202</w:t>
        </w:r>
      </w:hyperlink>
      <w:r w:rsidRPr="00537C09">
        <w:rPr>
          <w:rFonts w:ascii="Times New Roman" w:hAnsi="Times New Roman" w:cs="Times New Roman"/>
        </w:rPr>
        <w:t xml:space="preserve">(b); Baumer, </w:t>
      </w:r>
      <w:r w:rsidRPr="00537C09">
        <w:rPr>
          <w:rFonts w:ascii="Times New Roman" w:hAnsi="Times New Roman" w:cs="Times New Roman"/>
          <w:i/>
        </w:rPr>
        <w:t>supra</w:t>
      </w:r>
      <w:r w:rsidRPr="00537C09">
        <w:rPr>
          <w:rFonts w:ascii="Times New Roman" w:hAnsi="Times New Roman" w:cs="Times New Roman"/>
        </w:rPr>
        <w:t>.</w:t>
      </w:r>
    </w:p>
  </w:footnote>
  <w:footnote w:id="812">
    <w:p w14:paraId="74A0F789" w14:textId="04CE882F" w:rsidR="00336EDF" w:rsidRPr="00537C09" w:rsidRDefault="00336EDF" w:rsidP="00537C09">
      <w:pPr>
        <w:pStyle w:val="FootnoteText"/>
        <w:jc w:val="both"/>
        <w:rPr>
          <w:rFonts w:ascii="Times New Roman" w:hAnsi="Times New Roman" w:cs="Times New Roman"/>
        </w:rPr>
      </w:pPr>
      <w:r w:rsidRPr="00537C09">
        <w:rPr>
          <w:rStyle w:val="FootnoteReference"/>
          <w:rFonts w:ascii="Times New Roman" w:hAnsi="Times New Roman" w:cs="Times New Roman"/>
        </w:rPr>
        <w:footnoteRef/>
      </w:r>
      <w:r w:rsidRPr="00537C09">
        <w:rPr>
          <w:rFonts w:ascii="Times New Roman" w:hAnsi="Times New Roman" w:cs="Times New Roman"/>
        </w:rPr>
        <w:t xml:space="preserve"> </w:t>
      </w:r>
      <w:bookmarkStart w:id="1121" w:name="f772"/>
      <w:bookmarkEnd w:id="1121"/>
      <w:r w:rsidRPr="00537C09">
        <w:rPr>
          <w:rFonts w:ascii="Times New Roman" w:hAnsi="Times New Roman" w:cs="Times New Roman"/>
        </w:rPr>
        <w:t>French v. Amax Coal West, 960 P.2d 1023, 1029 (Wyo. 1998) (</w:t>
      </w:r>
      <w:r w:rsidRPr="00BD7A70">
        <w:rPr>
          <w:rFonts w:ascii="Times New Roman" w:hAnsi="Times New Roman" w:cs="Times New Roman"/>
          <w:i/>
          <w:iCs/>
        </w:rPr>
        <w:t>citing</w:t>
      </w:r>
      <w:r w:rsidRPr="00537C09">
        <w:rPr>
          <w:rFonts w:ascii="Times New Roman" w:hAnsi="Times New Roman" w:cs="Times New Roman"/>
        </w:rPr>
        <w:t xml:space="preserve"> </w:t>
      </w:r>
      <w:r w:rsidRPr="006E2D47">
        <w:rPr>
          <w:rFonts w:ascii="Times New Roman" w:hAnsi="Times New Roman" w:cs="Times New Roman"/>
          <w:smallCaps/>
        </w:rPr>
        <w:t>W. S.</w:t>
      </w:r>
      <w:r w:rsidRPr="006E2D47">
        <w:rPr>
          <w:rFonts w:ascii="Times New Roman" w:hAnsi="Times New Roman" w:cs="Times New Roman"/>
        </w:rPr>
        <w:t xml:space="preserve"> § 9-2-2201(c)</w:t>
      </w:r>
      <w:r w:rsidRPr="00537C09">
        <w:rPr>
          <w:rFonts w:ascii="Times New Roman" w:hAnsi="Times New Roman" w:cs="Times New Roman"/>
        </w:rPr>
        <w:t xml:space="preserve">). </w:t>
      </w:r>
    </w:p>
  </w:footnote>
  <w:footnote w:id="813">
    <w:p w14:paraId="7C75801C" w14:textId="39001C3F" w:rsidR="00336EDF" w:rsidRDefault="00336EDF">
      <w:pPr>
        <w:pStyle w:val="FootnoteText"/>
      </w:pPr>
      <w:r w:rsidRPr="003114E9">
        <w:rPr>
          <w:rStyle w:val="FootnoteReference"/>
          <w:rFonts w:ascii="Times New Roman" w:hAnsi="Times New Roman" w:cs="Times New Roman"/>
        </w:rPr>
        <w:footnoteRef/>
      </w:r>
      <w:r w:rsidRPr="003114E9">
        <w:rPr>
          <w:rFonts w:ascii="Times New Roman" w:hAnsi="Times New Roman" w:cs="Times New Roman"/>
          <w:i/>
          <w:iCs/>
        </w:rPr>
        <w:t xml:space="preserve"> </w:t>
      </w:r>
      <w:bookmarkStart w:id="1122" w:name="f773"/>
      <w:bookmarkEnd w:id="1122"/>
      <w:r w:rsidRPr="001E50CD">
        <w:rPr>
          <w:rFonts w:ascii="Times New Roman" w:hAnsi="Times New Roman" w:cs="Times New Roman"/>
          <w:i/>
          <w:iCs/>
        </w:rPr>
        <w:t>See</w:t>
      </w:r>
      <w:r w:rsidRPr="001E50CD">
        <w:rPr>
          <w:rFonts w:ascii="Times New Roman" w:hAnsi="Times New Roman" w:cs="Times New Roman"/>
        </w:rPr>
        <w:t xml:space="preserve"> the OAH website available at </w:t>
      </w:r>
      <w:hyperlink r:id="rId322" w:history="1">
        <w:r w:rsidRPr="001E50CD">
          <w:rPr>
            <w:rStyle w:val="Hyperlink"/>
            <w:rFonts w:ascii="Times New Roman" w:hAnsi="Times New Roman" w:cs="Times New Roman"/>
          </w:rPr>
          <w:t>http://oah.wyo.gov/</w:t>
        </w:r>
      </w:hyperlink>
    </w:p>
  </w:footnote>
  <w:footnote w:id="814">
    <w:p w14:paraId="0CDFD30C" w14:textId="21C2FC46" w:rsidR="00336EDF" w:rsidRDefault="00336EDF">
      <w:pPr>
        <w:pStyle w:val="FootnoteText"/>
      </w:pPr>
      <w:r w:rsidRPr="001E50CD">
        <w:rPr>
          <w:rStyle w:val="FootnoteReference"/>
          <w:rFonts w:ascii="Times New Roman" w:hAnsi="Times New Roman" w:cs="Times New Roman"/>
        </w:rPr>
        <w:footnoteRef/>
      </w:r>
      <w:r>
        <w:t xml:space="preserve"> </w:t>
      </w:r>
      <w:bookmarkStart w:id="1123" w:name="f774"/>
      <w:bookmarkStart w:id="1124" w:name="_Hlk12444045"/>
      <w:bookmarkEnd w:id="1123"/>
      <w:r>
        <w:rPr>
          <w:rFonts w:ascii="Times New Roman" w:hAnsi="Times New Roman" w:cs="Times New Roman"/>
        </w:rPr>
        <w:fldChar w:fldCharType="begin"/>
      </w:r>
      <w:r>
        <w:rPr>
          <w:rFonts w:ascii="Times New Roman" w:hAnsi="Times New Roman" w:cs="Times New Roman"/>
        </w:rPr>
        <w:instrText xml:space="preserve"> HYPERLINK "https://wyoleg.gov/NXT/gateway.dll?f=templates&amp;fn=default.htm" </w:instrText>
      </w:r>
      <w:r>
        <w:rPr>
          <w:rFonts w:ascii="Times New Roman" w:hAnsi="Times New Roman" w:cs="Times New Roman"/>
        </w:rPr>
        <w:fldChar w:fldCharType="separate"/>
      </w:r>
      <w:r w:rsidRPr="002A0DF4">
        <w:rPr>
          <w:rStyle w:val="Hyperlink"/>
          <w:rFonts w:ascii="Times New Roman" w:hAnsi="Times New Roman" w:cs="Times New Roman"/>
        </w:rPr>
        <w:t>W.S.</w:t>
      </w:r>
      <w:r w:rsidRPr="002A0DF4">
        <w:rPr>
          <w:rStyle w:val="Hyperlink"/>
        </w:rPr>
        <w:t xml:space="preserve"> </w:t>
      </w:r>
      <w:r w:rsidRPr="002A0DF4">
        <w:rPr>
          <w:rStyle w:val="Hyperlink"/>
          <w:rFonts w:ascii="Times New Roman" w:hAnsi="Times New Roman" w:cs="Times New Roman"/>
        </w:rPr>
        <w:t>§ 27-14-602</w:t>
      </w:r>
      <w:r>
        <w:rPr>
          <w:rFonts w:ascii="Times New Roman" w:hAnsi="Times New Roman" w:cs="Times New Roman"/>
        </w:rPr>
        <w:fldChar w:fldCharType="end"/>
      </w:r>
      <w:r>
        <w:rPr>
          <w:rFonts w:ascii="Times New Roman" w:hAnsi="Times New Roman" w:cs="Times New Roman"/>
        </w:rPr>
        <w:t>(b)(ii)</w:t>
      </w:r>
      <w:r w:rsidRPr="001E50CD">
        <w:rPr>
          <w:rFonts w:ascii="Times New Roman" w:hAnsi="Times New Roman" w:cs="Times New Roman"/>
        </w:rPr>
        <w:t xml:space="preserve"> and</w:t>
      </w:r>
      <w:r>
        <w:t xml:space="preserve"> </w:t>
      </w:r>
      <w:r w:rsidRPr="001E50CD">
        <w:rPr>
          <w:rFonts w:ascii="Times New Roman" w:hAnsi="Times New Roman" w:cs="Times New Roman"/>
        </w:rPr>
        <w:t xml:space="preserve">§ </w:t>
      </w:r>
      <w:hyperlink r:id="rId323" w:history="1">
        <w:r w:rsidRPr="006E2D47">
          <w:rPr>
            <w:rStyle w:val="Hyperlink"/>
            <w:rFonts w:ascii="Times New Roman" w:hAnsi="Times New Roman" w:cs="Times New Roman"/>
          </w:rPr>
          <w:t>16-3-107</w:t>
        </w:r>
      </w:hyperlink>
      <w:r w:rsidRPr="001E50CD">
        <w:rPr>
          <w:rFonts w:ascii="Times New Roman" w:hAnsi="Times New Roman" w:cs="Times New Roman"/>
        </w:rPr>
        <w:t xml:space="preserve"> through § 16-3-112</w:t>
      </w:r>
      <w:bookmarkEnd w:id="1124"/>
    </w:p>
  </w:footnote>
  <w:footnote w:id="815">
    <w:p w14:paraId="5E453110" w14:textId="477BD7F4" w:rsidR="00336EDF" w:rsidRPr="00CE0AC5" w:rsidRDefault="00336EDF" w:rsidP="00CE0AC5">
      <w:pPr>
        <w:pStyle w:val="FootnoteText"/>
        <w:jc w:val="both"/>
        <w:rPr>
          <w:rFonts w:ascii="Times New Roman" w:hAnsi="Times New Roman" w:cs="Times New Roman"/>
        </w:rPr>
      </w:pPr>
      <w:r w:rsidRPr="00CE0AC5">
        <w:rPr>
          <w:rStyle w:val="FootnoteReference"/>
          <w:rFonts w:ascii="Times New Roman" w:hAnsi="Times New Roman" w:cs="Times New Roman"/>
        </w:rPr>
        <w:footnoteRef/>
      </w:r>
      <w:r w:rsidRPr="00CE0AC5">
        <w:rPr>
          <w:rFonts w:ascii="Times New Roman" w:hAnsi="Times New Roman" w:cs="Times New Roman"/>
        </w:rPr>
        <w:t xml:space="preserve"> </w:t>
      </w:r>
      <w:bookmarkStart w:id="1127" w:name="f775"/>
      <w:bookmarkEnd w:id="1127"/>
      <w:r w:rsidRPr="00CE0AC5">
        <w:rPr>
          <w:rFonts w:ascii="Times New Roman" w:hAnsi="Times New Roman" w:cs="Times New Roman"/>
        </w:rPr>
        <w:t xml:space="preserve">McIntosh v. Med. Comm’n, </w:t>
      </w:r>
      <w:hyperlink r:id="rId324" w:history="1">
        <w:r w:rsidRPr="00CC17B4">
          <w:rPr>
            <w:rStyle w:val="Hyperlink"/>
            <w:rFonts w:ascii="Times New Roman" w:hAnsi="Times New Roman" w:cs="Times New Roman"/>
          </w:rPr>
          <w:t>162 P.3d 483</w:t>
        </w:r>
      </w:hyperlink>
      <w:r w:rsidRPr="00CE0AC5">
        <w:rPr>
          <w:rFonts w:ascii="Times New Roman" w:hAnsi="Times New Roman" w:cs="Times New Roman"/>
        </w:rPr>
        <w:t xml:space="preserve">, 497 (Wyo. 2007) (Golden, J., dissenting) (“The Medical Commission is a welcome addition to the Workers’ Compensation hearing process, but it is simply that—an addition. It is not a substitute for the OAH.”); </w:t>
      </w:r>
      <w:r w:rsidRPr="00CE0AC5">
        <w:rPr>
          <w:rFonts w:ascii="Times New Roman" w:hAnsi="Times New Roman" w:cs="Times New Roman"/>
          <w:i/>
        </w:rPr>
        <w:t>see also</w:t>
      </w:r>
      <w:r w:rsidRPr="00CE0AC5">
        <w:rPr>
          <w:rFonts w:ascii="Times New Roman" w:hAnsi="Times New Roman" w:cs="Times New Roman"/>
        </w:rPr>
        <w:t xml:space="preserve"> Torrey,</w:t>
      </w:r>
      <w:r>
        <w:rPr>
          <w:rFonts w:ascii="Times New Roman" w:hAnsi="Times New Roman" w:cs="Times New Roman"/>
        </w:rPr>
        <w:t xml:space="preserve"> Master or </w:t>
      </w:r>
      <w:r w:rsidRPr="00CC17B4">
        <w:rPr>
          <w:rFonts w:ascii="Times New Roman" w:hAnsi="Times New Roman" w:cs="Times New Roman"/>
          <w:i/>
          <w:iCs/>
        </w:rPr>
        <w:t>Chancellor</w:t>
      </w:r>
      <w:r>
        <w:rPr>
          <w:rFonts w:ascii="Times New Roman" w:hAnsi="Times New Roman" w:cs="Times New Roman"/>
        </w:rPr>
        <w:t>,</w:t>
      </w:r>
      <w:r w:rsidRPr="00CE0AC5">
        <w:rPr>
          <w:rFonts w:ascii="Times New Roman" w:hAnsi="Times New Roman" w:cs="Times New Roman"/>
        </w:rPr>
        <w:t xml:space="preserve"> </w:t>
      </w:r>
      <w:r w:rsidRPr="00CE0AC5">
        <w:rPr>
          <w:rFonts w:ascii="Times New Roman" w:hAnsi="Times New Roman" w:cs="Times New Roman"/>
          <w:i/>
        </w:rPr>
        <w:t>supra</w:t>
      </w:r>
      <w:r>
        <w:rPr>
          <w:rFonts w:ascii="Times New Roman" w:hAnsi="Times New Roman" w:cs="Times New Roman"/>
          <w:i/>
        </w:rPr>
        <w:t>.</w:t>
      </w:r>
      <w:r w:rsidRPr="00CE0AC5">
        <w:rPr>
          <w:rFonts w:ascii="Times New Roman" w:hAnsi="Times New Roman" w:cs="Times New Roman"/>
          <w:i/>
        </w:rPr>
        <w:t xml:space="preserve"> </w:t>
      </w:r>
      <w:r w:rsidRPr="00CE0AC5">
        <w:rPr>
          <w:rFonts w:ascii="Times New Roman" w:hAnsi="Times New Roman" w:cs="Times New Roman"/>
        </w:rPr>
        <w:t>at 109 (“The Wyoming statute maintains an unusual proviso whereby a dispute can be referred to a medical panel for fact-finding.”)</w:t>
      </w:r>
    </w:p>
  </w:footnote>
  <w:footnote w:id="816">
    <w:p w14:paraId="1F781B0A" w14:textId="372F785A" w:rsidR="00336EDF" w:rsidRPr="00CC17B4" w:rsidRDefault="00336EDF" w:rsidP="00CE0AC5">
      <w:pPr>
        <w:pStyle w:val="FootnoteText"/>
        <w:jc w:val="both"/>
        <w:rPr>
          <w:iCs/>
        </w:rPr>
      </w:pPr>
      <w:r w:rsidRPr="00CE0AC5">
        <w:rPr>
          <w:rStyle w:val="FootnoteReference"/>
          <w:rFonts w:ascii="Times New Roman" w:hAnsi="Times New Roman" w:cs="Times New Roman"/>
        </w:rPr>
        <w:footnoteRef/>
      </w:r>
      <w:r w:rsidRPr="00CE0AC5">
        <w:rPr>
          <w:rFonts w:ascii="Times New Roman" w:hAnsi="Times New Roman" w:cs="Times New Roman"/>
        </w:rPr>
        <w:t xml:space="preserve"> </w:t>
      </w:r>
      <w:bookmarkStart w:id="1129" w:name="f776"/>
      <w:bookmarkEnd w:id="1129"/>
      <w:r w:rsidRPr="00CC17B4">
        <w:rPr>
          <w:rFonts w:ascii="Times New Roman" w:hAnsi="Times New Roman" w:cs="Times New Roman"/>
        </w:rPr>
        <w:t>§ 27-14-616</w:t>
      </w:r>
      <w:r>
        <w:rPr>
          <w:rFonts w:ascii="Times New Roman" w:hAnsi="Times New Roman" w:cs="Times New Roman"/>
        </w:rPr>
        <w:t>(a)</w:t>
      </w:r>
    </w:p>
  </w:footnote>
  <w:footnote w:id="817">
    <w:p w14:paraId="5DB21B82" w14:textId="4E41321A" w:rsidR="00336EDF" w:rsidRPr="00CE0AC5" w:rsidRDefault="00336EDF" w:rsidP="00CE0AC5">
      <w:pPr>
        <w:pStyle w:val="FootnoteText"/>
        <w:jc w:val="both"/>
        <w:rPr>
          <w:rFonts w:ascii="Times New Roman" w:hAnsi="Times New Roman" w:cs="Times New Roman"/>
        </w:rPr>
      </w:pPr>
      <w:r w:rsidRPr="00CE0AC5">
        <w:rPr>
          <w:rStyle w:val="FootnoteReference"/>
          <w:rFonts w:ascii="Times New Roman" w:hAnsi="Times New Roman" w:cs="Times New Roman"/>
        </w:rPr>
        <w:footnoteRef/>
      </w:r>
      <w:r w:rsidRPr="00A77FDF">
        <w:t xml:space="preserve"> </w:t>
      </w:r>
      <w:bookmarkStart w:id="1130" w:name="f777"/>
      <w:bookmarkEnd w:id="1130"/>
      <w:r w:rsidRPr="00CE0AC5">
        <w:rPr>
          <w:rFonts w:ascii="Times New Roman" w:hAnsi="Times New Roman" w:cs="Times New Roman"/>
        </w:rPr>
        <w:t xml:space="preserve">French v. Amax Coal West, </w:t>
      </w:r>
      <w:hyperlink r:id="rId325" w:history="1">
        <w:r w:rsidRPr="00CC17B4">
          <w:rPr>
            <w:rStyle w:val="Hyperlink"/>
            <w:rFonts w:ascii="Times New Roman" w:hAnsi="Times New Roman" w:cs="Times New Roman"/>
          </w:rPr>
          <w:t>960 P.2d 1023</w:t>
        </w:r>
      </w:hyperlink>
      <w:r w:rsidRPr="00CE0AC5">
        <w:rPr>
          <w:rFonts w:ascii="Times New Roman" w:hAnsi="Times New Roman" w:cs="Times New Roman"/>
        </w:rPr>
        <w:t>, 1030 (Wyo</w:t>
      </w:r>
      <w:r>
        <w:rPr>
          <w:rFonts w:ascii="Times New Roman" w:hAnsi="Times New Roman" w:cs="Times New Roman"/>
        </w:rPr>
        <w:t>.</w:t>
      </w:r>
      <w:r w:rsidRPr="00CE0AC5">
        <w:rPr>
          <w:rFonts w:ascii="Times New Roman" w:hAnsi="Times New Roman" w:cs="Times New Roman"/>
        </w:rPr>
        <w:t xml:space="preserve"> 1998).</w:t>
      </w:r>
    </w:p>
  </w:footnote>
  <w:footnote w:id="818">
    <w:p w14:paraId="49C5F4C1" w14:textId="0F6FC765" w:rsidR="00336EDF" w:rsidRDefault="00336EDF">
      <w:pPr>
        <w:pStyle w:val="FootnoteText"/>
      </w:pPr>
      <w:r w:rsidRPr="00A468B8">
        <w:rPr>
          <w:rStyle w:val="FootnoteReference"/>
          <w:rFonts w:ascii="Times New Roman" w:hAnsi="Times New Roman" w:cs="Times New Roman"/>
        </w:rPr>
        <w:footnoteRef/>
      </w:r>
      <w:r w:rsidRPr="00A468B8">
        <w:rPr>
          <w:rFonts w:ascii="Times New Roman" w:hAnsi="Times New Roman" w:cs="Times New Roman"/>
        </w:rPr>
        <w:t xml:space="preserve"> </w:t>
      </w:r>
      <w:bookmarkStart w:id="1131" w:name="f778"/>
      <w:bookmarkEnd w:id="1131"/>
      <w:r w:rsidRPr="00A468B8">
        <w:rPr>
          <w:rFonts w:ascii="Times New Roman" w:hAnsi="Times New Roman" w:cs="Times New Roman"/>
        </w:rPr>
        <w:t>McIntosh v. Med. Comm’n, 162 P.3d  at 497</w:t>
      </w:r>
    </w:p>
  </w:footnote>
  <w:footnote w:id="819">
    <w:p w14:paraId="575B1C7E" w14:textId="2DB9BF62" w:rsidR="00336EDF" w:rsidRPr="00671B7D" w:rsidRDefault="00336EDF">
      <w:pPr>
        <w:pStyle w:val="FootnoteText"/>
        <w:rPr>
          <w:rFonts w:ascii="Times New Roman" w:hAnsi="Times New Roman" w:cs="Times New Roman"/>
        </w:rPr>
      </w:pPr>
      <w:r w:rsidRPr="00671B7D">
        <w:rPr>
          <w:rStyle w:val="FootnoteReference"/>
          <w:rFonts w:ascii="Times New Roman" w:hAnsi="Times New Roman" w:cs="Times New Roman"/>
        </w:rPr>
        <w:footnoteRef/>
      </w:r>
      <w:r>
        <w:t xml:space="preserve"> </w:t>
      </w:r>
      <w:bookmarkStart w:id="1132" w:name="f779"/>
      <w:bookmarkEnd w:id="1132"/>
      <w:r w:rsidRPr="00671B7D">
        <w:rPr>
          <w:rFonts w:ascii="Times New Roman" w:hAnsi="Times New Roman" w:cs="Times New Roman"/>
        </w:rPr>
        <w:t>Jacobs v. Wyoming Medical Com</w:t>
      </w:r>
      <w:r>
        <w:rPr>
          <w:rFonts w:ascii="Times New Roman" w:hAnsi="Times New Roman" w:cs="Times New Roman"/>
        </w:rPr>
        <w:t>m’</w:t>
      </w:r>
      <w:r w:rsidRPr="00671B7D">
        <w:rPr>
          <w:rFonts w:ascii="Times New Roman" w:hAnsi="Times New Roman" w:cs="Times New Roman"/>
        </w:rPr>
        <w:t xml:space="preserve">n, </w:t>
      </w:r>
      <w:hyperlink r:id="rId326" w:history="1">
        <w:r w:rsidRPr="00671B7D">
          <w:rPr>
            <w:rStyle w:val="Hyperlink"/>
            <w:rFonts w:ascii="Times New Roman" w:hAnsi="Times New Roman" w:cs="Times New Roman"/>
          </w:rPr>
          <w:t>118 P.3d 441</w:t>
        </w:r>
      </w:hyperlink>
      <w:r w:rsidRPr="00671B7D">
        <w:rPr>
          <w:rFonts w:ascii="Times New Roman" w:hAnsi="Times New Roman" w:cs="Times New Roman"/>
        </w:rPr>
        <w:t xml:space="preserve"> (Wyo. 2005).</w:t>
      </w:r>
    </w:p>
  </w:footnote>
  <w:footnote w:id="820">
    <w:p w14:paraId="7568E248" w14:textId="69889016" w:rsidR="00336EDF" w:rsidRPr="000A55C2" w:rsidRDefault="00336EDF">
      <w:pPr>
        <w:pStyle w:val="FootnoteText"/>
      </w:pPr>
      <w:r w:rsidRPr="00A47D9A">
        <w:rPr>
          <w:rStyle w:val="FootnoteReference"/>
          <w:rFonts w:ascii="Times New Roman" w:hAnsi="Times New Roman" w:cs="Times New Roman"/>
        </w:rPr>
        <w:footnoteRef/>
      </w:r>
      <w:r w:rsidRPr="00A47D9A">
        <w:rPr>
          <w:rFonts w:ascii="Times New Roman" w:hAnsi="Times New Roman" w:cs="Times New Roman"/>
        </w:rPr>
        <w:t xml:space="preserve"> </w:t>
      </w:r>
      <w:bookmarkStart w:id="1133" w:name="f780"/>
      <w:bookmarkEnd w:id="1133"/>
      <w:r>
        <w:rPr>
          <w:rFonts w:ascii="Times New Roman" w:hAnsi="Times New Roman" w:cs="Times New Roman"/>
        </w:rPr>
        <w:t xml:space="preserve">Bando v. Clure Bros. Furniture, </w:t>
      </w:r>
      <w:hyperlink r:id="rId327" w:history="1">
        <w:r w:rsidRPr="000A55C2">
          <w:rPr>
            <w:rStyle w:val="Hyperlink"/>
            <w:rFonts w:ascii="Times New Roman" w:hAnsi="Times New Roman" w:cs="Times New Roman"/>
          </w:rPr>
          <w:t>980 P.2d 323</w:t>
        </w:r>
      </w:hyperlink>
      <w:r>
        <w:rPr>
          <w:rFonts w:ascii="Times New Roman" w:hAnsi="Times New Roman" w:cs="Times New Roman"/>
        </w:rPr>
        <w:t xml:space="preserve"> (Wyo. 1999); Russell v Workers’ Safety &amp; Compensation Div., </w:t>
      </w:r>
      <w:hyperlink r:id="rId328" w:history="1">
        <w:r w:rsidRPr="000A55C2">
          <w:rPr>
            <w:rStyle w:val="Hyperlink"/>
            <w:rFonts w:ascii="Times New Roman" w:hAnsi="Times New Roman" w:cs="Times New Roman"/>
          </w:rPr>
          <w:t>944 P.2d 1151</w:t>
        </w:r>
      </w:hyperlink>
      <w:r>
        <w:rPr>
          <w:rFonts w:ascii="Times New Roman" w:hAnsi="Times New Roman" w:cs="Times New Roman"/>
        </w:rPr>
        <w:t xml:space="preserve">, 1154 (Wyo. 1997) </w:t>
      </w:r>
    </w:p>
  </w:footnote>
  <w:footnote w:id="821">
    <w:p w14:paraId="34D056F7" w14:textId="6D482CA3" w:rsidR="00336EDF" w:rsidRDefault="00336EDF">
      <w:pPr>
        <w:pStyle w:val="FootnoteText"/>
      </w:pPr>
      <w:r w:rsidRPr="004D1AB5">
        <w:rPr>
          <w:rStyle w:val="FootnoteReference"/>
          <w:rFonts w:ascii="Times New Roman" w:hAnsi="Times New Roman" w:cs="Times New Roman"/>
        </w:rPr>
        <w:footnoteRef/>
      </w:r>
      <w:bookmarkStart w:id="1134" w:name="f781"/>
      <w:bookmarkEnd w:id="1134"/>
      <w:r w:rsidRPr="004D1AB5">
        <w:rPr>
          <w:rFonts w:ascii="Times New Roman" w:hAnsi="Times New Roman" w:cs="Times New Roman"/>
        </w:rPr>
        <w:t xml:space="preserve"> </w:t>
      </w:r>
      <w:hyperlink r:id="rId329" w:history="1">
        <w:r w:rsidRPr="002A0DF4">
          <w:rPr>
            <w:rStyle w:val="Hyperlink"/>
            <w:rFonts w:ascii="Times New Roman" w:hAnsi="Times New Roman" w:cs="Times New Roman"/>
          </w:rPr>
          <w:t>W. S. § 27-14-616</w:t>
        </w:r>
      </w:hyperlink>
      <w:r w:rsidRPr="004D1AB5">
        <w:rPr>
          <w:rFonts w:ascii="Times New Roman" w:hAnsi="Times New Roman" w:cs="Times New Roman"/>
        </w:rPr>
        <w:t>(iv)</w:t>
      </w:r>
    </w:p>
  </w:footnote>
  <w:footnote w:id="822">
    <w:p w14:paraId="19673E6C" w14:textId="22D730ED" w:rsidR="00336EDF" w:rsidRDefault="00336EDF">
      <w:pPr>
        <w:pStyle w:val="FootnoteText"/>
      </w:pPr>
      <w:r w:rsidRPr="00A468B8">
        <w:rPr>
          <w:rStyle w:val="FootnoteReference"/>
          <w:rFonts w:ascii="Times New Roman" w:hAnsi="Times New Roman" w:cs="Times New Roman"/>
        </w:rPr>
        <w:footnoteRef/>
      </w:r>
      <w:r w:rsidRPr="00A468B8">
        <w:rPr>
          <w:rFonts w:ascii="Times New Roman" w:hAnsi="Times New Roman" w:cs="Times New Roman"/>
        </w:rPr>
        <w:t xml:space="preserve"> </w:t>
      </w:r>
      <w:bookmarkStart w:id="1135" w:name="f782"/>
      <w:bookmarkStart w:id="1136" w:name="_Hlk12371447"/>
      <w:bookmarkEnd w:id="1135"/>
      <w:r>
        <w:rPr>
          <w:rFonts w:ascii="Times New Roman" w:hAnsi="Times New Roman" w:cs="Times New Roman"/>
          <w:smallCaps/>
        </w:rPr>
        <w:fldChar w:fldCharType="begin"/>
      </w:r>
      <w:r>
        <w:rPr>
          <w:rFonts w:ascii="Times New Roman" w:hAnsi="Times New Roman" w:cs="Times New Roman"/>
          <w:smallCaps/>
        </w:rPr>
        <w:instrText xml:space="preserve"> HYPERLINK "https://wyoleg.gov/NXT/gateway.dll?f=templates&amp;fn=default.htm" </w:instrText>
      </w:r>
      <w:r>
        <w:rPr>
          <w:rFonts w:ascii="Times New Roman" w:hAnsi="Times New Roman" w:cs="Times New Roman"/>
          <w:smallCaps/>
        </w:rPr>
        <w:fldChar w:fldCharType="separate"/>
      </w:r>
      <w:r w:rsidRPr="002A0DF4">
        <w:rPr>
          <w:rStyle w:val="Hyperlink"/>
          <w:rFonts w:ascii="Times New Roman" w:hAnsi="Times New Roman" w:cs="Times New Roman"/>
          <w:smallCaps/>
        </w:rPr>
        <w:t xml:space="preserve">W. S. </w:t>
      </w:r>
      <w:r w:rsidRPr="002A0DF4">
        <w:rPr>
          <w:rStyle w:val="Hyperlink"/>
          <w:rFonts w:ascii="Times New Roman" w:hAnsi="Times New Roman" w:cs="Times New Roman"/>
        </w:rPr>
        <w:t>§ 27-14-616</w:t>
      </w:r>
      <w:r>
        <w:rPr>
          <w:rFonts w:ascii="Times New Roman" w:hAnsi="Times New Roman" w:cs="Times New Roman"/>
          <w:smallCaps/>
        </w:rPr>
        <w:fldChar w:fldCharType="end"/>
      </w:r>
      <w:r w:rsidRPr="00CE0AC5">
        <w:rPr>
          <w:rFonts w:ascii="Times New Roman" w:hAnsi="Times New Roman" w:cs="Times New Roman"/>
        </w:rPr>
        <w:t>(iv)</w:t>
      </w:r>
      <w:bookmarkEnd w:id="1136"/>
    </w:p>
  </w:footnote>
  <w:footnote w:id="823">
    <w:p w14:paraId="1683F944" w14:textId="4A755A15" w:rsidR="00336EDF" w:rsidRDefault="00336EDF">
      <w:pPr>
        <w:pStyle w:val="FootnoteText"/>
      </w:pPr>
      <w:r w:rsidRPr="00A468B8">
        <w:rPr>
          <w:rStyle w:val="FootnoteReference"/>
          <w:rFonts w:ascii="Times New Roman" w:hAnsi="Times New Roman" w:cs="Times New Roman"/>
        </w:rPr>
        <w:footnoteRef/>
      </w:r>
      <w:r>
        <w:t xml:space="preserve"> </w:t>
      </w:r>
      <w:bookmarkStart w:id="1137" w:name="f783"/>
      <w:bookmarkEnd w:id="1137"/>
      <w:r>
        <w:fldChar w:fldCharType="begin"/>
      </w:r>
      <w:r>
        <w:instrText xml:space="preserve"> HYPERLINK "https://wyoleg.gov/NXT/gateway.dll?f=templates&amp;fn=default.htm" </w:instrText>
      </w:r>
      <w:r>
        <w:fldChar w:fldCharType="separate"/>
      </w:r>
      <w:r w:rsidRPr="002A0DF4">
        <w:rPr>
          <w:rStyle w:val="Hyperlink"/>
          <w:rFonts w:ascii="Times New Roman" w:hAnsi="Times New Roman" w:cs="Times New Roman"/>
          <w:smallCaps/>
        </w:rPr>
        <w:t xml:space="preserve">W. S. </w:t>
      </w:r>
      <w:r w:rsidRPr="002A0DF4">
        <w:rPr>
          <w:rStyle w:val="Hyperlink"/>
          <w:rFonts w:ascii="Times New Roman" w:hAnsi="Times New Roman" w:cs="Times New Roman"/>
        </w:rPr>
        <w:t>§ 27-14-616</w:t>
      </w:r>
      <w:r>
        <w:rPr>
          <w:rStyle w:val="Hyperlink"/>
          <w:rFonts w:ascii="Times New Roman" w:hAnsi="Times New Roman" w:cs="Times New Roman"/>
        </w:rPr>
        <w:fldChar w:fldCharType="end"/>
      </w:r>
      <w:r w:rsidRPr="00CE0AC5">
        <w:rPr>
          <w:rFonts w:ascii="Times New Roman" w:hAnsi="Times New Roman" w:cs="Times New Roman"/>
        </w:rPr>
        <w:t>(iv)</w:t>
      </w:r>
    </w:p>
  </w:footnote>
  <w:footnote w:id="824">
    <w:p w14:paraId="4D10203D" w14:textId="54322A84" w:rsidR="00336EDF" w:rsidRPr="00626CD7" w:rsidRDefault="00336EDF" w:rsidP="00626CD7">
      <w:pPr>
        <w:pStyle w:val="FootnoteText"/>
        <w:jc w:val="both"/>
        <w:rPr>
          <w:rFonts w:ascii="Times New Roman" w:hAnsi="Times New Roman" w:cs="Times New Roman"/>
        </w:rPr>
      </w:pPr>
      <w:r w:rsidRPr="00626CD7">
        <w:rPr>
          <w:rStyle w:val="FootnoteReference"/>
          <w:rFonts w:ascii="Times New Roman" w:hAnsi="Times New Roman" w:cs="Times New Roman"/>
        </w:rPr>
        <w:footnoteRef/>
      </w:r>
      <w:r w:rsidRPr="00626CD7">
        <w:rPr>
          <w:rFonts w:ascii="Times New Roman" w:hAnsi="Times New Roman" w:cs="Times New Roman"/>
        </w:rPr>
        <w:t xml:space="preserve"> </w:t>
      </w:r>
      <w:bookmarkStart w:id="1138" w:name="f784"/>
      <w:bookmarkStart w:id="1139" w:name="_Hlk12374849"/>
      <w:bookmarkEnd w:id="1138"/>
      <w:r w:rsidRPr="00626CD7">
        <w:rPr>
          <w:rFonts w:ascii="Times New Roman" w:hAnsi="Times New Roman" w:cs="Times New Roman"/>
        </w:rPr>
        <w:t>Workers’ Compensation Claim of Rodgers v. Workers’ Safety &amp; Compensation Div</w:t>
      </w:r>
      <w:bookmarkEnd w:id="1139"/>
      <w:r w:rsidRPr="00626CD7">
        <w:rPr>
          <w:rFonts w:ascii="Times New Roman" w:hAnsi="Times New Roman" w:cs="Times New Roman"/>
        </w:rPr>
        <w:t xml:space="preserve">, </w:t>
      </w:r>
      <w:hyperlink r:id="rId330" w:history="1">
        <w:r w:rsidRPr="00626CD7">
          <w:rPr>
            <w:rStyle w:val="Hyperlink"/>
            <w:rFonts w:ascii="Times New Roman" w:hAnsi="Times New Roman" w:cs="Times New Roman"/>
          </w:rPr>
          <w:t>135 P.3d 568</w:t>
        </w:r>
      </w:hyperlink>
      <w:r w:rsidRPr="00626CD7">
        <w:rPr>
          <w:rFonts w:ascii="Times New Roman" w:hAnsi="Times New Roman" w:cs="Times New Roman"/>
        </w:rPr>
        <w:t>, 571 (Wyo. 2006)</w:t>
      </w:r>
    </w:p>
  </w:footnote>
  <w:footnote w:id="825">
    <w:p w14:paraId="14D63201" w14:textId="089AACE9" w:rsidR="00336EDF" w:rsidRPr="0094157E" w:rsidRDefault="00336EDF" w:rsidP="00CE0AC5">
      <w:pPr>
        <w:pStyle w:val="FootnoteText"/>
        <w:jc w:val="both"/>
        <w:rPr>
          <w:rFonts w:ascii="Times New Roman" w:hAnsi="Times New Roman" w:cs="Times New Roman"/>
          <w:iCs/>
        </w:rPr>
      </w:pPr>
      <w:r w:rsidRPr="00CE0AC5">
        <w:rPr>
          <w:rStyle w:val="FootnoteReference"/>
          <w:rFonts w:ascii="Times New Roman" w:hAnsi="Times New Roman" w:cs="Times New Roman"/>
        </w:rPr>
        <w:footnoteRef/>
      </w:r>
      <w:r w:rsidRPr="00CE0AC5">
        <w:rPr>
          <w:rFonts w:ascii="Times New Roman" w:hAnsi="Times New Roman" w:cs="Times New Roman"/>
        </w:rPr>
        <w:t xml:space="preserve"> </w:t>
      </w:r>
      <w:bookmarkStart w:id="1140" w:name="f785"/>
      <w:bookmarkStart w:id="1141" w:name="_Hlk12368884"/>
      <w:bookmarkEnd w:id="1140"/>
      <w:r>
        <w:rPr>
          <w:rFonts w:ascii="Times New Roman" w:hAnsi="Times New Roman" w:cs="Times New Roman"/>
          <w:smallCaps/>
        </w:rPr>
        <w:fldChar w:fldCharType="begin"/>
      </w:r>
      <w:r>
        <w:rPr>
          <w:rFonts w:ascii="Times New Roman" w:hAnsi="Times New Roman" w:cs="Times New Roman"/>
          <w:smallCaps/>
        </w:rPr>
        <w:instrText xml:space="preserve"> HYPERLINK "https://wyoleg.gov/NXT/gateway.dll?f=templates&amp;fn=default.htm" </w:instrText>
      </w:r>
      <w:r>
        <w:rPr>
          <w:rFonts w:ascii="Times New Roman" w:hAnsi="Times New Roman" w:cs="Times New Roman"/>
          <w:smallCaps/>
        </w:rPr>
        <w:fldChar w:fldCharType="separate"/>
      </w:r>
      <w:r w:rsidRPr="002A0DF4">
        <w:rPr>
          <w:rStyle w:val="Hyperlink"/>
          <w:rFonts w:ascii="Times New Roman" w:hAnsi="Times New Roman" w:cs="Times New Roman"/>
          <w:smallCaps/>
        </w:rPr>
        <w:t xml:space="preserve">W. S. </w:t>
      </w:r>
      <w:r w:rsidRPr="002A0DF4">
        <w:rPr>
          <w:rStyle w:val="Hyperlink"/>
          <w:rFonts w:ascii="Times New Roman" w:hAnsi="Times New Roman" w:cs="Times New Roman"/>
        </w:rPr>
        <w:t>§ 27-14-616</w:t>
      </w:r>
      <w:r>
        <w:rPr>
          <w:rFonts w:ascii="Times New Roman" w:hAnsi="Times New Roman" w:cs="Times New Roman"/>
          <w:smallCaps/>
        </w:rPr>
        <w:fldChar w:fldCharType="end"/>
      </w:r>
      <w:r w:rsidRPr="00CE0AC5">
        <w:rPr>
          <w:rFonts w:ascii="Times New Roman" w:hAnsi="Times New Roman" w:cs="Times New Roman"/>
        </w:rPr>
        <w:t>(iv)</w:t>
      </w:r>
      <w:bookmarkEnd w:id="1141"/>
    </w:p>
  </w:footnote>
  <w:footnote w:id="826">
    <w:p w14:paraId="784919CA" w14:textId="5DA90A54" w:rsidR="00336EDF" w:rsidRPr="00CE0AC5" w:rsidRDefault="00336EDF" w:rsidP="00CE0AC5">
      <w:pPr>
        <w:pStyle w:val="FootnoteText"/>
        <w:jc w:val="both"/>
        <w:rPr>
          <w:rFonts w:ascii="Times New Roman" w:hAnsi="Times New Roman" w:cs="Times New Roman"/>
        </w:rPr>
      </w:pPr>
      <w:r w:rsidRPr="00CE0AC5">
        <w:rPr>
          <w:rStyle w:val="FootnoteReference"/>
          <w:rFonts w:ascii="Times New Roman" w:hAnsi="Times New Roman" w:cs="Times New Roman"/>
        </w:rPr>
        <w:footnoteRef/>
      </w:r>
      <w:r w:rsidRPr="00A77FDF">
        <w:t xml:space="preserve"> </w:t>
      </w:r>
      <w:bookmarkStart w:id="1142" w:name="f786"/>
      <w:bookmarkStart w:id="1143" w:name="_Hlk12366293"/>
      <w:bookmarkEnd w:id="1142"/>
      <w:r>
        <w:rPr>
          <w:rFonts w:ascii="Times New Roman" w:hAnsi="Times New Roman" w:cs="Times New Roman"/>
          <w:smallCaps/>
        </w:rPr>
        <w:fldChar w:fldCharType="begin"/>
      </w:r>
      <w:r>
        <w:rPr>
          <w:rFonts w:ascii="Times New Roman" w:hAnsi="Times New Roman" w:cs="Times New Roman"/>
          <w:smallCaps/>
        </w:rPr>
        <w:instrText xml:space="preserve"> HYPERLINK "https://wyoleg.gov/NXT/gateway.dll?f=templates&amp;fn=default.htm" </w:instrText>
      </w:r>
      <w:r>
        <w:rPr>
          <w:rFonts w:ascii="Times New Roman" w:hAnsi="Times New Roman" w:cs="Times New Roman"/>
          <w:smallCaps/>
        </w:rPr>
        <w:fldChar w:fldCharType="separate"/>
      </w:r>
      <w:r w:rsidRPr="002A0DF4">
        <w:rPr>
          <w:rStyle w:val="Hyperlink"/>
          <w:rFonts w:ascii="Times New Roman" w:hAnsi="Times New Roman" w:cs="Times New Roman"/>
          <w:smallCaps/>
        </w:rPr>
        <w:t xml:space="preserve">W. S. </w:t>
      </w:r>
      <w:r w:rsidRPr="002A0DF4">
        <w:rPr>
          <w:rStyle w:val="Hyperlink"/>
          <w:rFonts w:ascii="Times New Roman" w:hAnsi="Times New Roman" w:cs="Times New Roman"/>
        </w:rPr>
        <w:t>§ 27-14-616</w:t>
      </w:r>
      <w:r>
        <w:rPr>
          <w:rFonts w:ascii="Times New Roman" w:hAnsi="Times New Roman" w:cs="Times New Roman"/>
          <w:smallCaps/>
        </w:rPr>
        <w:fldChar w:fldCharType="end"/>
      </w:r>
      <w:r w:rsidRPr="00CE0AC5">
        <w:rPr>
          <w:rFonts w:ascii="Times New Roman" w:hAnsi="Times New Roman" w:cs="Times New Roman"/>
        </w:rPr>
        <w:t>(iv)</w:t>
      </w:r>
      <w:bookmarkEnd w:id="1143"/>
      <w:r w:rsidRPr="00CE0AC5">
        <w:rPr>
          <w:rFonts w:ascii="Times New Roman" w:hAnsi="Times New Roman" w:cs="Times New Roman"/>
        </w:rPr>
        <w:t xml:space="preserve">; McIntosh v. Med. Comm’n, 162 P.3d </w:t>
      </w:r>
      <w:r>
        <w:rPr>
          <w:rFonts w:ascii="Times New Roman" w:hAnsi="Times New Roman" w:cs="Times New Roman"/>
        </w:rPr>
        <w:t xml:space="preserve">at </w:t>
      </w:r>
      <w:r w:rsidRPr="00CE0AC5">
        <w:rPr>
          <w:rFonts w:ascii="Times New Roman" w:hAnsi="Times New Roman" w:cs="Times New Roman"/>
        </w:rPr>
        <w:t>492</w:t>
      </w:r>
      <w:r>
        <w:rPr>
          <w:rFonts w:ascii="Times New Roman" w:hAnsi="Times New Roman" w:cs="Times New Roman"/>
        </w:rPr>
        <w:t xml:space="preserve"> </w:t>
      </w:r>
      <w:r w:rsidRPr="00CE0AC5">
        <w:rPr>
          <w:rFonts w:ascii="Times New Roman" w:hAnsi="Times New Roman" w:cs="Times New Roman"/>
        </w:rPr>
        <w:t xml:space="preserve">(quoting Rules, Regulations and Fee Schedules of the Wyoming Workers’ Safety </w:t>
      </w:r>
      <w:r>
        <w:rPr>
          <w:rFonts w:ascii="Times New Roman" w:hAnsi="Times New Roman" w:cs="Times New Roman"/>
        </w:rPr>
        <w:t>&amp;</w:t>
      </w:r>
      <w:r w:rsidRPr="00CE0AC5">
        <w:rPr>
          <w:rFonts w:ascii="Times New Roman" w:hAnsi="Times New Roman" w:cs="Times New Roman"/>
        </w:rPr>
        <w:t xml:space="preserve"> Compensation Div</w:t>
      </w:r>
      <w:r>
        <w:rPr>
          <w:rFonts w:ascii="Times New Roman" w:hAnsi="Times New Roman" w:cs="Times New Roman"/>
        </w:rPr>
        <w:t>.</w:t>
      </w:r>
      <w:r w:rsidRPr="00CE0AC5">
        <w:rPr>
          <w:rFonts w:ascii="Times New Roman" w:hAnsi="Times New Roman" w:cs="Times New Roman"/>
        </w:rPr>
        <w:t>, Chapter 6, § 1(a)(i)(D) (2004)).</w:t>
      </w:r>
    </w:p>
  </w:footnote>
  <w:footnote w:id="827">
    <w:p w14:paraId="276F5AE3" w14:textId="58CF8CC6" w:rsidR="00336EDF" w:rsidRPr="00CE0AC5" w:rsidRDefault="00336EDF" w:rsidP="00CE0AC5">
      <w:pPr>
        <w:pStyle w:val="FootnoteText"/>
        <w:jc w:val="both"/>
        <w:rPr>
          <w:rFonts w:ascii="Times New Roman" w:hAnsi="Times New Roman" w:cs="Times New Roman"/>
        </w:rPr>
      </w:pPr>
      <w:r w:rsidRPr="00CE0AC5">
        <w:rPr>
          <w:rStyle w:val="FootnoteReference"/>
          <w:rFonts w:ascii="Times New Roman" w:hAnsi="Times New Roman" w:cs="Times New Roman"/>
        </w:rPr>
        <w:footnoteRef/>
      </w:r>
      <w:r w:rsidRPr="00CE0AC5">
        <w:rPr>
          <w:rFonts w:ascii="Times New Roman" w:hAnsi="Times New Roman" w:cs="Times New Roman"/>
        </w:rPr>
        <w:t xml:space="preserve"> </w:t>
      </w:r>
      <w:bookmarkStart w:id="1144" w:name="f787"/>
      <w:bookmarkEnd w:id="1144"/>
      <w:r w:rsidRPr="00CE0AC5">
        <w:rPr>
          <w:rFonts w:ascii="Times New Roman" w:hAnsi="Times New Roman" w:cs="Times New Roman"/>
        </w:rPr>
        <w:t xml:space="preserve">French v. Amax Coal West, 960 P.2d </w:t>
      </w:r>
      <w:r>
        <w:rPr>
          <w:rFonts w:ascii="Times New Roman" w:hAnsi="Times New Roman" w:cs="Times New Roman"/>
        </w:rPr>
        <w:t xml:space="preserve">at </w:t>
      </w:r>
      <w:r w:rsidRPr="00CE0AC5">
        <w:rPr>
          <w:rFonts w:ascii="Times New Roman" w:hAnsi="Times New Roman" w:cs="Times New Roman"/>
        </w:rPr>
        <w:t>1030</w:t>
      </w:r>
    </w:p>
  </w:footnote>
  <w:footnote w:id="828">
    <w:p w14:paraId="5992DD79" w14:textId="0C669A6F" w:rsidR="00336EDF" w:rsidRDefault="00336EDF">
      <w:pPr>
        <w:pStyle w:val="FootnoteText"/>
      </w:pPr>
      <w:r w:rsidRPr="003A27BF">
        <w:rPr>
          <w:rStyle w:val="FootnoteReference"/>
          <w:rFonts w:ascii="Times New Roman" w:hAnsi="Times New Roman" w:cs="Times New Roman"/>
        </w:rPr>
        <w:footnoteRef/>
      </w:r>
      <w:r>
        <w:t xml:space="preserve"> </w:t>
      </w:r>
      <w:bookmarkStart w:id="1145" w:name="f788"/>
      <w:bookmarkEnd w:id="1145"/>
      <w:r w:rsidRPr="003A27BF">
        <w:rPr>
          <w:rFonts w:ascii="Times New Roman" w:hAnsi="Times New Roman" w:cs="Times New Roman"/>
          <w:i/>
          <w:iCs/>
        </w:rPr>
        <w:t>See</w:t>
      </w:r>
      <w:r w:rsidRPr="003A27BF">
        <w:rPr>
          <w:rFonts w:ascii="Times New Roman" w:hAnsi="Times New Roman" w:cs="Times New Roman"/>
        </w:rPr>
        <w:t xml:space="preserve"> this Treatise </w:t>
      </w:r>
      <w:r w:rsidRPr="00D52EA6">
        <w:rPr>
          <w:rFonts w:ascii="Times New Roman" w:hAnsi="Times New Roman" w:cs="Times New Roman"/>
          <w:i/>
          <w:iCs/>
        </w:rPr>
        <w:t>supra</w:t>
      </w:r>
      <w:r w:rsidRPr="003A27BF">
        <w:rPr>
          <w:rFonts w:ascii="Times New Roman" w:hAnsi="Times New Roman" w:cs="Times New Roman"/>
        </w:rPr>
        <w:t>. at Section 6.3</w:t>
      </w:r>
      <w:r>
        <w:t xml:space="preserve"> </w:t>
      </w:r>
    </w:p>
  </w:footnote>
  <w:footnote w:id="829">
    <w:p w14:paraId="75FE7DB8" w14:textId="31F09BC8" w:rsidR="00336EDF" w:rsidRPr="00A77FDF" w:rsidRDefault="00336EDF" w:rsidP="00CE0AC5">
      <w:pPr>
        <w:pStyle w:val="FootnoteText"/>
        <w:jc w:val="both"/>
      </w:pPr>
      <w:r w:rsidRPr="00CE0AC5">
        <w:rPr>
          <w:rStyle w:val="FootnoteReference"/>
          <w:rFonts w:ascii="Times New Roman" w:hAnsi="Times New Roman" w:cs="Times New Roman"/>
        </w:rPr>
        <w:footnoteRef/>
      </w:r>
      <w:r w:rsidRPr="00CE0AC5">
        <w:rPr>
          <w:rFonts w:ascii="Times New Roman" w:hAnsi="Times New Roman" w:cs="Times New Roman"/>
        </w:rPr>
        <w:t xml:space="preserve"> </w:t>
      </w:r>
      <w:bookmarkStart w:id="1146" w:name="f789"/>
      <w:bookmarkEnd w:id="1146"/>
      <w:r>
        <w:rPr>
          <w:rFonts w:ascii="Times New Roman" w:hAnsi="Times New Roman" w:cs="Times New Roman"/>
          <w:iCs/>
        </w:rPr>
        <w:t xml:space="preserve">French v. Amax Coal </w:t>
      </w:r>
      <w:r w:rsidRPr="00CE0AC5">
        <w:rPr>
          <w:rFonts w:ascii="Times New Roman" w:hAnsi="Times New Roman" w:cs="Times New Roman"/>
        </w:rPr>
        <w:t xml:space="preserve">at 1029 </w:t>
      </w:r>
    </w:p>
  </w:footnote>
  <w:footnote w:id="830">
    <w:p w14:paraId="5036D92E" w14:textId="7F35D5BE" w:rsidR="00336EDF" w:rsidRDefault="00336EDF">
      <w:pPr>
        <w:pStyle w:val="FootnoteText"/>
      </w:pPr>
      <w:r w:rsidRPr="00A47D9A">
        <w:rPr>
          <w:rStyle w:val="FootnoteReference"/>
          <w:rFonts w:ascii="Times New Roman" w:hAnsi="Times New Roman" w:cs="Times New Roman"/>
        </w:rPr>
        <w:footnoteRef/>
      </w:r>
      <w:r w:rsidRPr="00A47D9A">
        <w:rPr>
          <w:rFonts w:ascii="Times New Roman" w:hAnsi="Times New Roman" w:cs="Times New Roman"/>
        </w:rPr>
        <w:t xml:space="preserve"> </w:t>
      </w:r>
      <w:bookmarkStart w:id="1147" w:name="f790"/>
      <w:bookmarkEnd w:id="1147"/>
      <w:r w:rsidRPr="00A47D9A">
        <w:rPr>
          <w:rFonts w:ascii="Times New Roman" w:hAnsi="Times New Roman" w:cs="Times New Roman"/>
          <w:i/>
          <w:iCs/>
        </w:rPr>
        <w:t>Id</w:t>
      </w:r>
      <w:r w:rsidRPr="00A47D9A">
        <w:rPr>
          <w:rFonts w:ascii="Times New Roman" w:hAnsi="Times New Roman" w:cs="Times New Roman"/>
        </w:rPr>
        <w:t>. at 1029-1030 (emphasis supplied)</w:t>
      </w:r>
    </w:p>
  </w:footnote>
  <w:footnote w:id="831">
    <w:p w14:paraId="3F29F215" w14:textId="3D50DD2D" w:rsidR="00336EDF" w:rsidRPr="00CE0AC5" w:rsidRDefault="00336EDF" w:rsidP="00CE0AC5">
      <w:pPr>
        <w:pStyle w:val="FootnoteText"/>
        <w:jc w:val="both"/>
        <w:rPr>
          <w:rFonts w:ascii="Times New Roman" w:hAnsi="Times New Roman" w:cs="Times New Roman"/>
        </w:rPr>
      </w:pPr>
      <w:r w:rsidRPr="00CE0AC5">
        <w:rPr>
          <w:rStyle w:val="FootnoteReference"/>
          <w:rFonts w:ascii="Times New Roman" w:hAnsi="Times New Roman" w:cs="Times New Roman"/>
        </w:rPr>
        <w:footnoteRef/>
      </w:r>
      <w:r w:rsidRPr="00A77FDF">
        <w:t xml:space="preserve"> </w:t>
      </w:r>
      <w:bookmarkStart w:id="1148" w:name="f791"/>
      <w:bookmarkEnd w:id="1148"/>
      <w:r w:rsidRPr="00CE0AC5">
        <w:rPr>
          <w:rFonts w:ascii="Times New Roman" w:hAnsi="Times New Roman" w:cs="Times New Roman"/>
        </w:rPr>
        <w:t xml:space="preserve">Watkins v. Med. Comm’n, </w:t>
      </w:r>
      <w:hyperlink r:id="rId331" w:history="1">
        <w:r w:rsidRPr="00626CD7">
          <w:rPr>
            <w:rStyle w:val="Hyperlink"/>
            <w:rFonts w:ascii="Times New Roman" w:hAnsi="Times New Roman" w:cs="Times New Roman"/>
          </w:rPr>
          <w:t>250 P.3d 1082</w:t>
        </w:r>
      </w:hyperlink>
      <w:r w:rsidRPr="00CE0AC5">
        <w:rPr>
          <w:rFonts w:ascii="Times New Roman" w:hAnsi="Times New Roman" w:cs="Times New Roman"/>
        </w:rPr>
        <w:t xml:space="preserve">, 1091 (Wyo. 2011) (Hill, W., dissenting) (“I dissent because my close reading of the record on appeal establishes that the Medical Commission and the Division committed many of the same errors we have pointed out to them, in more than dozen cases in the last several years.”); Camilleri v. Workers’ Safety &amp; Comp. Div., </w:t>
      </w:r>
      <w:hyperlink r:id="rId332" w:history="1">
        <w:r w:rsidRPr="00626CD7">
          <w:rPr>
            <w:rStyle w:val="Hyperlink"/>
            <w:rFonts w:ascii="Times New Roman" w:hAnsi="Times New Roman" w:cs="Times New Roman"/>
          </w:rPr>
          <w:t>244 P.3d 52</w:t>
        </w:r>
      </w:hyperlink>
      <w:r w:rsidRPr="00CE0AC5">
        <w:rPr>
          <w:rFonts w:ascii="Times New Roman" w:hAnsi="Times New Roman" w:cs="Times New Roman"/>
        </w:rPr>
        <w:t xml:space="preserve">, 62-63 (“There is not so much as a scintilla of evidence to support such a finding and that this Commission would give voice to such a libelous accusation causes us great concern about the credibility of the Commission.”); Glaze v. Workers’ Safety &amp; Comp. Div., </w:t>
      </w:r>
      <w:hyperlink r:id="rId333" w:history="1">
        <w:r w:rsidRPr="0031230D">
          <w:rPr>
            <w:rStyle w:val="Hyperlink"/>
            <w:rFonts w:ascii="Times New Roman" w:hAnsi="Times New Roman" w:cs="Times New Roman"/>
          </w:rPr>
          <w:t>214 P.3d 228</w:t>
        </w:r>
      </w:hyperlink>
      <w:r w:rsidRPr="00CE0AC5">
        <w:rPr>
          <w:rFonts w:ascii="Times New Roman" w:hAnsi="Times New Roman" w:cs="Times New Roman"/>
        </w:rPr>
        <w:t xml:space="preserve">, 235 (Wyo. 2009) (“The Medical Commission’s criticisms of Dr. Neal are especially perplexing because it frequently relies on ‘paper reviews’ made by physicians who never saw the patient, but still provide opinions about the patient that directly contradict information provided by the treating physician.”); Straube v. Workers’ Safety &amp; Comp. Div., </w:t>
      </w:r>
      <w:hyperlink r:id="rId334" w:history="1">
        <w:r w:rsidRPr="0031230D">
          <w:rPr>
            <w:rStyle w:val="Hyperlink"/>
            <w:rFonts w:ascii="Times New Roman" w:hAnsi="Times New Roman" w:cs="Times New Roman"/>
          </w:rPr>
          <w:t>208 P.3d 41</w:t>
        </w:r>
      </w:hyperlink>
      <w:r w:rsidRPr="00CE0AC5">
        <w:rPr>
          <w:rFonts w:ascii="Times New Roman" w:hAnsi="Times New Roman" w:cs="Times New Roman"/>
        </w:rPr>
        <w:t xml:space="preserve">, 48 (Wyo. 2009) (“Needless to say, it is not for doctors or the Medical Commission to question public policy, let alone thwart it.”); </w:t>
      </w:r>
      <w:r w:rsidRPr="0031230D">
        <w:rPr>
          <w:rFonts w:ascii="Times New Roman" w:hAnsi="Times New Roman" w:cs="Times New Roman"/>
        </w:rPr>
        <w:t>Workers’ Compensation Claim of Rodgers v. Workers’ Safety &amp; Compensation Div</w:t>
      </w:r>
      <w:r w:rsidRPr="00CE0AC5">
        <w:rPr>
          <w:rFonts w:ascii="Times New Roman" w:hAnsi="Times New Roman" w:cs="Times New Roman"/>
        </w:rPr>
        <w:t xml:space="preserve">, </w:t>
      </w:r>
      <w:hyperlink r:id="rId335" w:history="1">
        <w:r w:rsidRPr="0031230D">
          <w:rPr>
            <w:rStyle w:val="Hyperlink"/>
            <w:rFonts w:ascii="Times New Roman" w:hAnsi="Times New Roman" w:cs="Times New Roman"/>
          </w:rPr>
          <w:t>135 P.3d 568</w:t>
        </w:r>
      </w:hyperlink>
      <w:r w:rsidRPr="00CE0AC5">
        <w:rPr>
          <w:rFonts w:ascii="Times New Roman" w:hAnsi="Times New Roman" w:cs="Times New Roman"/>
        </w:rPr>
        <w:t xml:space="preserve">, 576 (Wyo. 2006) (“We find the Medical Commission’s decision in this case runs afoul of the Wyoming [Administrative Procedure Act] because it failed to weigh all of the material evidence offered by the parties, it made ultimate findings of fact unsupported by any basic findings, and it improperly took judicial notice of a contested fact.”). </w:t>
      </w:r>
    </w:p>
  </w:footnote>
  <w:footnote w:id="832">
    <w:p w14:paraId="62B7D7BA" w14:textId="5450F078" w:rsidR="00336EDF" w:rsidRPr="008150FA" w:rsidRDefault="00336EDF">
      <w:pPr>
        <w:pStyle w:val="FootnoteText"/>
        <w:rPr>
          <w:rFonts w:ascii="Times New Roman" w:hAnsi="Times New Roman" w:cs="Times New Roman"/>
        </w:rPr>
      </w:pPr>
      <w:r w:rsidRPr="008150FA">
        <w:rPr>
          <w:rStyle w:val="FootnoteReference"/>
          <w:rFonts w:ascii="Times New Roman" w:hAnsi="Times New Roman" w:cs="Times New Roman"/>
        </w:rPr>
        <w:footnoteRef/>
      </w:r>
      <w:r w:rsidRPr="008150FA">
        <w:rPr>
          <w:rFonts w:ascii="Times New Roman" w:hAnsi="Times New Roman" w:cs="Times New Roman"/>
        </w:rPr>
        <w:t xml:space="preserve"> </w:t>
      </w:r>
      <w:bookmarkStart w:id="1150" w:name="f792"/>
      <w:bookmarkEnd w:id="1150"/>
      <w:r w:rsidRPr="008150FA">
        <w:rPr>
          <w:rFonts w:ascii="Times New Roman" w:hAnsi="Times New Roman" w:cs="Times New Roman"/>
        </w:rPr>
        <w:t xml:space="preserve">Moss v. Workers’ Safety &amp; Compensation Div., </w:t>
      </w:r>
      <w:hyperlink r:id="rId336" w:history="1">
        <w:r w:rsidRPr="008150FA">
          <w:rPr>
            <w:rStyle w:val="Hyperlink"/>
            <w:rFonts w:ascii="Times New Roman" w:hAnsi="Times New Roman" w:cs="Times New Roman"/>
          </w:rPr>
          <w:t>232 P.3d 1</w:t>
        </w:r>
      </w:hyperlink>
      <w:r w:rsidRPr="008150FA">
        <w:rPr>
          <w:rFonts w:ascii="Times New Roman" w:hAnsi="Times New Roman" w:cs="Times New Roman"/>
        </w:rPr>
        <w:t xml:space="preserve"> (Wyo. 2010) </w:t>
      </w:r>
    </w:p>
  </w:footnote>
  <w:footnote w:id="833">
    <w:p w14:paraId="6607B307" w14:textId="2E147433" w:rsidR="00336EDF" w:rsidRDefault="00336EDF">
      <w:pPr>
        <w:pStyle w:val="FootnoteText"/>
      </w:pPr>
      <w:r w:rsidRPr="008150FA">
        <w:rPr>
          <w:rStyle w:val="FootnoteReference"/>
          <w:rFonts w:ascii="Times New Roman" w:hAnsi="Times New Roman" w:cs="Times New Roman"/>
        </w:rPr>
        <w:footnoteRef/>
      </w:r>
      <w:r w:rsidRPr="008150FA">
        <w:rPr>
          <w:rFonts w:ascii="Times New Roman" w:hAnsi="Times New Roman" w:cs="Times New Roman"/>
        </w:rPr>
        <w:t xml:space="preserve"> </w:t>
      </w:r>
      <w:bookmarkStart w:id="1151" w:name="f793"/>
      <w:bookmarkEnd w:id="1151"/>
      <w:r w:rsidRPr="008150FA">
        <w:rPr>
          <w:rFonts w:ascii="Times New Roman" w:hAnsi="Times New Roman" w:cs="Times New Roman"/>
          <w:i/>
          <w:iCs/>
        </w:rPr>
        <w:t>Id</w:t>
      </w:r>
      <w:r w:rsidRPr="008150FA">
        <w:rPr>
          <w:rFonts w:ascii="Times New Roman" w:hAnsi="Times New Roman" w:cs="Times New Roman"/>
        </w:rPr>
        <w:t>. at 6–11</w:t>
      </w:r>
    </w:p>
  </w:footnote>
  <w:footnote w:id="834">
    <w:p w14:paraId="19212475" w14:textId="0397F7C3" w:rsidR="00336EDF" w:rsidRDefault="00336EDF">
      <w:pPr>
        <w:pStyle w:val="FootnoteText"/>
      </w:pPr>
      <w:r w:rsidRPr="00286C69">
        <w:rPr>
          <w:rStyle w:val="FootnoteReference"/>
          <w:rFonts w:ascii="Times New Roman" w:hAnsi="Times New Roman" w:cs="Times New Roman"/>
        </w:rPr>
        <w:footnoteRef/>
      </w:r>
      <w:r>
        <w:t xml:space="preserve"> </w:t>
      </w:r>
      <w:bookmarkStart w:id="1152" w:name="f794"/>
      <w:bookmarkEnd w:id="1152"/>
      <w:r w:rsidRPr="00286C69">
        <w:rPr>
          <w:rFonts w:ascii="Times New Roman" w:hAnsi="Times New Roman" w:cs="Times New Roman"/>
          <w:i/>
          <w:iCs/>
        </w:rPr>
        <w:t>Id</w:t>
      </w:r>
      <w:r w:rsidRPr="00286C69">
        <w:rPr>
          <w:rFonts w:ascii="Times New Roman" w:hAnsi="Times New Roman" w:cs="Times New Roman"/>
        </w:rPr>
        <w:t>. at 7</w:t>
      </w:r>
    </w:p>
  </w:footnote>
  <w:footnote w:id="835">
    <w:p w14:paraId="52767E0D" w14:textId="7501ED9C" w:rsidR="00336EDF" w:rsidRDefault="00336EDF">
      <w:pPr>
        <w:pStyle w:val="FootnoteText"/>
      </w:pPr>
      <w:r w:rsidRPr="00286C69">
        <w:rPr>
          <w:rStyle w:val="FootnoteReference"/>
          <w:rFonts w:ascii="Times New Roman" w:hAnsi="Times New Roman" w:cs="Times New Roman"/>
        </w:rPr>
        <w:footnoteRef/>
      </w:r>
      <w:r>
        <w:t xml:space="preserve"> </w:t>
      </w:r>
      <w:bookmarkStart w:id="1153" w:name="f795"/>
      <w:bookmarkEnd w:id="1153"/>
      <w:r w:rsidRPr="00286C69">
        <w:rPr>
          <w:rFonts w:ascii="Times New Roman" w:hAnsi="Times New Roman" w:cs="Times New Roman"/>
          <w:i/>
          <w:iCs/>
        </w:rPr>
        <w:t>Id</w:t>
      </w:r>
      <w:r w:rsidRPr="00286C69">
        <w:rPr>
          <w:rFonts w:ascii="Times New Roman" w:hAnsi="Times New Roman" w:cs="Times New Roman"/>
        </w:rPr>
        <w:t>. at 11</w:t>
      </w:r>
    </w:p>
  </w:footnote>
  <w:footnote w:id="836">
    <w:p w14:paraId="09985251" w14:textId="63FC3B18" w:rsidR="00336EDF" w:rsidRDefault="00336EDF">
      <w:pPr>
        <w:pStyle w:val="FootnoteText"/>
      </w:pPr>
      <w:r w:rsidRPr="00286C69">
        <w:rPr>
          <w:rStyle w:val="FootnoteReference"/>
          <w:rFonts w:ascii="Times New Roman" w:hAnsi="Times New Roman" w:cs="Times New Roman"/>
        </w:rPr>
        <w:footnoteRef/>
      </w:r>
      <w:r>
        <w:t xml:space="preserve"> </w:t>
      </w:r>
      <w:bookmarkStart w:id="1154" w:name="f796"/>
      <w:bookmarkEnd w:id="1154"/>
      <w:r w:rsidRPr="00286C69">
        <w:rPr>
          <w:rFonts w:ascii="Times New Roman" w:hAnsi="Times New Roman" w:cs="Times New Roman"/>
          <w:i/>
          <w:iCs/>
        </w:rPr>
        <w:t>Id</w:t>
      </w:r>
      <w:r w:rsidRPr="00286C69">
        <w:rPr>
          <w:rFonts w:ascii="Times New Roman" w:hAnsi="Times New Roman" w:cs="Times New Roman"/>
        </w:rPr>
        <w:t>. at 11-12</w:t>
      </w:r>
    </w:p>
  </w:footnote>
  <w:footnote w:id="837">
    <w:p w14:paraId="229D6EB6" w14:textId="4F668AAA" w:rsidR="00336EDF" w:rsidRDefault="00336EDF">
      <w:pPr>
        <w:pStyle w:val="FootnoteText"/>
      </w:pPr>
      <w:r w:rsidRPr="00286C69">
        <w:rPr>
          <w:rStyle w:val="FootnoteReference"/>
          <w:rFonts w:ascii="Times New Roman" w:hAnsi="Times New Roman" w:cs="Times New Roman"/>
        </w:rPr>
        <w:footnoteRef/>
      </w:r>
      <w:r>
        <w:t xml:space="preserve"> </w:t>
      </w:r>
      <w:bookmarkStart w:id="1155" w:name="f797"/>
      <w:bookmarkEnd w:id="1155"/>
      <w:r w:rsidRPr="00286C69">
        <w:rPr>
          <w:rFonts w:ascii="Times New Roman" w:hAnsi="Times New Roman" w:cs="Times New Roman"/>
          <w:i/>
          <w:iCs/>
        </w:rPr>
        <w:t>Id</w:t>
      </w:r>
      <w:r w:rsidRPr="00286C69">
        <w:rPr>
          <w:rFonts w:ascii="Times New Roman" w:hAnsi="Times New Roman" w:cs="Times New Roman"/>
        </w:rPr>
        <w:t>. at 12</w:t>
      </w:r>
    </w:p>
  </w:footnote>
  <w:footnote w:id="838">
    <w:p w14:paraId="6D9A2527" w14:textId="556DA0EA" w:rsidR="00336EDF" w:rsidRDefault="00336EDF">
      <w:pPr>
        <w:pStyle w:val="FootnoteText"/>
      </w:pPr>
      <w:r w:rsidRPr="00537787">
        <w:rPr>
          <w:rStyle w:val="FootnoteReference"/>
          <w:rFonts w:ascii="Times New Roman" w:hAnsi="Times New Roman" w:cs="Times New Roman"/>
        </w:rPr>
        <w:footnoteRef/>
      </w:r>
      <w:r>
        <w:t xml:space="preserve"> </w:t>
      </w:r>
      <w:bookmarkStart w:id="1157" w:name="f798"/>
      <w:bookmarkEnd w:id="1157"/>
      <w:r>
        <w:rPr>
          <w:rFonts w:ascii="Times New Roman" w:hAnsi="Times New Roman" w:cs="Times New Roman"/>
        </w:rPr>
        <w:t xml:space="preserve">W.S. § </w:t>
      </w:r>
      <w:hyperlink r:id="rId337" w:history="1">
        <w:r w:rsidRPr="006E2D47">
          <w:rPr>
            <w:rStyle w:val="Hyperlink"/>
            <w:rFonts w:ascii="Times New Roman" w:hAnsi="Times New Roman" w:cs="Times New Roman"/>
          </w:rPr>
          <w:t>27-14-602</w:t>
        </w:r>
      </w:hyperlink>
      <w:r>
        <w:rPr>
          <w:rFonts w:ascii="Times New Roman" w:hAnsi="Times New Roman" w:cs="Times New Roman"/>
        </w:rPr>
        <w:t>(b)(ii)</w:t>
      </w:r>
      <w:r w:rsidRPr="001E50CD">
        <w:rPr>
          <w:rFonts w:ascii="Times New Roman" w:hAnsi="Times New Roman" w:cs="Times New Roman"/>
        </w:rPr>
        <w:t xml:space="preserve"> and</w:t>
      </w:r>
      <w:r>
        <w:t xml:space="preserve"> </w:t>
      </w:r>
      <w:bookmarkStart w:id="1158" w:name="_Hlk12457585"/>
      <w:r w:rsidRPr="001E50CD">
        <w:rPr>
          <w:rFonts w:ascii="Times New Roman" w:hAnsi="Times New Roman" w:cs="Times New Roman"/>
        </w:rPr>
        <w:t xml:space="preserve">§ </w:t>
      </w:r>
      <w:hyperlink r:id="rId338" w:history="1">
        <w:r w:rsidRPr="006E2D47">
          <w:rPr>
            <w:rStyle w:val="Hyperlink"/>
            <w:rFonts w:ascii="Times New Roman" w:hAnsi="Times New Roman" w:cs="Times New Roman"/>
          </w:rPr>
          <w:t>16-3-107</w:t>
        </w:r>
      </w:hyperlink>
      <w:r w:rsidRPr="001E50CD">
        <w:rPr>
          <w:rFonts w:ascii="Times New Roman" w:hAnsi="Times New Roman" w:cs="Times New Roman"/>
        </w:rPr>
        <w:t xml:space="preserve"> </w:t>
      </w:r>
      <w:bookmarkEnd w:id="1158"/>
      <w:r w:rsidRPr="001E50CD">
        <w:rPr>
          <w:rFonts w:ascii="Times New Roman" w:hAnsi="Times New Roman" w:cs="Times New Roman"/>
        </w:rPr>
        <w:t>through § 16-3-112</w:t>
      </w:r>
    </w:p>
  </w:footnote>
  <w:footnote w:id="839">
    <w:p w14:paraId="05561A0F" w14:textId="5773B2B0" w:rsidR="00336EDF" w:rsidRDefault="00336EDF">
      <w:pPr>
        <w:pStyle w:val="FootnoteText"/>
      </w:pPr>
      <w:r w:rsidRPr="005D7C43">
        <w:rPr>
          <w:rStyle w:val="FootnoteReference"/>
          <w:rFonts w:ascii="Times New Roman" w:hAnsi="Times New Roman" w:cs="Times New Roman"/>
        </w:rPr>
        <w:footnoteRef/>
      </w:r>
      <w:r w:rsidRPr="005D7C43">
        <w:rPr>
          <w:rFonts w:ascii="Times New Roman" w:hAnsi="Times New Roman" w:cs="Times New Roman"/>
        </w:rPr>
        <w:t xml:space="preserve"> </w:t>
      </w:r>
      <w:bookmarkStart w:id="1159" w:name="f799"/>
      <w:bookmarkEnd w:id="1159"/>
      <w:r>
        <w:rPr>
          <w:rFonts w:ascii="Times New Roman" w:hAnsi="Times New Roman" w:cs="Times New Roman"/>
        </w:rPr>
        <w:t xml:space="preserve">W.S. </w:t>
      </w:r>
      <w:r w:rsidRPr="001E50CD">
        <w:rPr>
          <w:rFonts w:ascii="Times New Roman" w:hAnsi="Times New Roman" w:cs="Times New Roman"/>
        </w:rPr>
        <w:t xml:space="preserve">§ </w:t>
      </w:r>
      <w:hyperlink r:id="rId339" w:history="1">
        <w:r w:rsidRPr="006E2D47">
          <w:rPr>
            <w:rStyle w:val="Hyperlink"/>
            <w:rFonts w:ascii="Times New Roman" w:hAnsi="Times New Roman" w:cs="Times New Roman"/>
          </w:rPr>
          <w:t>16-3-101</w:t>
        </w:r>
      </w:hyperlink>
      <w:r>
        <w:rPr>
          <w:rFonts w:ascii="Times New Roman" w:hAnsi="Times New Roman" w:cs="Times New Roman"/>
        </w:rPr>
        <w:t>(b)(2)</w:t>
      </w:r>
    </w:p>
  </w:footnote>
  <w:footnote w:id="840">
    <w:p w14:paraId="66C28699" w14:textId="1D90745A" w:rsidR="00336EDF" w:rsidRDefault="00336EDF">
      <w:pPr>
        <w:pStyle w:val="FootnoteText"/>
      </w:pPr>
      <w:r w:rsidRPr="00F461B1">
        <w:rPr>
          <w:rStyle w:val="FootnoteReference"/>
          <w:rFonts w:ascii="Times New Roman" w:hAnsi="Times New Roman" w:cs="Times New Roman"/>
        </w:rPr>
        <w:footnoteRef/>
      </w:r>
      <w:r>
        <w:t xml:space="preserve"> </w:t>
      </w:r>
      <w:bookmarkStart w:id="1160" w:name="f800"/>
      <w:bookmarkEnd w:id="1160"/>
      <w:r w:rsidRPr="00F461B1">
        <w:rPr>
          <w:rFonts w:ascii="Times New Roman" w:hAnsi="Times New Roman" w:cs="Times New Roman"/>
        </w:rPr>
        <w:t xml:space="preserve">Scarlett v. Town Council, Town of Jackson, Teton County, </w:t>
      </w:r>
      <w:hyperlink r:id="rId340" w:history="1">
        <w:r w:rsidRPr="00F461B1">
          <w:rPr>
            <w:rStyle w:val="Hyperlink"/>
            <w:rFonts w:ascii="Times New Roman" w:hAnsi="Times New Roman" w:cs="Times New Roman"/>
          </w:rPr>
          <w:t>463 P.2d 26</w:t>
        </w:r>
      </w:hyperlink>
      <w:r w:rsidRPr="00F461B1">
        <w:rPr>
          <w:rFonts w:ascii="Times New Roman" w:hAnsi="Times New Roman" w:cs="Times New Roman"/>
        </w:rPr>
        <w:t>, 29 (Wyo.1969)</w:t>
      </w:r>
    </w:p>
  </w:footnote>
  <w:footnote w:id="841">
    <w:p w14:paraId="5E4A77E8" w14:textId="1DCD0DD6" w:rsidR="00336EDF" w:rsidRPr="00984763" w:rsidRDefault="00336EDF">
      <w:pPr>
        <w:pStyle w:val="FootnoteText"/>
        <w:rPr>
          <w:rFonts w:ascii="Times New Roman" w:hAnsi="Times New Roman" w:cs="Times New Roman"/>
        </w:rPr>
      </w:pPr>
      <w:r w:rsidRPr="005D7C43">
        <w:rPr>
          <w:rStyle w:val="FootnoteReference"/>
          <w:rFonts w:ascii="Times New Roman" w:hAnsi="Times New Roman" w:cs="Times New Roman"/>
        </w:rPr>
        <w:footnoteRef/>
      </w:r>
      <w:r w:rsidRPr="005D7C43">
        <w:rPr>
          <w:rFonts w:ascii="Times New Roman" w:hAnsi="Times New Roman" w:cs="Times New Roman"/>
        </w:rPr>
        <w:t xml:space="preserve"> </w:t>
      </w:r>
      <w:bookmarkStart w:id="1161" w:name="f801"/>
      <w:bookmarkStart w:id="1162" w:name="_Hlk12458548"/>
      <w:bookmarkEnd w:id="1161"/>
      <w:r w:rsidRPr="005D7C43">
        <w:rPr>
          <w:rFonts w:ascii="Times New Roman" w:hAnsi="Times New Roman" w:cs="Times New Roman"/>
        </w:rPr>
        <w:t>In re Board of County Com’rs, Sublette County</w:t>
      </w:r>
      <w:r>
        <w:rPr>
          <w:rFonts w:ascii="Times New Roman" w:hAnsi="Times New Roman" w:cs="Times New Roman"/>
        </w:rPr>
        <w:t xml:space="preserve">, </w:t>
      </w:r>
      <w:hyperlink r:id="rId341" w:history="1">
        <w:r w:rsidRPr="00984763">
          <w:rPr>
            <w:rStyle w:val="Hyperlink"/>
            <w:rFonts w:ascii="Times New Roman" w:hAnsi="Times New Roman" w:cs="Times New Roman"/>
          </w:rPr>
          <w:t>33 P.3d 107</w:t>
        </w:r>
      </w:hyperlink>
      <w:bookmarkEnd w:id="1162"/>
      <w:r>
        <w:rPr>
          <w:rFonts w:ascii="Times New Roman" w:hAnsi="Times New Roman" w:cs="Times New Roman"/>
        </w:rPr>
        <w:t xml:space="preserve"> (Wyo. 2001); </w:t>
      </w:r>
      <w:r>
        <w:t xml:space="preserve"> </w:t>
      </w:r>
      <w:r w:rsidRPr="00984763">
        <w:rPr>
          <w:rFonts w:ascii="Times New Roman" w:hAnsi="Times New Roman" w:cs="Times New Roman"/>
        </w:rPr>
        <w:t xml:space="preserve">Amoco Production Co. v. Wyoming State Bd. of Equalization, </w:t>
      </w:r>
      <w:hyperlink r:id="rId342" w:history="1">
        <w:r w:rsidRPr="00984763">
          <w:rPr>
            <w:rStyle w:val="Hyperlink"/>
            <w:rFonts w:ascii="Times New Roman" w:hAnsi="Times New Roman" w:cs="Times New Roman"/>
          </w:rPr>
          <w:t>7 P.3d 900</w:t>
        </w:r>
      </w:hyperlink>
      <w:r w:rsidRPr="00984763">
        <w:rPr>
          <w:rFonts w:ascii="Times New Roman" w:hAnsi="Times New Roman" w:cs="Times New Roman"/>
        </w:rPr>
        <w:t>, 905 (Wyo.2000)</w:t>
      </w:r>
      <w:r>
        <w:rPr>
          <w:rFonts w:ascii="Times New Roman" w:hAnsi="Times New Roman" w:cs="Times New Roman"/>
        </w:rPr>
        <w:t xml:space="preserve">; and </w:t>
      </w:r>
      <w:r w:rsidRPr="00984763">
        <w:rPr>
          <w:rFonts w:ascii="Times New Roman" w:hAnsi="Times New Roman" w:cs="Times New Roman"/>
        </w:rPr>
        <w:t xml:space="preserve">Basin Elec. Power Co-op., Inc. v. Department of Revenue, State of Wyo., </w:t>
      </w:r>
      <w:hyperlink r:id="rId343" w:history="1">
        <w:r w:rsidRPr="00984763">
          <w:rPr>
            <w:rStyle w:val="Hyperlink"/>
            <w:rFonts w:ascii="Times New Roman" w:hAnsi="Times New Roman" w:cs="Times New Roman"/>
          </w:rPr>
          <w:t>970 P.2d 841</w:t>
        </w:r>
      </w:hyperlink>
      <w:r w:rsidRPr="00984763">
        <w:rPr>
          <w:rFonts w:ascii="Times New Roman" w:hAnsi="Times New Roman" w:cs="Times New Roman"/>
        </w:rPr>
        <w:t>, 849 (Wyo.1998)</w:t>
      </w:r>
      <w:r>
        <w:rPr>
          <w:rFonts w:ascii="Times New Roman" w:hAnsi="Times New Roman" w:cs="Times New Roman"/>
        </w:rPr>
        <w:t>.</w:t>
      </w:r>
    </w:p>
  </w:footnote>
  <w:footnote w:id="842">
    <w:p w14:paraId="6257395F" w14:textId="234CB40B" w:rsidR="00336EDF" w:rsidRPr="00F461B1" w:rsidRDefault="00336EDF" w:rsidP="00F461B1">
      <w:pPr>
        <w:pStyle w:val="FootnoteText"/>
        <w:jc w:val="both"/>
        <w:rPr>
          <w:rFonts w:ascii="Times New Roman" w:hAnsi="Times New Roman" w:cs="Times New Roman"/>
        </w:rPr>
      </w:pPr>
      <w:r w:rsidRPr="00F23AB4">
        <w:rPr>
          <w:rStyle w:val="FootnoteReference"/>
          <w:rFonts w:ascii="Times New Roman" w:hAnsi="Times New Roman" w:cs="Times New Roman"/>
        </w:rPr>
        <w:footnoteRef/>
      </w:r>
      <w:r w:rsidRPr="00F461B1">
        <w:rPr>
          <w:rFonts w:ascii="Times New Roman" w:hAnsi="Times New Roman" w:cs="Times New Roman"/>
        </w:rPr>
        <w:t xml:space="preserve"> </w:t>
      </w:r>
      <w:bookmarkStart w:id="1163" w:name="f802"/>
      <w:bookmarkEnd w:id="1163"/>
      <w:r w:rsidRPr="00F461B1">
        <w:rPr>
          <w:rFonts w:ascii="Times New Roman" w:hAnsi="Times New Roman" w:cs="Times New Roman"/>
        </w:rPr>
        <w:t xml:space="preserve">Sheridan County Com’n v. V.O. Gold Properties, LLC, </w:t>
      </w:r>
      <w:hyperlink r:id="rId344" w:history="1">
        <w:r w:rsidRPr="00792B36">
          <w:rPr>
            <w:rStyle w:val="Hyperlink"/>
            <w:rFonts w:ascii="Times New Roman" w:hAnsi="Times New Roman" w:cs="Times New Roman"/>
          </w:rPr>
          <w:t>247 P.3d 48</w:t>
        </w:r>
      </w:hyperlink>
      <w:r w:rsidRPr="00F461B1">
        <w:rPr>
          <w:rFonts w:ascii="Times New Roman" w:hAnsi="Times New Roman" w:cs="Times New Roman"/>
        </w:rPr>
        <w:t xml:space="preserve">, 50 (Wyo. 2011); </w:t>
      </w:r>
      <w:r w:rsidRPr="00EF1CCF">
        <w:rPr>
          <w:rFonts w:ascii="Times New Roman" w:hAnsi="Times New Roman" w:cs="Times New Roman"/>
        </w:rPr>
        <w:t>In re Board of County Com’rs, Sublette County,</w:t>
      </w:r>
      <w:r w:rsidRPr="00F461B1">
        <w:rPr>
          <w:rFonts w:ascii="Times New Roman" w:hAnsi="Times New Roman" w:cs="Times New Roman"/>
          <w:i/>
          <w:iCs/>
        </w:rPr>
        <w:t xml:space="preserve"> supra</w:t>
      </w:r>
      <w:r w:rsidRPr="00EF1CCF">
        <w:rPr>
          <w:rFonts w:ascii="Times New Roman" w:hAnsi="Times New Roman" w:cs="Times New Roman"/>
        </w:rPr>
        <w:t>., 33 P.3d 107</w:t>
      </w:r>
      <w:r>
        <w:rPr>
          <w:rFonts w:ascii="Times New Roman" w:hAnsi="Times New Roman" w:cs="Times New Roman"/>
        </w:rPr>
        <w:t xml:space="preserve">; </w:t>
      </w:r>
      <w:r w:rsidRPr="00F461B1">
        <w:rPr>
          <w:rFonts w:ascii="Times New Roman" w:hAnsi="Times New Roman" w:cs="Times New Roman"/>
        </w:rPr>
        <w:t xml:space="preserve">Northfork Citizens for Responsible Dev. v. Bd. of County Comm'rs of Park County, </w:t>
      </w:r>
      <w:hyperlink r:id="rId345" w:history="1">
        <w:r w:rsidRPr="00792B36">
          <w:rPr>
            <w:rStyle w:val="Hyperlink"/>
            <w:rFonts w:ascii="Times New Roman" w:hAnsi="Times New Roman" w:cs="Times New Roman"/>
          </w:rPr>
          <w:t>228 P.3d 838</w:t>
        </w:r>
      </w:hyperlink>
      <w:r w:rsidRPr="00F461B1">
        <w:rPr>
          <w:rFonts w:ascii="Times New Roman" w:hAnsi="Times New Roman" w:cs="Times New Roman"/>
        </w:rPr>
        <w:t xml:space="preserve">, 855 (Wyo.2010); In re Application for Certificate of Need by HCA Health Serv., </w:t>
      </w:r>
      <w:hyperlink r:id="rId346" w:history="1">
        <w:r w:rsidRPr="00792B36">
          <w:rPr>
            <w:rStyle w:val="Hyperlink"/>
            <w:rFonts w:ascii="Times New Roman" w:hAnsi="Times New Roman" w:cs="Times New Roman"/>
          </w:rPr>
          <w:t>689 P.2d 108</w:t>
        </w:r>
      </w:hyperlink>
      <w:r w:rsidRPr="00F461B1">
        <w:rPr>
          <w:rFonts w:ascii="Times New Roman" w:hAnsi="Times New Roman" w:cs="Times New Roman"/>
        </w:rPr>
        <w:t xml:space="preserve">, 110–114 (Wyo.1984); Carlson v. Bratton, </w:t>
      </w:r>
      <w:hyperlink r:id="rId347" w:history="1">
        <w:r w:rsidRPr="00792B36">
          <w:rPr>
            <w:rStyle w:val="Hyperlink"/>
            <w:rFonts w:ascii="Times New Roman" w:hAnsi="Times New Roman" w:cs="Times New Roman"/>
          </w:rPr>
          <w:t>681 P.2d 1333</w:t>
        </w:r>
      </w:hyperlink>
      <w:r w:rsidRPr="00F461B1">
        <w:rPr>
          <w:rFonts w:ascii="Times New Roman" w:hAnsi="Times New Roman" w:cs="Times New Roman"/>
        </w:rPr>
        <w:t xml:space="preserve">, 1338 (Wyo.1984) </w:t>
      </w:r>
    </w:p>
  </w:footnote>
  <w:footnote w:id="843">
    <w:p w14:paraId="40B01149" w14:textId="372B90D0" w:rsidR="00336EDF" w:rsidRDefault="00336EDF">
      <w:pPr>
        <w:pStyle w:val="FootnoteText"/>
      </w:pPr>
      <w:r w:rsidRPr="00792B36">
        <w:rPr>
          <w:rStyle w:val="FootnoteReference"/>
          <w:rFonts w:ascii="Times New Roman" w:hAnsi="Times New Roman" w:cs="Times New Roman"/>
        </w:rPr>
        <w:footnoteRef/>
      </w:r>
      <w:r>
        <w:t xml:space="preserve"> </w:t>
      </w:r>
      <w:bookmarkStart w:id="1164" w:name="f803"/>
      <w:bookmarkStart w:id="1165" w:name="_Hlk12695752"/>
      <w:bookmarkEnd w:id="1164"/>
      <w:r w:rsidRPr="00FB454F">
        <w:rPr>
          <w:rFonts w:ascii="Times New Roman" w:hAnsi="Times New Roman" w:cs="Times New Roman"/>
        </w:rPr>
        <w:t>W.S.</w:t>
      </w:r>
      <w:r>
        <w:t xml:space="preserve"> </w:t>
      </w:r>
      <w:r w:rsidRPr="00792B36">
        <w:rPr>
          <w:rFonts w:ascii="Times New Roman" w:hAnsi="Times New Roman" w:cs="Times New Roman"/>
        </w:rPr>
        <w:t xml:space="preserve">§ </w:t>
      </w:r>
      <w:hyperlink r:id="rId348" w:history="1">
        <w:r w:rsidRPr="006E2D47">
          <w:rPr>
            <w:rStyle w:val="Hyperlink"/>
            <w:rFonts w:ascii="Times New Roman" w:hAnsi="Times New Roman" w:cs="Times New Roman"/>
          </w:rPr>
          <w:t>27-14-602</w:t>
        </w:r>
      </w:hyperlink>
      <w:r w:rsidRPr="00792B36">
        <w:rPr>
          <w:rFonts w:ascii="Times New Roman" w:hAnsi="Times New Roman" w:cs="Times New Roman"/>
        </w:rPr>
        <w:t>(b)(ii)</w:t>
      </w:r>
      <w:bookmarkEnd w:id="1165"/>
    </w:p>
  </w:footnote>
  <w:footnote w:id="844">
    <w:p w14:paraId="44721293" w14:textId="2C050900" w:rsidR="00336EDF" w:rsidRDefault="00336EDF">
      <w:pPr>
        <w:pStyle w:val="FootnoteText"/>
      </w:pPr>
      <w:r w:rsidRPr="005622CE">
        <w:rPr>
          <w:rStyle w:val="FootnoteReference"/>
          <w:rFonts w:ascii="Times New Roman" w:hAnsi="Times New Roman" w:cs="Times New Roman"/>
        </w:rPr>
        <w:footnoteRef/>
      </w:r>
      <w:r w:rsidRPr="005622CE">
        <w:rPr>
          <w:rFonts w:ascii="Times New Roman" w:hAnsi="Times New Roman" w:cs="Times New Roman"/>
        </w:rPr>
        <w:t xml:space="preserve"> </w:t>
      </w:r>
      <w:bookmarkStart w:id="1166" w:name="f804"/>
      <w:bookmarkStart w:id="1167" w:name="_Hlk12804269"/>
      <w:bookmarkEnd w:id="1166"/>
      <w:r>
        <w:fldChar w:fldCharType="begin"/>
      </w:r>
      <w:r>
        <w:instrText xml:space="preserve"> HYPERLINK "https://www.leagle.com/decision/19992063984p2d107912060" </w:instrText>
      </w:r>
      <w:r>
        <w:fldChar w:fldCharType="separate"/>
      </w:r>
      <w:r w:rsidRPr="00017447">
        <w:rPr>
          <w:rStyle w:val="Hyperlink"/>
          <w:rFonts w:ascii="Times New Roman" w:hAnsi="Times New Roman" w:cs="Times New Roman"/>
        </w:rPr>
        <w:t>984 P.2d 1079</w:t>
      </w:r>
      <w:r>
        <w:rPr>
          <w:rStyle w:val="Hyperlink"/>
          <w:rFonts w:ascii="Times New Roman" w:hAnsi="Times New Roman" w:cs="Times New Roman"/>
        </w:rPr>
        <w:fldChar w:fldCharType="end"/>
      </w:r>
      <w:r w:rsidRPr="008A328F">
        <w:rPr>
          <w:rFonts w:ascii="Times New Roman" w:hAnsi="Times New Roman" w:cs="Times New Roman"/>
        </w:rPr>
        <w:t xml:space="preserve"> (Wyo. 1999)</w:t>
      </w:r>
      <w:bookmarkEnd w:id="1167"/>
    </w:p>
  </w:footnote>
  <w:footnote w:id="845">
    <w:p w14:paraId="1C1076A9" w14:textId="2E14E946" w:rsidR="00336EDF" w:rsidRDefault="00336EDF">
      <w:pPr>
        <w:pStyle w:val="FootnoteText"/>
      </w:pPr>
      <w:r w:rsidRPr="000166F2">
        <w:rPr>
          <w:rStyle w:val="FootnoteReference"/>
          <w:rFonts w:ascii="Times New Roman" w:hAnsi="Times New Roman" w:cs="Times New Roman"/>
        </w:rPr>
        <w:footnoteRef/>
      </w:r>
      <w:r>
        <w:t xml:space="preserve"> </w:t>
      </w:r>
      <w:bookmarkStart w:id="1168" w:name="f805"/>
      <w:bookmarkEnd w:id="1168"/>
      <w:r w:rsidRPr="000166F2">
        <w:rPr>
          <w:rFonts w:ascii="Times New Roman" w:hAnsi="Times New Roman" w:cs="Times New Roman"/>
          <w:i/>
          <w:iCs/>
        </w:rPr>
        <w:t>Id</w:t>
      </w:r>
      <w:r w:rsidRPr="000166F2">
        <w:rPr>
          <w:rFonts w:ascii="Times New Roman" w:hAnsi="Times New Roman" w:cs="Times New Roman"/>
        </w:rPr>
        <w:t xml:space="preserve">. </w:t>
      </w:r>
      <w:r>
        <w:rPr>
          <w:rFonts w:ascii="Times New Roman" w:hAnsi="Times New Roman" w:cs="Times New Roman"/>
        </w:rPr>
        <w:t xml:space="preserve">at </w:t>
      </w:r>
      <w:r w:rsidRPr="000166F2">
        <w:rPr>
          <w:rFonts w:ascii="Times New Roman" w:hAnsi="Times New Roman" w:cs="Times New Roman"/>
        </w:rPr>
        <w:t>1081-1083</w:t>
      </w:r>
    </w:p>
  </w:footnote>
  <w:footnote w:id="846">
    <w:p w14:paraId="72A60038" w14:textId="5CF6DB97" w:rsidR="00336EDF" w:rsidRDefault="00336EDF">
      <w:pPr>
        <w:pStyle w:val="FootnoteText"/>
      </w:pPr>
      <w:r w:rsidRPr="007D70E2">
        <w:rPr>
          <w:rStyle w:val="FootnoteReference"/>
          <w:rFonts w:ascii="Times New Roman" w:hAnsi="Times New Roman" w:cs="Times New Roman"/>
        </w:rPr>
        <w:footnoteRef/>
      </w:r>
      <w:r>
        <w:t xml:space="preserve"> </w:t>
      </w:r>
      <w:bookmarkStart w:id="1169" w:name="f806"/>
      <w:bookmarkEnd w:id="1169"/>
      <w:r w:rsidRPr="007D70E2">
        <w:rPr>
          <w:rFonts w:ascii="Times New Roman" w:hAnsi="Times New Roman" w:cs="Times New Roman"/>
          <w:i/>
          <w:iCs/>
        </w:rPr>
        <w:t>Id.</w:t>
      </w:r>
    </w:p>
  </w:footnote>
  <w:footnote w:id="847">
    <w:p w14:paraId="5E3F87F5" w14:textId="7082770C" w:rsidR="00336EDF" w:rsidRDefault="00336EDF">
      <w:pPr>
        <w:pStyle w:val="FootnoteText"/>
      </w:pPr>
      <w:r w:rsidRPr="007D70E2">
        <w:rPr>
          <w:rStyle w:val="FootnoteReference"/>
          <w:rFonts w:ascii="Times New Roman" w:hAnsi="Times New Roman" w:cs="Times New Roman"/>
        </w:rPr>
        <w:footnoteRef/>
      </w:r>
      <w:bookmarkStart w:id="1170" w:name="f807"/>
      <w:bookmarkEnd w:id="1170"/>
      <w:r w:rsidRPr="007D70E2">
        <w:rPr>
          <w:rFonts w:ascii="Times New Roman" w:hAnsi="Times New Roman" w:cs="Times New Roman"/>
        </w:rPr>
        <w:t xml:space="preserve"> </w:t>
      </w:r>
      <w:r w:rsidRPr="007D70E2">
        <w:rPr>
          <w:rFonts w:ascii="Times New Roman" w:hAnsi="Times New Roman" w:cs="Times New Roman"/>
          <w:i/>
          <w:iCs/>
        </w:rPr>
        <w:t>Id.</w:t>
      </w:r>
    </w:p>
  </w:footnote>
  <w:footnote w:id="848">
    <w:p w14:paraId="236A85F4" w14:textId="027DB999" w:rsidR="00336EDF" w:rsidRDefault="00336EDF">
      <w:pPr>
        <w:pStyle w:val="FootnoteText"/>
      </w:pPr>
      <w:r w:rsidRPr="009D5AB3">
        <w:rPr>
          <w:rStyle w:val="FootnoteReference"/>
          <w:rFonts w:ascii="Times New Roman" w:hAnsi="Times New Roman" w:cs="Times New Roman"/>
        </w:rPr>
        <w:footnoteRef/>
      </w:r>
      <w:r>
        <w:t xml:space="preserve"> </w:t>
      </w:r>
      <w:bookmarkStart w:id="1171" w:name="f808"/>
      <w:bookmarkEnd w:id="1171"/>
      <w:r w:rsidRPr="009D5AB3">
        <w:rPr>
          <w:rFonts w:ascii="Times New Roman" w:hAnsi="Times New Roman" w:cs="Times New Roman"/>
          <w:i/>
          <w:iCs/>
        </w:rPr>
        <w:t>Id</w:t>
      </w:r>
      <w:r w:rsidRPr="009D5AB3">
        <w:rPr>
          <w:rFonts w:ascii="Times New Roman" w:hAnsi="Times New Roman" w:cs="Times New Roman"/>
        </w:rPr>
        <w:t xml:space="preserve">. </w:t>
      </w:r>
      <w:r>
        <w:rPr>
          <w:rFonts w:ascii="Times New Roman" w:hAnsi="Times New Roman" w:cs="Times New Roman"/>
        </w:rPr>
        <w:t xml:space="preserve">at </w:t>
      </w:r>
      <w:r w:rsidRPr="009D5AB3">
        <w:rPr>
          <w:rFonts w:ascii="Times New Roman" w:hAnsi="Times New Roman" w:cs="Times New Roman"/>
        </w:rPr>
        <w:t>1082-1083</w:t>
      </w:r>
    </w:p>
  </w:footnote>
  <w:footnote w:id="849">
    <w:p w14:paraId="29CAB826" w14:textId="55784F50" w:rsidR="00336EDF" w:rsidRDefault="00336EDF">
      <w:pPr>
        <w:pStyle w:val="FootnoteText"/>
      </w:pPr>
      <w:r w:rsidRPr="009D5AB3">
        <w:rPr>
          <w:rStyle w:val="FootnoteReference"/>
          <w:rFonts w:ascii="Times New Roman" w:hAnsi="Times New Roman" w:cs="Times New Roman"/>
        </w:rPr>
        <w:footnoteRef/>
      </w:r>
      <w:r>
        <w:t xml:space="preserve"> </w:t>
      </w:r>
      <w:bookmarkStart w:id="1172" w:name="f809"/>
      <w:bookmarkEnd w:id="1172"/>
      <w:r w:rsidRPr="009D5AB3">
        <w:rPr>
          <w:rFonts w:ascii="Times New Roman" w:hAnsi="Times New Roman" w:cs="Times New Roman"/>
          <w:i/>
          <w:iCs/>
        </w:rPr>
        <w:t>Id</w:t>
      </w:r>
      <w:r w:rsidRPr="009D5AB3">
        <w:rPr>
          <w:rFonts w:ascii="Times New Roman" w:hAnsi="Times New Roman" w:cs="Times New Roman"/>
        </w:rPr>
        <w:t>. at 1083</w:t>
      </w:r>
    </w:p>
  </w:footnote>
  <w:footnote w:id="850">
    <w:p w14:paraId="3EA06562" w14:textId="64F96F07" w:rsidR="00336EDF" w:rsidRDefault="00336EDF">
      <w:pPr>
        <w:pStyle w:val="FootnoteText"/>
      </w:pPr>
      <w:r w:rsidRPr="005F4318">
        <w:rPr>
          <w:rStyle w:val="FootnoteReference"/>
          <w:rFonts w:ascii="Times New Roman" w:hAnsi="Times New Roman" w:cs="Times New Roman"/>
        </w:rPr>
        <w:footnoteRef/>
      </w:r>
      <w:r w:rsidRPr="005F4318">
        <w:rPr>
          <w:rFonts w:ascii="Times New Roman" w:hAnsi="Times New Roman" w:cs="Times New Roman"/>
        </w:rPr>
        <w:t xml:space="preserve"> </w:t>
      </w:r>
      <w:bookmarkStart w:id="1173" w:name="f810"/>
      <w:bookmarkEnd w:id="1173"/>
      <w:r w:rsidRPr="005F4318">
        <w:rPr>
          <w:rFonts w:ascii="Times New Roman" w:hAnsi="Times New Roman" w:cs="Times New Roman"/>
          <w:i/>
          <w:iCs/>
        </w:rPr>
        <w:t>Id.</w:t>
      </w:r>
    </w:p>
  </w:footnote>
  <w:footnote w:id="851">
    <w:p w14:paraId="0FC1DB83" w14:textId="08C60A8E" w:rsidR="00336EDF" w:rsidRDefault="00336EDF">
      <w:pPr>
        <w:pStyle w:val="FootnoteText"/>
      </w:pPr>
      <w:r w:rsidRPr="00023645">
        <w:rPr>
          <w:rStyle w:val="FootnoteReference"/>
          <w:rFonts w:ascii="Times New Roman" w:hAnsi="Times New Roman" w:cs="Times New Roman"/>
        </w:rPr>
        <w:footnoteRef/>
      </w:r>
      <w:r>
        <w:t xml:space="preserve"> </w:t>
      </w:r>
      <w:bookmarkStart w:id="1174" w:name="f811"/>
      <w:bookmarkEnd w:id="1174"/>
      <w:r w:rsidRPr="00023645">
        <w:rPr>
          <w:rFonts w:ascii="Times New Roman" w:hAnsi="Times New Roman" w:cs="Times New Roman"/>
          <w:i/>
          <w:iCs/>
        </w:rPr>
        <w:t>Id.</w:t>
      </w:r>
    </w:p>
  </w:footnote>
  <w:footnote w:id="852">
    <w:p w14:paraId="1584AEAC" w14:textId="233DA401" w:rsidR="00336EDF" w:rsidRDefault="00336EDF">
      <w:pPr>
        <w:pStyle w:val="FootnoteText"/>
      </w:pPr>
      <w:r w:rsidRPr="00023645">
        <w:rPr>
          <w:rStyle w:val="FootnoteReference"/>
          <w:rFonts w:ascii="Times New Roman" w:hAnsi="Times New Roman" w:cs="Times New Roman"/>
        </w:rPr>
        <w:footnoteRef/>
      </w:r>
      <w:r w:rsidRPr="00023645">
        <w:rPr>
          <w:rFonts w:ascii="Times New Roman" w:hAnsi="Times New Roman" w:cs="Times New Roman"/>
        </w:rPr>
        <w:t xml:space="preserve"> </w:t>
      </w:r>
      <w:bookmarkStart w:id="1175" w:name="f812"/>
      <w:bookmarkEnd w:id="1175"/>
      <w:r w:rsidRPr="00023645">
        <w:rPr>
          <w:rFonts w:ascii="Times New Roman" w:hAnsi="Times New Roman" w:cs="Times New Roman"/>
          <w:i/>
          <w:iCs/>
        </w:rPr>
        <w:t>Id.</w:t>
      </w:r>
    </w:p>
  </w:footnote>
  <w:footnote w:id="853">
    <w:p w14:paraId="17D1DD02" w14:textId="45DEAA32" w:rsidR="00336EDF" w:rsidRDefault="00336EDF">
      <w:pPr>
        <w:pStyle w:val="FootnoteText"/>
      </w:pPr>
      <w:r w:rsidRPr="00104253">
        <w:rPr>
          <w:rStyle w:val="FootnoteReference"/>
          <w:rFonts w:ascii="Times New Roman" w:hAnsi="Times New Roman" w:cs="Times New Roman"/>
        </w:rPr>
        <w:footnoteRef/>
      </w:r>
      <w:r>
        <w:t xml:space="preserve"> </w:t>
      </w:r>
      <w:bookmarkStart w:id="1176" w:name="f813"/>
      <w:bookmarkEnd w:id="1176"/>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49" w:history="1">
        <w:r w:rsidRPr="006E2D47">
          <w:rPr>
            <w:rStyle w:val="Hyperlink"/>
            <w:rFonts w:ascii="Times New Roman" w:hAnsi="Times New Roman" w:cs="Times New Roman"/>
          </w:rPr>
          <w:t>27-14-602</w:t>
        </w:r>
      </w:hyperlink>
      <w:r w:rsidRPr="00792B36">
        <w:rPr>
          <w:rFonts w:ascii="Times New Roman" w:hAnsi="Times New Roman" w:cs="Times New Roman"/>
        </w:rPr>
        <w:t>(b)(i)</w:t>
      </w:r>
    </w:p>
  </w:footnote>
  <w:footnote w:id="854">
    <w:p w14:paraId="494B2217" w14:textId="6EAEB406" w:rsidR="00336EDF" w:rsidRPr="00766B7C" w:rsidRDefault="00336EDF">
      <w:pPr>
        <w:pStyle w:val="FootnoteText"/>
      </w:pPr>
      <w:r w:rsidRPr="00E36113">
        <w:rPr>
          <w:rStyle w:val="FootnoteReference"/>
          <w:rFonts w:ascii="Times New Roman" w:hAnsi="Times New Roman" w:cs="Times New Roman"/>
        </w:rPr>
        <w:footnoteRef/>
      </w:r>
      <w:r w:rsidRPr="00E36113">
        <w:rPr>
          <w:rFonts w:ascii="Times New Roman" w:hAnsi="Times New Roman" w:cs="Times New Roman"/>
        </w:rPr>
        <w:t xml:space="preserve"> </w:t>
      </w:r>
      <w:bookmarkStart w:id="1177" w:name="f814"/>
      <w:bookmarkEnd w:id="1177"/>
      <w:r w:rsidRPr="00E36113">
        <w:rPr>
          <w:rFonts w:ascii="Times New Roman" w:hAnsi="Times New Roman" w:cs="Times New Roman"/>
          <w:i/>
          <w:iCs/>
        </w:rPr>
        <w:t>Id.</w:t>
      </w:r>
      <w:r>
        <w:rPr>
          <w:rFonts w:ascii="Times New Roman" w:hAnsi="Times New Roman" w:cs="Times New Roman"/>
          <w:i/>
          <w:iCs/>
        </w:rPr>
        <w:t xml:space="preserve"> </w:t>
      </w:r>
      <w:r>
        <w:rPr>
          <w:rFonts w:ascii="Times New Roman" w:hAnsi="Times New Roman" w:cs="Times New Roman"/>
        </w:rPr>
        <w:t xml:space="preserve">The Division conducts hearings in such controversies pursuant to its Small Claims rule. </w:t>
      </w:r>
      <w:r w:rsidRPr="00766B7C">
        <w:rPr>
          <w:rFonts w:ascii="Times New Roman" w:hAnsi="Times New Roman" w:cs="Times New Roman"/>
          <w:i/>
          <w:iCs/>
        </w:rPr>
        <w:t>See</w:t>
      </w:r>
      <w:r>
        <w:rPr>
          <w:rFonts w:ascii="Times New Roman" w:hAnsi="Times New Roman" w:cs="Times New Roman"/>
        </w:rPr>
        <w:t xml:space="preserve"> </w:t>
      </w:r>
      <w:r w:rsidRPr="00766B7C">
        <w:rPr>
          <w:rFonts w:ascii="Times New Roman" w:hAnsi="Times New Roman" w:cs="Times New Roman"/>
        </w:rPr>
        <w:t>WY Rules and Regulations 053.0021.6 § 3</w:t>
      </w:r>
    </w:p>
  </w:footnote>
  <w:footnote w:id="855">
    <w:p w14:paraId="537865D5" w14:textId="2A0EB4A5" w:rsidR="00336EDF" w:rsidRDefault="00336EDF">
      <w:pPr>
        <w:pStyle w:val="FootnoteText"/>
      </w:pPr>
      <w:r w:rsidRPr="001D282C">
        <w:rPr>
          <w:rStyle w:val="FootnoteReference"/>
          <w:rFonts w:ascii="Times New Roman" w:hAnsi="Times New Roman" w:cs="Times New Roman"/>
        </w:rPr>
        <w:footnoteRef/>
      </w:r>
      <w:r>
        <w:t xml:space="preserve"> </w:t>
      </w:r>
      <w:bookmarkStart w:id="1178" w:name="f815"/>
      <w:bookmarkEnd w:id="1178"/>
      <w:r w:rsidRPr="001D282C">
        <w:rPr>
          <w:rFonts w:ascii="Times New Roman" w:hAnsi="Times New Roman" w:cs="Times New Roman"/>
          <w:i/>
          <w:iCs/>
        </w:rPr>
        <w:t>Id.</w:t>
      </w:r>
    </w:p>
  </w:footnote>
  <w:footnote w:id="856">
    <w:p w14:paraId="56F3347A" w14:textId="304C7376" w:rsidR="00336EDF" w:rsidRDefault="00336EDF">
      <w:pPr>
        <w:pStyle w:val="FootnoteText"/>
      </w:pPr>
      <w:r w:rsidRPr="003870C3">
        <w:rPr>
          <w:rStyle w:val="FootnoteReference"/>
          <w:rFonts w:ascii="Times New Roman" w:hAnsi="Times New Roman" w:cs="Times New Roman"/>
        </w:rPr>
        <w:footnoteRef/>
      </w:r>
      <w:r>
        <w:t xml:space="preserve"> </w:t>
      </w:r>
      <w:bookmarkStart w:id="1179" w:name="f816"/>
      <w:bookmarkEnd w:id="1179"/>
      <w:r w:rsidRPr="003870C3">
        <w:rPr>
          <w:rFonts w:ascii="Times New Roman" w:hAnsi="Times New Roman" w:cs="Times New Roman"/>
          <w:i/>
          <w:iCs/>
        </w:rPr>
        <w:t>Id.</w:t>
      </w:r>
    </w:p>
  </w:footnote>
  <w:footnote w:id="857">
    <w:p w14:paraId="1712E63C" w14:textId="0E0C5AAC" w:rsidR="00336EDF" w:rsidRDefault="00336EDF">
      <w:pPr>
        <w:pStyle w:val="FootnoteText"/>
      </w:pPr>
      <w:r w:rsidRPr="003870C3">
        <w:rPr>
          <w:rStyle w:val="FootnoteReference"/>
          <w:rFonts w:ascii="Times New Roman" w:hAnsi="Times New Roman" w:cs="Times New Roman"/>
        </w:rPr>
        <w:footnoteRef/>
      </w:r>
      <w:r>
        <w:t xml:space="preserve"> </w:t>
      </w:r>
      <w:bookmarkStart w:id="1180" w:name="f817"/>
      <w:bookmarkEnd w:id="1180"/>
      <w:r w:rsidRPr="003870C3">
        <w:rPr>
          <w:rFonts w:ascii="Times New Roman" w:hAnsi="Times New Roman" w:cs="Times New Roman"/>
          <w:i/>
          <w:iCs/>
        </w:rPr>
        <w:t>Id.</w:t>
      </w:r>
    </w:p>
  </w:footnote>
  <w:footnote w:id="858">
    <w:p w14:paraId="6AA82510" w14:textId="4B8DC37A" w:rsidR="00336EDF" w:rsidRDefault="00336EDF">
      <w:pPr>
        <w:pStyle w:val="FootnoteText"/>
      </w:pPr>
      <w:r w:rsidRPr="00B43478">
        <w:rPr>
          <w:rStyle w:val="FootnoteReference"/>
          <w:rFonts w:ascii="Times New Roman" w:hAnsi="Times New Roman" w:cs="Times New Roman"/>
        </w:rPr>
        <w:footnoteRef/>
      </w:r>
      <w:r w:rsidRPr="00B43478">
        <w:rPr>
          <w:rFonts w:ascii="Times New Roman" w:hAnsi="Times New Roman" w:cs="Times New Roman"/>
        </w:rPr>
        <w:t xml:space="preserve"> </w:t>
      </w:r>
      <w:bookmarkStart w:id="1181" w:name="f818"/>
      <w:bookmarkEnd w:id="1181"/>
      <w:r w:rsidRPr="006E2D47">
        <w:rPr>
          <w:rFonts w:ascii="Times New Roman" w:hAnsi="Times New Roman" w:cs="Times New Roman"/>
        </w:rPr>
        <w:t xml:space="preserve">W.S. </w:t>
      </w:r>
      <w:bookmarkStart w:id="1182" w:name="_Hlk12783662"/>
      <w:r w:rsidRPr="006E2D47">
        <w:rPr>
          <w:rFonts w:ascii="Times New Roman" w:hAnsi="Times New Roman" w:cs="Times New Roman"/>
        </w:rPr>
        <w:t xml:space="preserve">§ </w:t>
      </w:r>
      <w:hyperlink r:id="rId350" w:history="1">
        <w:r w:rsidRPr="00817E30">
          <w:rPr>
            <w:rStyle w:val="Hyperlink"/>
            <w:rFonts w:ascii="Times New Roman" w:hAnsi="Times New Roman" w:cs="Times New Roman"/>
          </w:rPr>
          <w:t>27-14-602</w:t>
        </w:r>
      </w:hyperlink>
      <w:r w:rsidRPr="00B43478">
        <w:rPr>
          <w:rFonts w:ascii="Times New Roman" w:hAnsi="Times New Roman" w:cs="Times New Roman"/>
        </w:rPr>
        <w:t>(b)(ii)</w:t>
      </w:r>
      <w:bookmarkEnd w:id="1182"/>
    </w:p>
  </w:footnote>
  <w:footnote w:id="859">
    <w:p w14:paraId="45709EF2" w14:textId="6ADA8E18" w:rsidR="00336EDF" w:rsidRDefault="00336EDF">
      <w:pPr>
        <w:pStyle w:val="FootnoteText"/>
      </w:pPr>
      <w:r w:rsidRPr="0055279F">
        <w:rPr>
          <w:rStyle w:val="FootnoteReference"/>
          <w:rFonts w:ascii="Times New Roman" w:hAnsi="Times New Roman" w:cs="Times New Roman"/>
        </w:rPr>
        <w:footnoteRef/>
      </w:r>
      <w:r w:rsidRPr="0055279F">
        <w:rPr>
          <w:rFonts w:ascii="Times New Roman" w:hAnsi="Times New Roman" w:cs="Times New Roman"/>
        </w:rPr>
        <w:t xml:space="preserve"> </w:t>
      </w:r>
      <w:bookmarkStart w:id="1183" w:name="f819"/>
      <w:bookmarkEnd w:id="1183"/>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1" w:history="1">
        <w:r w:rsidRPr="00817E30">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a</w:t>
      </w:r>
      <w:r w:rsidRPr="00B43478">
        <w:rPr>
          <w:rFonts w:ascii="Times New Roman" w:hAnsi="Times New Roman" w:cs="Times New Roman"/>
        </w:rPr>
        <w:t>)</w:t>
      </w:r>
    </w:p>
  </w:footnote>
  <w:footnote w:id="860">
    <w:p w14:paraId="6368629D" w14:textId="448C3DD7" w:rsidR="00336EDF" w:rsidRDefault="00336EDF">
      <w:pPr>
        <w:pStyle w:val="FootnoteText"/>
      </w:pPr>
      <w:r w:rsidRPr="0055279F">
        <w:rPr>
          <w:rStyle w:val="FootnoteReference"/>
          <w:rFonts w:ascii="Times New Roman" w:hAnsi="Times New Roman" w:cs="Times New Roman"/>
        </w:rPr>
        <w:footnoteRef/>
      </w:r>
      <w:r w:rsidRPr="0055279F">
        <w:rPr>
          <w:rFonts w:ascii="Times New Roman" w:hAnsi="Times New Roman" w:cs="Times New Roman"/>
        </w:rPr>
        <w:t xml:space="preserve"> </w:t>
      </w:r>
      <w:bookmarkStart w:id="1184" w:name="f820"/>
      <w:bookmarkStart w:id="1185" w:name="_Hlk12783744"/>
      <w:bookmarkEnd w:id="1184"/>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2" w:history="1">
        <w:r w:rsidRPr="00817E30">
          <w:rPr>
            <w:rStyle w:val="Hyperlink"/>
            <w:rFonts w:ascii="Times New Roman" w:hAnsi="Times New Roman" w:cs="Times New Roman"/>
          </w:rPr>
          <w:t>27-14-602</w:t>
        </w:r>
      </w:hyperlink>
      <w:r w:rsidRPr="00B43478">
        <w:rPr>
          <w:rFonts w:ascii="Times New Roman" w:hAnsi="Times New Roman" w:cs="Times New Roman"/>
        </w:rPr>
        <w:t>(b)</w:t>
      </w:r>
      <w:bookmarkEnd w:id="1185"/>
    </w:p>
  </w:footnote>
  <w:footnote w:id="861">
    <w:p w14:paraId="07668A77" w14:textId="5B15735C" w:rsidR="00336EDF" w:rsidRDefault="00336EDF">
      <w:pPr>
        <w:pStyle w:val="FootnoteText"/>
      </w:pPr>
      <w:r w:rsidRPr="0055279F">
        <w:rPr>
          <w:rStyle w:val="FootnoteReference"/>
          <w:rFonts w:ascii="Times New Roman" w:hAnsi="Times New Roman" w:cs="Times New Roman"/>
        </w:rPr>
        <w:footnoteRef/>
      </w:r>
      <w:r>
        <w:rPr>
          <w:rFonts w:ascii="Times New Roman" w:hAnsi="Times New Roman" w:cs="Times New Roman"/>
        </w:rPr>
        <w:t xml:space="preserve"> </w:t>
      </w:r>
      <w:bookmarkStart w:id="1186" w:name="f821"/>
      <w:bookmarkEnd w:id="1186"/>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3" w:history="1">
        <w:r w:rsidRPr="00817E30">
          <w:rPr>
            <w:rStyle w:val="Hyperlink"/>
            <w:rFonts w:ascii="Times New Roman" w:hAnsi="Times New Roman" w:cs="Times New Roman"/>
          </w:rPr>
          <w:t>27-14-602</w:t>
        </w:r>
      </w:hyperlink>
      <w:r w:rsidRPr="00B43478">
        <w:rPr>
          <w:rFonts w:ascii="Times New Roman" w:hAnsi="Times New Roman" w:cs="Times New Roman"/>
        </w:rPr>
        <w:t>(b)</w:t>
      </w:r>
      <w:r>
        <w:rPr>
          <w:rFonts w:ascii="Times New Roman" w:hAnsi="Times New Roman" w:cs="Times New Roman"/>
        </w:rPr>
        <w:t>(iii)</w:t>
      </w:r>
    </w:p>
  </w:footnote>
  <w:footnote w:id="862">
    <w:p w14:paraId="08C5798A" w14:textId="3887294C" w:rsidR="00336EDF" w:rsidRDefault="00336EDF">
      <w:pPr>
        <w:pStyle w:val="FootnoteText"/>
      </w:pPr>
      <w:r w:rsidRPr="0055279F">
        <w:rPr>
          <w:rStyle w:val="FootnoteReference"/>
          <w:rFonts w:ascii="Times New Roman" w:hAnsi="Times New Roman" w:cs="Times New Roman"/>
        </w:rPr>
        <w:footnoteRef/>
      </w:r>
      <w:r w:rsidRPr="0055279F">
        <w:rPr>
          <w:rFonts w:ascii="Times New Roman" w:hAnsi="Times New Roman" w:cs="Times New Roman"/>
        </w:rPr>
        <w:t xml:space="preserve"> </w:t>
      </w:r>
      <w:bookmarkStart w:id="1187" w:name="f822"/>
      <w:bookmarkEnd w:id="1187"/>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4" w:history="1">
        <w:r w:rsidRPr="00817E30">
          <w:rPr>
            <w:rStyle w:val="Hyperlink"/>
            <w:rFonts w:ascii="Times New Roman" w:hAnsi="Times New Roman" w:cs="Times New Roman"/>
          </w:rPr>
          <w:t>27-14-602</w:t>
        </w:r>
      </w:hyperlink>
      <w:r w:rsidRPr="00B43478">
        <w:rPr>
          <w:rFonts w:ascii="Times New Roman" w:hAnsi="Times New Roman" w:cs="Times New Roman"/>
        </w:rPr>
        <w:t>(b)</w:t>
      </w:r>
      <w:r>
        <w:rPr>
          <w:rFonts w:ascii="Times New Roman" w:hAnsi="Times New Roman" w:cs="Times New Roman"/>
        </w:rPr>
        <w:t>(iv)</w:t>
      </w:r>
    </w:p>
  </w:footnote>
  <w:footnote w:id="863">
    <w:p w14:paraId="02F71CE4" w14:textId="76E2CE3C" w:rsidR="00336EDF" w:rsidRDefault="00336EDF">
      <w:pPr>
        <w:pStyle w:val="FootnoteText"/>
      </w:pPr>
      <w:r w:rsidRPr="0055279F">
        <w:rPr>
          <w:rStyle w:val="FootnoteReference"/>
          <w:rFonts w:ascii="Times New Roman" w:hAnsi="Times New Roman" w:cs="Times New Roman"/>
        </w:rPr>
        <w:footnoteRef/>
      </w:r>
      <w:r>
        <w:t xml:space="preserve"> </w:t>
      </w:r>
      <w:bookmarkStart w:id="1188" w:name="f823"/>
      <w:bookmarkEnd w:id="1188"/>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5" w:history="1">
        <w:r w:rsidRPr="00817E30">
          <w:rPr>
            <w:rStyle w:val="Hyperlink"/>
            <w:rFonts w:ascii="Times New Roman" w:hAnsi="Times New Roman" w:cs="Times New Roman"/>
          </w:rPr>
          <w:t>27-14-602</w:t>
        </w:r>
      </w:hyperlink>
      <w:r w:rsidRPr="00B43478">
        <w:rPr>
          <w:rFonts w:ascii="Times New Roman" w:hAnsi="Times New Roman" w:cs="Times New Roman"/>
        </w:rPr>
        <w:t>(b)</w:t>
      </w:r>
      <w:r>
        <w:rPr>
          <w:rFonts w:ascii="Times New Roman" w:hAnsi="Times New Roman" w:cs="Times New Roman"/>
        </w:rPr>
        <w:t>(v)</w:t>
      </w:r>
    </w:p>
  </w:footnote>
  <w:footnote w:id="864">
    <w:p w14:paraId="2DFE3588" w14:textId="593A4B74" w:rsidR="00336EDF" w:rsidRDefault="00336EDF">
      <w:pPr>
        <w:pStyle w:val="FootnoteText"/>
      </w:pPr>
      <w:r w:rsidRPr="0055279F">
        <w:rPr>
          <w:rStyle w:val="FootnoteReference"/>
          <w:rFonts w:ascii="Times New Roman" w:hAnsi="Times New Roman" w:cs="Times New Roman"/>
        </w:rPr>
        <w:footnoteRef/>
      </w:r>
      <w:r w:rsidRPr="0055279F">
        <w:rPr>
          <w:rFonts w:ascii="Times New Roman" w:hAnsi="Times New Roman" w:cs="Times New Roman"/>
        </w:rPr>
        <w:t xml:space="preserve"> </w:t>
      </w:r>
      <w:bookmarkStart w:id="1189" w:name="f824"/>
      <w:bookmarkEnd w:id="1189"/>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6"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footnote>
  <w:footnote w:id="865">
    <w:p w14:paraId="427DEA93" w14:textId="48444A72" w:rsidR="00336EDF" w:rsidRDefault="00336EDF">
      <w:pPr>
        <w:pStyle w:val="FootnoteText"/>
      </w:pPr>
      <w:r w:rsidRPr="003D7E8D">
        <w:rPr>
          <w:rStyle w:val="FootnoteReference"/>
          <w:rFonts w:ascii="Times New Roman" w:hAnsi="Times New Roman" w:cs="Times New Roman"/>
        </w:rPr>
        <w:footnoteRef/>
      </w:r>
      <w:r w:rsidRPr="003D7E8D">
        <w:rPr>
          <w:rFonts w:ascii="Times New Roman" w:hAnsi="Times New Roman" w:cs="Times New Roman"/>
        </w:rPr>
        <w:t xml:space="preserve"> </w:t>
      </w:r>
      <w:bookmarkStart w:id="1190" w:name="f825"/>
      <w:bookmarkEnd w:id="1190"/>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7"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footnote>
  <w:footnote w:id="866">
    <w:p w14:paraId="3A44F2A7" w14:textId="519ED911" w:rsidR="00336EDF" w:rsidRDefault="00336EDF">
      <w:pPr>
        <w:pStyle w:val="FootnoteText"/>
      </w:pPr>
      <w:r w:rsidRPr="003D7E8D">
        <w:rPr>
          <w:rStyle w:val="FootnoteReference"/>
          <w:rFonts w:ascii="Times New Roman" w:hAnsi="Times New Roman" w:cs="Times New Roman"/>
        </w:rPr>
        <w:footnoteRef/>
      </w:r>
      <w:r w:rsidRPr="003D7E8D">
        <w:rPr>
          <w:rFonts w:ascii="Times New Roman" w:hAnsi="Times New Roman" w:cs="Times New Roman"/>
        </w:rPr>
        <w:t xml:space="preserve"> </w:t>
      </w:r>
      <w:bookmarkStart w:id="1191" w:name="f826"/>
      <w:bookmarkEnd w:id="1191"/>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8"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footnote>
  <w:footnote w:id="867">
    <w:p w14:paraId="5540E440" w14:textId="15647648" w:rsidR="00336EDF" w:rsidRDefault="00336EDF">
      <w:pPr>
        <w:pStyle w:val="FootnoteText"/>
      </w:pPr>
      <w:r w:rsidRPr="00CA21BA">
        <w:rPr>
          <w:rStyle w:val="FootnoteReference"/>
          <w:rFonts w:ascii="Times New Roman" w:hAnsi="Times New Roman" w:cs="Times New Roman"/>
        </w:rPr>
        <w:footnoteRef/>
      </w:r>
      <w:r w:rsidRPr="00CA21BA">
        <w:rPr>
          <w:rFonts w:ascii="Times New Roman" w:hAnsi="Times New Roman" w:cs="Times New Roman"/>
        </w:rPr>
        <w:t xml:space="preserve"> </w:t>
      </w:r>
      <w:bookmarkStart w:id="1192" w:name="f827"/>
      <w:bookmarkEnd w:id="1192"/>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59"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footnote>
  <w:footnote w:id="868">
    <w:p w14:paraId="635EC207" w14:textId="2A6AD1A1" w:rsidR="00336EDF" w:rsidRDefault="00336EDF">
      <w:pPr>
        <w:pStyle w:val="FootnoteText"/>
      </w:pPr>
      <w:r w:rsidRPr="00CA21BA">
        <w:rPr>
          <w:rStyle w:val="FootnoteReference"/>
          <w:rFonts w:ascii="Times New Roman" w:hAnsi="Times New Roman" w:cs="Times New Roman"/>
        </w:rPr>
        <w:footnoteRef/>
      </w:r>
      <w:r w:rsidRPr="00CA21BA">
        <w:rPr>
          <w:rFonts w:ascii="Times New Roman" w:hAnsi="Times New Roman" w:cs="Times New Roman"/>
        </w:rPr>
        <w:t xml:space="preserve"> </w:t>
      </w:r>
      <w:bookmarkStart w:id="1193" w:name="f828"/>
      <w:bookmarkEnd w:id="1193"/>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60"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footnote>
  <w:footnote w:id="869">
    <w:p w14:paraId="5F3E0DF6" w14:textId="354E077A" w:rsidR="00336EDF" w:rsidRDefault="00336EDF">
      <w:pPr>
        <w:pStyle w:val="FootnoteText"/>
      </w:pPr>
      <w:r w:rsidRPr="00CA21BA">
        <w:rPr>
          <w:rStyle w:val="FootnoteReference"/>
          <w:rFonts w:ascii="Times New Roman" w:hAnsi="Times New Roman" w:cs="Times New Roman"/>
        </w:rPr>
        <w:footnoteRef/>
      </w:r>
      <w:r w:rsidRPr="00CA21BA">
        <w:rPr>
          <w:rFonts w:ascii="Times New Roman" w:hAnsi="Times New Roman" w:cs="Times New Roman"/>
        </w:rPr>
        <w:t xml:space="preserve"> </w:t>
      </w:r>
      <w:bookmarkStart w:id="1194" w:name="f829"/>
      <w:bookmarkStart w:id="1195" w:name="_Hlk12790404"/>
      <w:bookmarkEnd w:id="1194"/>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61"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bookmarkEnd w:id="1195"/>
  </w:footnote>
  <w:footnote w:id="870">
    <w:p w14:paraId="35639976" w14:textId="131B1636" w:rsidR="00336EDF" w:rsidRDefault="00336EDF">
      <w:pPr>
        <w:pStyle w:val="FootnoteText"/>
      </w:pPr>
      <w:r w:rsidRPr="00CA21BA">
        <w:rPr>
          <w:rStyle w:val="FootnoteReference"/>
          <w:rFonts w:ascii="Times New Roman" w:hAnsi="Times New Roman" w:cs="Times New Roman"/>
        </w:rPr>
        <w:footnoteRef/>
      </w:r>
      <w:r>
        <w:t xml:space="preserve"> </w:t>
      </w:r>
      <w:bookmarkStart w:id="1196" w:name="f830"/>
      <w:bookmarkEnd w:id="1196"/>
      <w:r w:rsidRPr="006E2D47">
        <w:rPr>
          <w:rFonts w:ascii="Times New Roman" w:hAnsi="Times New Roman" w:cs="Times New Roman"/>
        </w:rPr>
        <w:t>W.S.</w:t>
      </w:r>
      <w:r w:rsidRPr="006E2D47">
        <w:t xml:space="preserve"> </w:t>
      </w:r>
      <w:r w:rsidRPr="006E2D47">
        <w:rPr>
          <w:rFonts w:ascii="Times New Roman" w:hAnsi="Times New Roman" w:cs="Times New Roman"/>
        </w:rPr>
        <w:t xml:space="preserve">§ </w:t>
      </w:r>
      <w:hyperlink r:id="rId362"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c</w:t>
      </w:r>
      <w:r w:rsidRPr="00B43478">
        <w:rPr>
          <w:rFonts w:ascii="Times New Roman" w:hAnsi="Times New Roman" w:cs="Times New Roman"/>
        </w:rPr>
        <w:t>)</w:t>
      </w:r>
    </w:p>
  </w:footnote>
  <w:footnote w:id="871">
    <w:p w14:paraId="58DF818A" w14:textId="58D6603D" w:rsidR="00336EDF" w:rsidRDefault="00336EDF">
      <w:pPr>
        <w:pStyle w:val="FootnoteText"/>
      </w:pPr>
      <w:r w:rsidRPr="003D7EA9">
        <w:rPr>
          <w:rStyle w:val="FootnoteReference"/>
          <w:rFonts w:ascii="Times New Roman" w:hAnsi="Times New Roman" w:cs="Times New Roman"/>
        </w:rPr>
        <w:footnoteRef/>
      </w:r>
      <w:r>
        <w:t xml:space="preserve"> </w:t>
      </w:r>
      <w:bookmarkStart w:id="1198" w:name="f831"/>
      <w:bookmarkStart w:id="1199" w:name="_Hlk12719670"/>
      <w:bookmarkEnd w:id="1198"/>
      <w:r w:rsidRPr="00FA18CA">
        <w:rPr>
          <w:rFonts w:ascii="Times New Roman" w:hAnsi="Times New Roman" w:cs="Times New Roman"/>
        </w:rPr>
        <w:t>W.S</w:t>
      </w:r>
      <w:r w:rsidRPr="00FA18CA">
        <w:t xml:space="preserve">. </w:t>
      </w:r>
      <w:r w:rsidRPr="00FA18CA">
        <w:rPr>
          <w:rFonts w:ascii="Times New Roman" w:hAnsi="Times New Roman" w:cs="Times New Roman"/>
        </w:rPr>
        <w:t xml:space="preserve">§ </w:t>
      </w:r>
      <w:hyperlink r:id="rId363" w:history="1">
        <w:r w:rsidRPr="00FA18CA">
          <w:rPr>
            <w:rStyle w:val="Hyperlink"/>
            <w:rFonts w:ascii="Times New Roman" w:hAnsi="Times New Roman" w:cs="Times New Roman"/>
          </w:rPr>
          <w:t>16-3-107</w:t>
        </w:r>
      </w:hyperlink>
      <w:r w:rsidRPr="003D7EA9">
        <w:rPr>
          <w:rFonts w:ascii="Times New Roman" w:hAnsi="Times New Roman" w:cs="Times New Roman"/>
        </w:rPr>
        <w:t>(a)</w:t>
      </w:r>
      <w:bookmarkEnd w:id="1199"/>
    </w:p>
  </w:footnote>
  <w:footnote w:id="872">
    <w:p w14:paraId="6EEFF755" w14:textId="1D2BB368" w:rsidR="00336EDF" w:rsidRDefault="00336EDF">
      <w:pPr>
        <w:pStyle w:val="FootnoteText"/>
      </w:pPr>
      <w:r w:rsidRPr="00FB454F">
        <w:rPr>
          <w:rStyle w:val="FootnoteReference"/>
          <w:rFonts w:ascii="Times New Roman" w:hAnsi="Times New Roman" w:cs="Times New Roman"/>
        </w:rPr>
        <w:footnoteRef/>
      </w:r>
      <w:r w:rsidRPr="00FB454F">
        <w:rPr>
          <w:rFonts w:ascii="Times New Roman" w:hAnsi="Times New Roman" w:cs="Times New Roman"/>
        </w:rPr>
        <w:t xml:space="preserve"> </w:t>
      </w:r>
      <w:bookmarkStart w:id="1200" w:name="f832"/>
      <w:bookmarkEnd w:id="1200"/>
      <w:r w:rsidRPr="00FA18CA">
        <w:rPr>
          <w:rFonts w:ascii="Times New Roman" w:hAnsi="Times New Roman" w:cs="Times New Roman"/>
        </w:rPr>
        <w:t xml:space="preserve">W.S. § </w:t>
      </w:r>
      <w:hyperlink r:id="rId364" w:history="1">
        <w:r w:rsidRPr="00FA18CA">
          <w:rPr>
            <w:rStyle w:val="Hyperlink"/>
            <w:rFonts w:ascii="Times New Roman" w:hAnsi="Times New Roman" w:cs="Times New Roman"/>
          </w:rPr>
          <w:t>16-3-107</w:t>
        </w:r>
      </w:hyperlink>
      <w:r w:rsidRPr="003D7EA9">
        <w:rPr>
          <w:rFonts w:ascii="Times New Roman" w:hAnsi="Times New Roman" w:cs="Times New Roman"/>
        </w:rPr>
        <w:t>(</w:t>
      </w:r>
      <w:r>
        <w:rPr>
          <w:rFonts w:ascii="Times New Roman" w:hAnsi="Times New Roman" w:cs="Times New Roman"/>
        </w:rPr>
        <w:t>b</w:t>
      </w:r>
      <w:r w:rsidRPr="003D7EA9">
        <w:rPr>
          <w:rFonts w:ascii="Times New Roman" w:hAnsi="Times New Roman" w:cs="Times New Roman"/>
        </w:rPr>
        <w:t>)</w:t>
      </w:r>
    </w:p>
  </w:footnote>
  <w:footnote w:id="873">
    <w:p w14:paraId="6317220A" w14:textId="7CC4C484" w:rsidR="00336EDF" w:rsidRDefault="00336EDF">
      <w:pPr>
        <w:pStyle w:val="FootnoteText"/>
      </w:pPr>
      <w:r w:rsidRPr="00FB454F">
        <w:rPr>
          <w:rStyle w:val="FootnoteReference"/>
          <w:rFonts w:ascii="Times New Roman" w:hAnsi="Times New Roman" w:cs="Times New Roman"/>
        </w:rPr>
        <w:footnoteRef/>
      </w:r>
      <w:r>
        <w:t xml:space="preserve"> </w:t>
      </w:r>
      <w:bookmarkStart w:id="1201" w:name="f833"/>
      <w:bookmarkEnd w:id="1201"/>
      <w:r w:rsidRPr="00FA18CA">
        <w:rPr>
          <w:rFonts w:ascii="Times New Roman" w:hAnsi="Times New Roman" w:cs="Times New Roman"/>
        </w:rPr>
        <w:t>W.S.</w:t>
      </w:r>
      <w:r w:rsidRPr="00FA18CA">
        <w:t xml:space="preserve"> </w:t>
      </w:r>
      <w:r w:rsidRPr="00FA18CA">
        <w:rPr>
          <w:rFonts w:ascii="Times New Roman" w:hAnsi="Times New Roman" w:cs="Times New Roman"/>
        </w:rPr>
        <w:t>§</w:t>
      </w:r>
      <w:r w:rsidRPr="00FA18CA">
        <w:t xml:space="preserve"> </w:t>
      </w:r>
      <w:hyperlink r:id="rId365" w:history="1">
        <w:r w:rsidRPr="00FA18CA">
          <w:rPr>
            <w:rStyle w:val="Hyperlink"/>
          </w:rPr>
          <w:t>16-3-107</w:t>
        </w:r>
      </w:hyperlink>
      <w:r w:rsidRPr="00FB454F">
        <w:t>(</w:t>
      </w:r>
      <w:r>
        <w:t>c</w:t>
      </w:r>
      <w:r w:rsidRPr="00FB454F">
        <w:t>)</w:t>
      </w:r>
    </w:p>
  </w:footnote>
  <w:footnote w:id="874">
    <w:p w14:paraId="42993B46" w14:textId="0C20274C" w:rsidR="00336EDF" w:rsidRDefault="00336EDF">
      <w:pPr>
        <w:pStyle w:val="FootnoteText"/>
      </w:pPr>
      <w:r w:rsidRPr="00FB454F">
        <w:rPr>
          <w:rStyle w:val="FootnoteReference"/>
          <w:rFonts w:ascii="Times New Roman" w:hAnsi="Times New Roman" w:cs="Times New Roman"/>
        </w:rPr>
        <w:footnoteRef/>
      </w:r>
      <w:r>
        <w:t xml:space="preserve"> </w:t>
      </w:r>
      <w:bookmarkStart w:id="1202" w:name="f834"/>
      <w:bookmarkStart w:id="1203" w:name="_Hlk12720019"/>
      <w:bookmarkEnd w:id="1202"/>
      <w:r w:rsidRPr="00FA18CA">
        <w:rPr>
          <w:rFonts w:ascii="Times New Roman" w:hAnsi="Times New Roman" w:cs="Times New Roman"/>
        </w:rPr>
        <w:t xml:space="preserve">W.S. § </w:t>
      </w:r>
      <w:hyperlink r:id="rId366" w:history="1">
        <w:r w:rsidRPr="00FA18CA">
          <w:rPr>
            <w:rStyle w:val="Hyperlink"/>
            <w:rFonts w:ascii="Times New Roman" w:hAnsi="Times New Roman" w:cs="Times New Roman"/>
          </w:rPr>
          <w:t>16-3-107</w:t>
        </w:r>
      </w:hyperlink>
      <w:r w:rsidRPr="00FB454F">
        <w:rPr>
          <w:rFonts w:ascii="Times New Roman" w:hAnsi="Times New Roman" w:cs="Times New Roman"/>
        </w:rPr>
        <w:t>(c)</w:t>
      </w:r>
      <w:bookmarkEnd w:id="1203"/>
    </w:p>
  </w:footnote>
  <w:footnote w:id="875">
    <w:p w14:paraId="0184ACFA" w14:textId="45D20510" w:rsidR="00336EDF" w:rsidRDefault="00336EDF">
      <w:pPr>
        <w:pStyle w:val="FootnoteText"/>
      </w:pPr>
      <w:r w:rsidRPr="00FB454F">
        <w:rPr>
          <w:rStyle w:val="FootnoteReference"/>
          <w:rFonts w:ascii="Times New Roman" w:hAnsi="Times New Roman" w:cs="Times New Roman"/>
        </w:rPr>
        <w:footnoteRef/>
      </w:r>
      <w:r>
        <w:t xml:space="preserve"> </w:t>
      </w:r>
      <w:bookmarkStart w:id="1204" w:name="f835"/>
      <w:bookmarkEnd w:id="1204"/>
      <w:r w:rsidRPr="00FA18CA">
        <w:rPr>
          <w:rFonts w:ascii="Times New Roman" w:hAnsi="Times New Roman" w:cs="Times New Roman"/>
        </w:rPr>
        <w:t xml:space="preserve">W.S. § </w:t>
      </w:r>
      <w:hyperlink r:id="rId367"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d</w:t>
      </w:r>
      <w:r w:rsidRPr="00FB454F">
        <w:rPr>
          <w:rFonts w:ascii="Times New Roman" w:hAnsi="Times New Roman" w:cs="Times New Roman"/>
        </w:rPr>
        <w:t>)</w:t>
      </w:r>
    </w:p>
  </w:footnote>
  <w:footnote w:id="876">
    <w:p w14:paraId="7E8DF2BA" w14:textId="410FCE91" w:rsidR="00336EDF" w:rsidRDefault="00336EDF">
      <w:pPr>
        <w:pStyle w:val="FootnoteText"/>
      </w:pPr>
      <w:r w:rsidRPr="00FB454F">
        <w:rPr>
          <w:rStyle w:val="FootnoteReference"/>
          <w:rFonts w:ascii="Times New Roman" w:hAnsi="Times New Roman" w:cs="Times New Roman"/>
        </w:rPr>
        <w:footnoteRef/>
      </w:r>
      <w:r w:rsidRPr="00FB454F">
        <w:rPr>
          <w:rFonts w:ascii="Times New Roman" w:hAnsi="Times New Roman" w:cs="Times New Roman"/>
        </w:rPr>
        <w:t xml:space="preserve"> </w:t>
      </w:r>
      <w:bookmarkStart w:id="1205" w:name="f836"/>
      <w:bookmarkStart w:id="1206" w:name="_Hlk12721584"/>
      <w:bookmarkEnd w:id="1205"/>
      <w:r w:rsidRPr="00FA18CA">
        <w:rPr>
          <w:rFonts w:ascii="Times New Roman" w:hAnsi="Times New Roman" w:cs="Times New Roman"/>
        </w:rPr>
        <w:t xml:space="preserve">W.S. § </w:t>
      </w:r>
      <w:hyperlink r:id="rId368"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e</w:t>
      </w:r>
      <w:r w:rsidRPr="00FB454F">
        <w:rPr>
          <w:rFonts w:ascii="Times New Roman" w:hAnsi="Times New Roman" w:cs="Times New Roman"/>
        </w:rPr>
        <w:t>)</w:t>
      </w:r>
      <w:bookmarkEnd w:id="1206"/>
    </w:p>
  </w:footnote>
  <w:footnote w:id="877">
    <w:p w14:paraId="6539ECC6" w14:textId="4C3F457D" w:rsidR="00336EDF" w:rsidRDefault="00336EDF">
      <w:pPr>
        <w:pStyle w:val="FootnoteText"/>
      </w:pPr>
      <w:r w:rsidRPr="00017447">
        <w:rPr>
          <w:rStyle w:val="FootnoteReference"/>
          <w:rFonts w:ascii="Times New Roman" w:hAnsi="Times New Roman" w:cs="Times New Roman"/>
        </w:rPr>
        <w:footnoteRef/>
      </w:r>
      <w:r>
        <w:t xml:space="preserve"> </w:t>
      </w:r>
      <w:bookmarkStart w:id="1207" w:name="f837"/>
      <w:bookmarkEnd w:id="1207"/>
      <w:r w:rsidRPr="00FA18CA">
        <w:rPr>
          <w:rFonts w:ascii="Times New Roman" w:hAnsi="Times New Roman" w:cs="Times New Roman"/>
        </w:rPr>
        <w:t xml:space="preserve">W.S. § </w:t>
      </w:r>
      <w:hyperlink r:id="rId369"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g</w:t>
      </w:r>
      <w:r w:rsidRPr="00FB454F">
        <w:rPr>
          <w:rFonts w:ascii="Times New Roman" w:hAnsi="Times New Roman" w:cs="Times New Roman"/>
        </w:rPr>
        <w:t>)</w:t>
      </w:r>
    </w:p>
  </w:footnote>
  <w:footnote w:id="878">
    <w:p w14:paraId="603D24A5" w14:textId="773B1A82" w:rsidR="00336EDF" w:rsidRDefault="00336EDF">
      <w:pPr>
        <w:pStyle w:val="FootnoteText"/>
      </w:pPr>
      <w:r w:rsidRPr="00FB77D1">
        <w:rPr>
          <w:rStyle w:val="FootnoteReference"/>
          <w:rFonts w:ascii="Times New Roman" w:hAnsi="Times New Roman" w:cs="Times New Roman"/>
        </w:rPr>
        <w:footnoteRef/>
      </w:r>
      <w:r w:rsidRPr="00FB77D1">
        <w:rPr>
          <w:rFonts w:ascii="Times New Roman" w:hAnsi="Times New Roman" w:cs="Times New Roman"/>
        </w:rPr>
        <w:t xml:space="preserve"> </w:t>
      </w:r>
      <w:bookmarkStart w:id="1208" w:name="f838"/>
      <w:bookmarkStart w:id="1209" w:name="_Hlk12723303"/>
      <w:bookmarkEnd w:id="1208"/>
      <w:r w:rsidRPr="00FA18CA">
        <w:rPr>
          <w:rFonts w:ascii="Times New Roman" w:hAnsi="Times New Roman" w:cs="Times New Roman"/>
        </w:rPr>
        <w:t xml:space="preserve">W.S. § </w:t>
      </w:r>
      <w:hyperlink r:id="rId370"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h</w:t>
      </w:r>
      <w:r w:rsidRPr="00FB454F">
        <w:rPr>
          <w:rFonts w:ascii="Times New Roman" w:hAnsi="Times New Roman" w:cs="Times New Roman"/>
        </w:rPr>
        <w:t>)</w:t>
      </w:r>
      <w:bookmarkEnd w:id="1209"/>
    </w:p>
  </w:footnote>
  <w:footnote w:id="879">
    <w:p w14:paraId="15627EEA" w14:textId="1C61B5F3" w:rsidR="00336EDF" w:rsidRDefault="00336EDF">
      <w:pPr>
        <w:pStyle w:val="FootnoteText"/>
      </w:pPr>
      <w:r w:rsidRPr="00B13332">
        <w:rPr>
          <w:rStyle w:val="FootnoteReference"/>
          <w:rFonts w:ascii="Times New Roman" w:hAnsi="Times New Roman" w:cs="Times New Roman"/>
        </w:rPr>
        <w:footnoteRef/>
      </w:r>
      <w:r w:rsidRPr="00B13332">
        <w:rPr>
          <w:rFonts w:ascii="Times New Roman" w:hAnsi="Times New Roman" w:cs="Times New Roman"/>
        </w:rPr>
        <w:t xml:space="preserve"> </w:t>
      </w:r>
      <w:bookmarkStart w:id="1210" w:name="f839"/>
      <w:bookmarkEnd w:id="1210"/>
      <w:r w:rsidRPr="00FA18CA">
        <w:rPr>
          <w:rFonts w:ascii="Times New Roman" w:hAnsi="Times New Roman" w:cs="Times New Roman"/>
        </w:rPr>
        <w:t xml:space="preserve">W.S. § </w:t>
      </w:r>
      <w:hyperlink r:id="rId371"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j</w:t>
      </w:r>
      <w:r w:rsidRPr="00FB454F">
        <w:rPr>
          <w:rFonts w:ascii="Times New Roman" w:hAnsi="Times New Roman" w:cs="Times New Roman"/>
        </w:rPr>
        <w:t>)</w:t>
      </w:r>
    </w:p>
  </w:footnote>
  <w:footnote w:id="880">
    <w:p w14:paraId="3C572DC5" w14:textId="2CAE488B" w:rsidR="00336EDF" w:rsidRDefault="00336EDF">
      <w:pPr>
        <w:pStyle w:val="FootnoteText"/>
      </w:pPr>
      <w:r w:rsidRPr="00B13332">
        <w:rPr>
          <w:rStyle w:val="FootnoteReference"/>
          <w:rFonts w:ascii="Times New Roman" w:hAnsi="Times New Roman" w:cs="Times New Roman"/>
        </w:rPr>
        <w:footnoteRef/>
      </w:r>
      <w:r w:rsidRPr="00B13332">
        <w:rPr>
          <w:rFonts w:ascii="Times New Roman" w:hAnsi="Times New Roman" w:cs="Times New Roman"/>
        </w:rPr>
        <w:t xml:space="preserve"> </w:t>
      </w:r>
      <w:bookmarkStart w:id="1211" w:name="f840"/>
      <w:bookmarkEnd w:id="1211"/>
      <w:r w:rsidRPr="00FA18CA">
        <w:rPr>
          <w:rFonts w:ascii="Times New Roman" w:hAnsi="Times New Roman" w:cs="Times New Roman"/>
        </w:rPr>
        <w:t xml:space="preserve">W.S. § </w:t>
      </w:r>
      <w:hyperlink r:id="rId372"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k</w:t>
      </w:r>
      <w:r w:rsidRPr="00FB454F">
        <w:rPr>
          <w:rFonts w:ascii="Times New Roman" w:hAnsi="Times New Roman" w:cs="Times New Roman"/>
        </w:rPr>
        <w:t>)</w:t>
      </w:r>
    </w:p>
  </w:footnote>
  <w:footnote w:id="881">
    <w:p w14:paraId="028CD9A5" w14:textId="0A307F1B" w:rsidR="00336EDF" w:rsidRDefault="00336EDF">
      <w:pPr>
        <w:pStyle w:val="FootnoteText"/>
      </w:pPr>
      <w:r w:rsidRPr="00B13332">
        <w:rPr>
          <w:rStyle w:val="FootnoteReference"/>
          <w:rFonts w:ascii="Times New Roman" w:hAnsi="Times New Roman" w:cs="Times New Roman"/>
        </w:rPr>
        <w:footnoteRef/>
      </w:r>
      <w:r>
        <w:t xml:space="preserve"> </w:t>
      </w:r>
      <w:bookmarkStart w:id="1212" w:name="f841"/>
      <w:bookmarkEnd w:id="1212"/>
      <w:r w:rsidRPr="00FA18CA">
        <w:rPr>
          <w:rFonts w:ascii="Times New Roman" w:hAnsi="Times New Roman" w:cs="Times New Roman"/>
        </w:rPr>
        <w:t xml:space="preserve">W.S. § </w:t>
      </w:r>
      <w:hyperlink r:id="rId373"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k</w:t>
      </w:r>
      <w:r w:rsidRPr="00FB454F">
        <w:rPr>
          <w:rFonts w:ascii="Times New Roman" w:hAnsi="Times New Roman" w:cs="Times New Roman"/>
        </w:rPr>
        <w:t>)</w:t>
      </w:r>
    </w:p>
  </w:footnote>
  <w:footnote w:id="882">
    <w:p w14:paraId="25FA3A67" w14:textId="171660C0" w:rsidR="00336EDF" w:rsidRDefault="00336EDF" w:rsidP="006C4DDB">
      <w:pPr>
        <w:pStyle w:val="FootnoteText"/>
        <w:jc w:val="both"/>
      </w:pPr>
      <w:r w:rsidRPr="00433436">
        <w:rPr>
          <w:rStyle w:val="FootnoteReference"/>
          <w:rFonts w:ascii="Times New Roman" w:hAnsi="Times New Roman" w:cs="Times New Roman"/>
        </w:rPr>
        <w:footnoteRef/>
      </w:r>
      <w:r>
        <w:t xml:space="preserve"> </w:t>
      </w:r>
      <w:bookmarkStart w:id="1213" w:name="f842"/>
      <w:bookmarkEnd w:id="1213"/>
      <w:r w:rsidRPr="00FA18CA">
        <w:rPr>
          <w:rFonts w:ascii="Times New Roman" w:hAnsi="Times New Roman" w:cs="Times New Roman"/>
        </w:rPr>
        <w:t xml:space="preserve">W.S. § </w:t>
      </w:r>
      <w:hyperlink r:id="rId374" w:history="1">
        <w:r w:rsidRPr="00FA18CA">
          <w:rPr>
            <w:rStyle w:val="Hyperlink"/>
            <w:rFonts w:ascii="Times New Roman" w:hAnsi="Times New Roman" w:cs="Times New Roman"/>
          </w:rPr>
          <w:t>16-3-107</w:t>
        </w:r>
      </w:hyperlink>
      <w:r w:rsidRPr="00FB454F">
        <w:rPr>
          <w:rFonts w:ascii="Times New Roman" w:hAnsi="Times New Roman" w:cs="Times New Roman"/>
        </w:rPr>
        <w:t>(</w:t>
      </w:r>
      <w:r>
        <w:rPr>
          <w:rFonts w:ascii="Times New Roman" w:hAnsi="Times New Roman" w:cs="Times New Roman"/>
        </w:rPr>
        <w:t>m</w:t>
      </w:r>
      <w:r w:rsidRPr="00FB454F">
        <w:rPr>
          <w:rFonts w:ascii="Times New Roman" w:hAnsi="Times New Roman" w:cs="Times New Roman"/>
        </w:rPr>
        <w:t>)</w:t>
      </w:r>
      <w:r>
        <w:rPr>
          <w:rFonts w:ascii="Times New Roman" w:hAnsi="Times New Roman" w:cs="Times New Roman"/>
        </w:rPr>
        <w:t>. This rule is very similar to the federal ex parte rule under the Federal Administrative Procedure Act. 5 U.S.C. § 554(d)(2)</w:t>
      </w:r>
    </w:p>
  </w:footnote>
  <w:footnote w:id="883">
    <w:p w14:paraId="5258CFA2" w14:textId="16EB0A27" w:rsidR="00336EDF" w:rsidRDefault="00336EDF">
      <w:pPr>
        <w:pStyle w:val="FootnoteText"/>
      </w:pPr>
      <w:r w:rsidRPr="00FF30F9">
        <w:rPr>
          <w:rStyle w:val="FootnoteReference"/>
          <w:rFonts w:ascii="Times New Roman" w:hAnsi="Times New Roman" w:cs="Times New Roman"/>
        </w:rPr>
        <w:footnoteRef/>
      </w:r>
      <w:r>
        <w:t xml:space="preserve"> </w:t>
      </w:r>
      <w:bookmarkStart w:id="1215" w:name="f843"/>
      <w:bookmarkStart w:id="1216" w:name="_Hlk12726181"/>
      <w:bookmarkEnd w:id="1215"/>
      <w:r w:rsidRPr="00FA18CA">
        <w:rPr>
          <w:rFonts w:ascii="Times New Roman" w:hAnsi="Times New Roman" w:cs="Times New Roman"/>
        </w:rPr>
        <w:t xml:space="preserve">W.S. § </w:t>
      </w:r>
      <w:hyperlink r:id="rId375" w:history="1">
        <w:r w:rsidRPr="00FA18CA">
          <w:rPr>
            <w:rStyle w:val="Hyperlink"/>
            <w:rFonts w:ascii="Times New Roman" w:hAnsi="Times New Roman" w:cs="Times New Roman"/>
          </w:rPr>
          <w:t>16-3-111</w:t>
        </w:r>
        <w:bookmarkEnd w:id="1216"/>
      </w:hyperlink>
      <w:r>
        <w:rPr>
          <w:rFonts w:ascii="Times New Roman" w:hAnsi="Times New Roman" w:cs="Times New Roman"/>
        </w:rPr>
        <w:t xml:space="preserve">. </w:t>
      </w:r>
    </w:p>
  </w:footnote>
  <w:footnote w:id="884">
    <w:p w14:paraId="6DFBA0AC" w14:textId="7F2C41C6" w:rsidR="00336EDF" w:rsidRDefault="00336EDF">
      <w:pPr>
        <w:pStyle w:val="FootnoteText"/>
      </w:pPr>
      <w:r w:rsidRPr="00FF30F9">
        <w:rPr>
          <w:rStyle w:val="FootnoteReference"/>
          <w:rFonts w:ascii="Times New Roman" w:hAnsi="Times New Roman" w:cs="Times New Roman"/>
        </w:rPr>
        <w:footnoteRef/>
      </w:r>
      <w:r>
        <w:t xml:space="preserve"> </w:t>
      </w:r>
      <w:bookmarkStart w:id="1217" w:name="f844"/>
      <w:bookmarkEnd w:id="1217"/>
      <w:r w:rsidRPr="00FA18CA">
        <w:rPr>
          <w:rFonts w:ascii="Times New Roman" w:hAnsi="Times New Roman" w:cs="Times New Roman"/>
        </w:rPr>
        <w:t xml:space="preserve">W.S. § </w:t>
      </w:r>
      <w:hyperlink r:id="rId376" w:history="1">
        <w:r w:rsidRPr="00FA18CA">
          <w:rPr>
            <w:rStyle w:val="Hyperlink"/>
            <w:rFonts w:ascii="Times New Roman" w:hAnsi="Times New Roman" w:cs="Times New Roman"/>
          </w:rPr>
          <w:t>16-3-111</w:t>
        </w:r>
      </w:hyperlink>
    </w:p>
  </w:footnote>
  <w:footnote w:id="885">
    <w:p w14:paraId="1981D07B" w14:textId="358F010B" w:rsidR="00336EDF" w:rsidRDefault="00336EDF">
      <w:pPr>
        <w:pStyle w:val="FootnoteText"/>
      </w:pPr>
      <w:r w:rsidRPr="00FF30F9">
        <w:rPr>
          <w:rStyle w:val="FootnoteReference"/>
          <w:rFonts w:ascii="Times New Roman" w:hAnsi="Times New Roman" w:cs="Times New Roman"/>
        </w:rPr>
        <w:footnoteRef/>
      </w:r>
      <w:r w:rsidRPr="00FF30F9">
        <w:rPr>
          <w:rFonts w:ascii="Times New Roman" w:hAnsi="Times New Roman" w:cs="Times New Roman"/>
        </w:rPr>
        <w:t xml:space="preserve"> </w:t>
      </w:r>
      <w:bookmarkStart w:id="1218" w:name="f845"/>
      <w:bookmarkEnd w:id="1218"/>
      <w:r w:rsidRPr="00FA18CA">
        <w:rPr>
          <w:rFonts w:ascii="Times New Roman" w:hAnsi="Times New Roman" w:cs="Times New Roman"/>
        </w:rPr>
        <w:t xml:space="preserve">W.S. § </w:t>
      </w:r>
      <w:hyperlink r:id="rId377" w:history="1">
        <w:r w:rsidRPr="00FA18CA">
          <w:rPr>
            <w:rStyle w:val="Hyperlink"/>
            <w:rFonts w:ascii="Times New Roman" w:hAnsi="Times New Roman" w:cs="Times New Roman"/>
          </w:rPr>
          <w:t>16-3-111.</w:t>
        </w:r>
      </w:hyperlink>
      <w:r>
        <w:rPr>
          <w:rFonts w:ascii="Times New Roman" w:hAnsi="Times New Roman" w:cs="Times New Roman"/>
        </w:rPr>
        <w:t xml:space="preserve"> </w:t>
      </w:r>
    </w:p>
  </w:footnote>
  <w:footnote w:id="886">
    <w:p w14:paraId="0F309C5F" w14:textId="60DB7B5D" w:rsidR="00336EDF" w:rsidRPr="003157AD" w:rsidRDefault="00336EDF" w:rsidP="006C4DDB">
      <w:pPr>
        <w:pStyle w:val="FootnoteText"/>
        <w:jc w:val="both"/>
        <w:rPr>
          <w:rFonts w:ascii="Times New Roman" w:hAnsi="Times New Roman" w:cs="Times New Roman"/>
        </w:rPr>
      </w:pPr>
      <w:r w:rsidRPr="003157AD">
        <w:rPr>
          <w:rStyle w:val="FootnoteReference"/>
          <w:rFonts w:ascii="Times New Roman" w:hAnsi="Times New Roman" w:cs="Times New Roman"/>
        </w:rPr>
        <w:footnoteRef/>
      </w:r>
      <w:r w:rsidRPr="003157AD">
        <w:rPr>
          <w:rFonts w:ascii="Times New Roman" w:hAnsi="Times New Roman" w:cs="Times New Roman"/>
        </w:rPr>
        <w:t xml:space="preserve"> </w:t>
      </w:r>
      <w:bookmarkStart w:id="1219" w:name="f846"/>
      <w:bookmarkEnd w:id="1219"/>
      <w:r w:rsidRPr="003157AD">
        <w:rPr>
          <w:rFonts w:ascii="Times New Roman" w:hAnsi="Times New Roman" w:cs="Times New Roman"/>
          <w:i/>
          <w:iCs/>
        </w:rPr>
        <w:t xml:space="preserve">See </w:t>
      </w:r>
      <w:r w:rsidRPr="003157AD">
        <w:rPr>
          <w:rFonts w:ascii="Times New Roman" w:hAnsi="Times New Roman" w:cs="Times New Roman"/>
        </w:rPr>
        <w:t xml:space="preserve">Nancy D. Freudenthal and Roger C. Fransen, </w:t>
      </w:r>
      <w:r w:rsidRPr="003157AD">
        <w:rPr>
          <w:rFonts w:ascii="Times New Roman" w:hAnsi="Times New Roman" w:cs="Times New Roman"/>
          <w:i/>
          <w:iCs/>
        </w:rPr>
        <w:t>Rulemaking and Contested Case Practice in Wyoming</w:t>
      </w:r>
      <w:r w:rsidRPr="003157AD">
        <w:rPr>
          <w:rFonts w:ascii="Times New Roman" w:hAnsi="Times New Roman" w:cs="Times New Roman"/>
        </w:rPr>
        <w:t xml:space="preserve">, 31 </w:t>
      </w:r>
      <w:r w:rsidRPr="003157AD">
        <w:rPr>
          <w:rFonts w:ascii="Times New Roman" w:hAnsi="Times New Roman" w:cs="Times New Roman"/>
          <w:smallCaps/>
        </w:rPr>
        <w:t>Land &amp; Water L. Rev.</w:t>
      </w:r>
      <w:r w:rsidRPr="003157AD">
        <w:rPr>
          <w:rFonts w:ascii="Times New Roman" w:hAnsi="Times New Roman" w:cs="Times New Roman"/>
        </w:rPr>
        <w:t xml:space="preserve"> 686, 694 (1996) (discussing the approximately 40 year old Exec. Order 1981-12 as a “non-statutory procedural requirement)</w:t>
      </w:r>
    </w:p>
  </w:footnote>
  <w:footnote w:id="887">
    <w:p w14:paraId="7A3C80F9" w14:textId="6855D221" w:rsidR="00336EDF" w:rsidRDefault="00336EDF">
      <w:pPr>
        <w:pStyle w:val="FootnoteText"/>
      </w:pPr>
      <w:r w:rsidRPr="009F4CF0">
        <w:rPr>
          <w:rStyle w:val="FootnoteReference"/>
          <w:rFonts w:ascii="Times New Roman" w:hAnsi="Times New Roman" w:cs="Times New Roman"/>
        </w:rPr>
        <w:footnoteRef/>
      </w:r>
      <w:r w:rsidRPr="009F4CF0">
        <w:rPr>
          <w:rFonts w:ascii="Times New Roman" w:hAnsi="Times New Roman" w:cs="Times New Roman"/>
        </w:rPr>
        <w:t xml:space="preserve"> </w:t>
      </w:r>
      <w:bookmarkStart w:id="1220" w:name="f847"/>
      <w:bookmarkEnd w:id="1220"/>
      <w:r w:rsidRPr="00F56952">
        <w:rPr>
          <w:rFonts w:ascii="Times New Roman" w:hAnsi="Times New Roman" w:cs="Times New Roman"/>
          <w:i/>
          <w:iCs/>
        </w:rPr>
        <w:t>See</w:t>
      </w:r>
      <w:r w:rsidRPr="009F4CF0">
        <w:rPr>
          <w:rFonts w:ascii="Times New Roman" w:hAnsi="Times New Roman" w:cs="Times New Roman"/>
        </w:rPr>
        <w:t xml:space="preserve"> WY Rules and Regulations 053.0021.1 § 4</w:t>
      </w:r>
    </w:p>
  </w:footnote>
  <w:footnote w:id="888">
    <w:p w14:paraId="005E1FE9" w14:textId="2D5B5251" w:rsidR="00336EDF" w:rsidRDefault="00336EDF">
      <w:pPr>
        <w:pStyle w:val="FootnoteText"/>
      </w:pPr>
      <w:r w:rsidRPr="007B78C9">
        <w:rPr>
          <w:rStyle w:val="FootnoteReference"/>
          <w:rFonts w:ascii="Times New Roman" w:hAnsi="Times New Roman" w:cs="Times New Roman"/>
        </w:rPr>
        <w:footnoteRef/>
      </w:r>
      <w:r>
        <w:t xml:space="preserve"> </w:t>
      </w:r>
      <w:bookmarkStart w:id="1221" w:name="f848"/>
      <w:bookmarkEnd w:id="1221"/>
      <w:r w:rsidRPr="007B78C9">
        <w:rPr>
          <w:rFonts w:ascii="Times New Roman" w:hAnsi="Times New Roman" w:cs="Times New Roman"/>
        </w:rPr>
        <w:t>WY Rules and Regulations 053.0021.1 § 4</w:t>
      </w:r>
    </w:p>
  </w:footnote>
  <w:footnote w:id="889">
    <w:p w14:paraId="57FD58DF" w14:textId="3A8B14E1" w:rsidR="00336EDF" w:rsidRDefault="00336EDF">
      <w:pPr>
        <w:pStyle w:val="FootnoteText"/>
      </w:pPr>
      <w:r w:rsidRPr="009F4CF0">
        <w:rPr>
          <w:rStyle w:val="FootnoteReference"/>
          <w:rFonts w:ascii="Times New Roman" w:hAnsi="Times New Roman" w:cs="Times New Roman"/>
        </w:rPr>
        <w:footnoteRef/>
      </w:r>
      <w:bookmarkStart w:id="1222" w:name="f849"/>
      <w:bookmarkEnd w:id="1222"/>
      <w:r>
        <w:t xml:space="preserve"> </w:t>
      </w:r>
      <w:r w:rsidRPr="009F4CF0">
        <w:rPr>
          <w:rFonts w:ascii="Times New Roman" w:hAnsi="Times New Roman" w:cs="Times New Roman"/>
          <w:i/>
          <w:iCs/>
        </w:rPr>
        <w:t>Id.</w:t>
      </w:r>
    </w:p>
  </w:footnote>
  <w:footnote w:id="890">
    <w:p w14:paraId="36135499" w14:textId="0FF5C6C7" w:rsidR="00336EDF" w:rsidRDefault="00336EDF">
      <w:pPr>
        <w:pStyle w:val="FootnoteText"/>
      </w:pPr>
      <w:r w:rsidRPr="00C267A3">
        <w:rPr>
          <w:rStyle w:val="FootnoteReference"/>
          <w:rFonts w:ascii="Times New Roman" w:hAnsi="Times New Roman" w:cs="Times New Roman"/>
        </w:rPr>
        <w:footnoteRef/>
      </w:r>
      <w:r>
        <w:t xml:space="preserve"> </w:t>
      </w:r>
      <w:bookmarkStart w:id="1225" w:name="f850"/>
      <w:bookmarkEnd w:id="1225"/>
      <w:r w:rsidRPr="0055279F">
        <w:rPr>
          <w:rFonts w:ascii="Times New Roman" w:hAnsi="Times New Roman" w:cs="Times New Roman"/>
        </w:rPr>
        <w:t>W.S.</w:t>
      </w:r>
      <w:r>
        <w:t xml:space="preserve"> </w:t>
      </w:r>
      <w:r w:rsidRPr="00B43478">
        <w:rPr>
          <w:rFonts w:ascii="Times New Roman" w:hAnsi="Times New Roman" w:cs="Times New Roman"/>
        </w:rPr>
        <w:t xml:space="preserve">§ </w:t>
      </w:r>
      <w:hyperlink r:id="rId378" w:history="1">
        <w:r w:rsidRPr="00FA18CA">
          <w:rPr>
            <w:rStyle w:val="Hyperlink"/>
            <w:rFonts w:ascii="Times New Roman" w:hAnsi="Times New Roman" w:cs="Times New Roman"/>
          </w:rPr>
          <w:t>27-14-602</w:t>
        </w:r>
      </w:hyperlink>
      <w:r w:rsidRPr="00B43478">
        <w:rPr>
          <w:rFonts w:ascii="Times New Roman" w:hAnsi="Times New Roman" w:cs="Times New Roman"/>
        </w:rPr>
        <w:t>(</w:t>
      </w:r>
      <w:r>
        <w:rPr>
          <w:rFonts w:ascii="Times New Roman" w:hAnsi="Times New Roman" w:cs="Times New Roman"/>
        </w:rPr>
        <w:t>d</w:t>
      </w:r>
      <w:r w:rsidRPr="00B43478">
        <w:rPr>
          <w:rFonts w:ascii="Times New Roman" w:hAnsi="Times New Roman" w:cs="Times New Roman"/>
        </w:rPr>
        <w:t>)</w:t>
      </w:r>
    </w:p>
  </w:footnote>
  <w:footnote w:id="891">
    <w:p w14:paraId="07A8FEDA" w14:textId="6FAD60DA" w:rsidR="00336EDF" w:rsidRDefault="00336EDF">
      <w:pPr>
        <w:pStyle w:val="FootnoteText"/>
      </w:pPr>
      <w:r w:rsidRPr="008E0F9A">
        <w:rPr>
          <w:rStyle w:val="FootnoteReference"/>
          <w:rFonts w:ascii="Times New Roman" w:hAnsi="Times New Roman" w:cs="Times New Roman"/>
        </w:rPr>
        <w:footnoteRef/>
      </w:r>
      <w:r>
        <w:t xml:space="preserve"> </w:t>
      </w:r>
      <w:bookmarkStart w:id="1226" w:name="f851"/>
      <w:bookmarkEnd w:id="1226"/>
      <w:r w:rsidRPr="008E0F9A">
        <w:rPr>
          <w:rFonts w:ascii="Times New Roman" w:hAnsi="Times New Roman" w:cs="Times New Roman"/>
          <w:i/>
          <w:iCs/>
        </w:rPr>
        <w:t>See</w:t>
      </w:r>
      <w:r>
        <w:t xml:space="preserve"> </w:t>
      </w:r>
      <w:r w:rsidRPr="00746B73">
        <w:rPr>
          <w:rFonts w:ascii="Times New Roman" w:hAnsi="Times New Roman" w:cs="Times New Roman"/>
        </w:rPr>
        <w:t>1</w:t>
      </w:r>
      <w:r>
        <w:rPr>
          <w:rFonts w:ascii="Times New Roman" w:hAnsi="Times New Roman" w:cs="Times New Roman"/>
        </w:rPr>
        <w:t>3</w:t>
      </w:r>
      <w:r w:rsidRPr="00746B73">
        <w:rPr>
          <w:rFonts w:ascii="Times New Roman" w:hAnsi="Times New Roman" w:cs="Times New Roman"/>
        </w:rPr>
        <w:t xml:space="preserve">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 1</w:t>
      </w:r>
      <w:r>
        <w:rPr>
          <w:rFonts w:ascii="Times New Roman" w:hAnsi="Times New Roman" w:cs="Times New Roman"/>
        </w:rPr>
        <w:t>33</w:t>
      </w:r>
      <w:r w:rsidRPr="00746B73">
        <w:rPr>
          <w:rFonts w:ascii="Times New Roman" w:hAnsi="Times New Roman" w:cs="Times New Roman"/>
        </w:rPr>
        <w:t>.0</w:t>
      </w:r>
      <w:r>
        <w:rPr>
          <w:rFonts w:ascii="Times New Roman" w:hAnsi="Times New Roman" w:cs="Times New Roman"/>
        </w:rPr>
        <w:t>1</w:t>
      </w:r>
    </w:p>
  </w:footnote>
  <w:footnote w:id="892">
    <w:p w14:paraId="1F081F7A" w14:textId="266FA241" w:rsidR="00336EDF" w:rsidRDefault="00336EDF">
      <w:pPr>
        <w:pStyle w:val="FootnoteText"/>
      </w:pPr>
      <w:r w:rsidRPr="00B33A4A">
        <w:rPr>
          <w:rStyle w:val="FootnoteReference"/>
          <w:rFonts w:ascii="Times New Roman" w:hAnsi="Times New Roman" w:cs="Times New Roman"/>
        </w:rPr>
        <w:footnoteRef/>
      </w:r>
      <w:r w:rsidRPr="00B33A4A">
        <w:rPr>
          <w:rFonts w:ascii="Times New Roman" w:hAnsi="Times New Roman" w:cs="Times New Roman"/>
        </w:rPr>
        <w:t xml:space="preserve"> </w:t>
      </w:r>
      <w:bookmarkStart w:id="1227" w:name="f852"/>
      <w:bookmarkStart w:id="1228" w:name="_Hlk13389360"/>
      <w:bookmarkEnd w:id="1227"/>
      <w:r w:rsidRPr="00746B73">
        <w:rPr>
          <w:rFonts w:ascii="Times New Roman" w:hAnsi="Times New Roman" w:cs="Times New Roman"/>
        </w:rPr>
        <w:t>1</w:t>
      </w:r>
      <w:r>
        <w:rPr>
          <w:rFonts w:ascii="Times New Roman" w:hAnsi="Times New Roman" w:cs="Times New Roman"/>
        </w:rPr>
        <w:t>3</w:t>
      </w:r>
      <w:r w:rsidRPr="00746B73">
        <w:rPr>
          <w:rFonts w:ascii="Times New Roman" w:hAnsi="Times New Roman" w:cs="Times New Roman"/>
        </w:rPr>
        <w:t xml:space="preserve"> </w:t>
      </w:r>
      <w:r w:rsidRPr="00746B73">
        <w:rPr>
          <w:rFonts w:ascii="Times New Roman" w:hAnsi="Times New Roman" w:cs="Times New Roman"/>
          <w:smallCaps/>
        </w:rPr>
        <w:t>Larson's Workers' Compensation Law</w:t>
      </w:r>
      <w:r w:rsidRPr="00746B73">
        <w:rPr>
          <w:rFonts w:ascii="Times New Roman" w:hAnsi="Times New Roman" w:cs="Times New Roman"/>
        </w:rPr>
        <w:t xml:space="preserve"> § 1</w:t>
      </w:r>
      <w:r>
        <w:rPr>
          <w:rFonts w:ascii="Times New Roman" w:hAnsi="Times New Roman" w:cs="Times New Roman"/>
        </w:rPr>
        <w:t>33</w:t>
      </w:r>
      <w:r w:rsidRPr="00746B73">
        <w:rPr>
          <w:rFonts w:ascii="Times New Roman" w:hAnsi="Times New Roman" w:cs="Times New Roman"/>
        </w:rPr>
        <w:t>.0</w:t>
      </w:r>
      <w:r>
        <w:rPr>
          <w:rFonts w:ascii="Times New Roman" w:hAnsi="Times New Roman" w:cs="Times New Roman"/>
        </w:rPr>
        <w:t>4 (internal citations omitted)</w:t>
      </w:r>
    </w:p>
    <w:bookmarkEnd w:id="1228"/>
  </w:footnote>
  <w:footnote w:id="893">
    <w:p w14:paraId="4D9C3C85" w14:textId="47E22371" w:rsidR="00336EDF" w:rsidRDefault="00336EDF">
      <w:pPr>
        <w:pStyle w:val="FootnoteText"/>
      </w:pPr>
      <w:r w:rsidRPr="009E359B">
        <w:rPr>
          <w:rStyle w:val="FootnoteReference"/>
          <w:rFonts w:ascii="Times New Roman" w:hAnsi="Times New Roman" w:cs="Times New Roman"/>
        </w:rPr>
        <w:footnoteRef/>
      </w:r>
      <w:r>
        <w:t xml:space="preserve"> </w:t>
      </w:r>
      <w:bookmarkStart w:id="1231" w:name="f853"/>
      <w:bookmarkEnd w:id="1231"/>
      <w:r w:rsidRPr="009E359B">
        <w:rPr>
          <w:rFonts w:ascii="Times New Roman" w:hAnsi="Times New Roman" w:cs="Times New Roman"/>
        </w:rPr>
        <w:t>WY Rules and Regulations 270.0001.5 § 3</w:t>
      </w:r>
    </w:p>
  </w:footnote>
  <w:footnote w:id="894">
    <w:p w14:paraId="714C4BF5" w14:textId="7F511CA6" w:rsidR="00336EDF" w:rsidRDefault="00336EDF">
      <w:pPr>
        <w:pStyle w:val="FootnoteText"/>
      </w:pPr>
      <w:r w:rsidRPr="002E4E77">
        <w:rPr>
          <w:rStyle w:val="FootnoteReference"/>
          <w:rFonts w:ascii="Times New Roman" w:hAnsi="Times New Roman" w:cs="Times New Roman"/>
        </w:rPr>
        <w:footnoteRef/>
      </w:r>
      <w:r>
        <w:t xml:space="preserve"> </w:t>
      </w:r>
      <w:bookmarkStart w:id="1233" w:name="f854"/>
      <w:bookmarkEnd w:id="1233"/>
      <w:r w:rsidRPr="002E4E77">
        <w:rPr>
          <w:rFonts w:ascii="Times New Roman" w:hAnsi="Times New Roman" w:cs="Times New Roman"/>
        </w:rPr>
        <w:t>931 P.2d 953 (Wyo. 1997)</w:t>
      </w:r>
    </w:p>
  </w:footnote>
  <w:footnote w:id="895">
    <w:p w14:paraId="4CADD0EC" w14:textId="7AD46065" w:rsidR="00336EDF" w:rsidRDefault="00336EDF">
      <w:pPr>
        <w:pStyle w:val="FootnoteText"/>
      </w:pPr>
      <w:r w:rsidRPr="00DD494D">
        <w:rPr>
          <w:rStyle w:val="FootnoteReference"/>
          <w:rFonts w:ascii="Times New Roman" w:hAnsi="Times New Roman" w:cs="Times New Roman"/>
        </w:rPr>
        <w:footnoteRef/>
      </w:r>
      <w:r>
        <w:t xml:space="preserve"> </w:t>
      </w:r>
      <w:bookmarkStart w:id="1234" w:name="f855"/>
      <w:bookmarkEnd w:id="1234"/>
      <w:r w:rsidRPr="00DD494D">
        <w:rPr>
          <w:rFonts w:ascii="Times New Roman" w:hAnsi="Times New Roman" w:cs="Times New Roman"/>
          <w:i/>
          <w:iCs/>
        </w:rPr>
        <w:t>Id</w:t>
      </w:r>
      <w:r w:rsidRPr="00DD494D">
        <w:rPr>
          <w:rFonts w:ascii="Times New Roman" w:hAnsi="Times New Roman" w:cs="Times New Roman"/>
        </w:rPr>
        <w:t>. at 956</w:t>
      </w:r>
    </w:p>
  </w:footnote>
  <w:footnote w:id="896">
    <w:p w14:paraId="4E846CA8" w14:textId="79A6BC2C" w:rsidR="00336EDF" w:rsidRDefault="00336EDF">
      <w:pPr>
        <w:pStyle w:val="FootnoteText"/>
      </w:pPr>
      <w:r w:rsidRPr="00DD494D">
        <w:rPr>
          <w:rStyle w:val="FootnoteReference"/>
          <w:rFonts w:ascii="Times New Roman" w:hAnsi="Times New Roman" w:cs="Times New Roman"/>
        </w:rPr>
        <w:footnoteRef/>
      </w:r>
      <w:r w:rsidRPr="00DD494D">
        <w:rPr>
          <w:rFonts w:ascii="Times New Roman" w:hAnsi="Times New Roman" w:cs="Times New Roman"/>
        </w:rPr>
        <w:t xml:space="preserve"> </w:t>
      </w:r>
      <w:bookmarkStart w:id="1235" w:name="f856"/>
      <w:bookmarkEnd w:id="1235"/>
      <w:r>
        <w:fldChar w:fldCharType="begin"/>
      </w:r>
      <w:r>
        <w:instrText xml:space="preserve"> HYPERLINK "https://law.justia.com/cases/wyoming/supreme-court/2001/181718.html" </w:instrText>
      </w:r>
      <w:r>
        <w:fldChar w:fldCharType="separate"/>
      </w:r>
      <w:r w:rsidRPr="00DD494D">
        <w:rPr>
          <w:rStyle w:val="Hyperlink"/>
          <w:rFonts w:ascii="Times New Roman" w:hAnsi="Times New Roman" w:cs="Times New Roman"/>
        </w:rPr>
        <w:t>17 P.3d 20</w:t>
      </w:r>
      <w:r>
        <w:rPr>
          <w:rStyle w:val="Hyperlink"/>
          <w:rFonts w:ascii="Times New Roman" w:hAnsi="Times New Roman" w:cs="Times New Roman"/>
        </w:rPr>
        <w:fldChar w:fldCharType="end"/>
      </w:r>
      <w:r w:rsidRPr="00DD494D">
        <w:rPr>
          <w:rFonts w:ascii="Times New Roman" w:hAnsi="Times New Roman" w:cs="Times New Roman"/>
        </w:rPr>
        <w:t>, 27 (2001)</w:t>
      </w:r>
    </w:p>
  </w:footnote>
  <w:footnote w:id="897">
    <w:p w14:paraId="0766CC42" w14:textId="7FD43704" w:rsidR="00336EDF" w:rsidRDefault="00336EDF">
      <w:pPr>
        <w:pStyle w:val="FootnoteText"/>
      </w:pPr>
      <w:r w:rsidRPr="00AF6714">
        <w:rPr>
          <w:rStyle w:val="FootnoteReference"/>
          <w:rFonts w:ascii="Times New Roman" w:hAnsi="Times New Roman" w:cs="Times New Roman"/>
        </w:rPr>
        <w:footnoteRef/>
      </w:r>
      <w:r w:rsidRPr="00AF6714">
        <w:rPr>
          <w:rFonts w:ascii="Times New Roman" w:hAnsi="Times New Roman" w:cs="Times New Roman"/>
        </w:rPr>
        <w:t xml:space="preserve"> </w:t>
      </w:r>
      <w:bookmarkStart w:id="1236" w:name="f857"/>
      <w:bookmarkEnd w:id="1236"/>
      <w:r>
        <w:fldChar w:fldCharType="begin"/>
      </w:r>
      <w:r>
        <w:instrText xml:space="preserve"> HYPERLINK "https://law.justia.com/cases/wyoming/supreme-court/1997/123407.html" </w:instrText>
      </w:r>
      <w:r>
        <w:fldChar w:fldCharType="separate"/>
      </w:r>
      <w:r w:rsidRPr="00120AED">
        <w:rPr>
          <w:rStyle w:val="Hyperlink"/>
          <w:rFonts w:ascii="Times New Roman" w:hAnsi="Times New Roman" w:cs="Times New Roman"/>
        </w:rPr>
        <w:t>938 P.2d 870</w:t>
      </w:r>
      <w:r>
        <w:rPr>
          <w:rStyle w:val="Hyperlink"/>
          <w:rFonts w:ascii="Times New Roman" w:hAnsi="Times New Roman" w:cs="Times New Roman"/>
        </w:rPr>
        <w:fldChar w:fldCharType="end"/>
      </w:r>
      <w:r w:rsidRPr="00AF6714">
        <w:rPr>
          <w:rFonts w:ascii="Times New Roman" w:hAnsi="Times New Roman" w:cs="Times New Roman"/>
        </w:rPr>
        <w:t xml:space="preserve"> (Wyo. 1997)</w:t>
      </w:r>
    </w:p>
  </w:footnote>
  <w:footnote w:id="898">
    <w:p w14:paraId="10F04FC0" w14:textId="1B17DAA2" w:rsidR="00336EDF" w:rsidRDefault="00336EDF">
      <w:pPr>
        <w:pStyle w:val="FootnoteText"/>
      </w:pPr>
      <w:r w:rsidRPr="00AF6714">
        <w:rPr>
          <w:rStyle w:val="FootnoteReference"/>
          <w:rFonts w:ascii="Times New Roman" w:hAnsi="Times New Roman" w:cs="Times New Roman"/>
        </w:rPr>
        <w:footnoteRef/>
      </w:r>
      <w:r w:rsidRPr="00AF6714">
        <w:rPr>
          <w:rFonts w:ascii="Times New Roman" w:hAnsi="Times New Roman" w:cs="Times New Roman"/>
        </w:rPr>
        <w:t xml:space="preserve"> </w:t>
      </w:r>
      <w:bookmarkStart w:id="1237" w:name="f858"/>
      <w:bookmarkEnd w:id="1237"/>
      <w:r w:rsidRPr="00AF6714">
        <w:rPr>
          <w:rFonts w:ascii="Times New Roman" w:hAnsi="Times New Roman" w:cs="Times New Roman"/>
          <w:i/>
          <w:iCs/>
        </w:rPr>
        <w:t>Id.</w:t>
      </w:r>
      <w:r w:rsidRPr="00AF6714">
        <w:rPr>
          <w:rFonts w:ascii="Times New Roman" w:hAnsi="Times New Roman" w:cs="Times New Roman"/>
        </w:rPr>
        <w:t xml:space="preserve"> at 873</w:t>
      </w:r>
    </w:p>
  </w:footnote>
  <w:footnote w:id="899">
    <w:p w14:paraId="52DD834C" w14:textId="01B9D1A5" w:rsidR="00336EDF" w:rsidRDefault="00336EDF">
      <w:pPr>
        <w:pStyle w:val="FootnoteText"/>
      </w:pPr>
      <w:r w:rsidRPr="00AF6714">
        <w:rPr>
          <w:rStyle w:val="FootnoteReference"/>
          <w:rFonts w:ascii="Times New Roman" w:hAnsi="Times New Roman" w:cs="Times New Roman"/>
        </w:rPr>
        <w:footnoteRef/>
      </w:r>
      <w:r w:rsidRPr="00AF6714">
        <w:rPr>
          <w:rFonts w:ascii="Times New Roman" w:hAnsi="Times New Roman" w:cs="Times New Roman"/>
        </w:rPr>
        <w:t xml:space="preserve"> </w:t>
      </w:r>
      <w:bookmarkStart w:id="1238" w:name="f859"/>
      <w:bookmarkEnd w:id="1238"/>
      <w:r w:rsidRPr="00AF6714">
        <w:rPr>
          <w:rFonts w:ascii="Times New Roman" w:hAnsi="Times New Roman" w:cs="Times New Roman"/>
          <w:i/>
          <w:iCs/>
        </w:rPr>
        <w:t>Id.</w:t>
      </w:r>
      <w:r w:rsidRPr="00AF6714">
        <w:rPr>
          <w:rFonts w:ascii="Times New Roman" w:hAnsi="Times New Roman" w:cs="Times New Roman"/>
        </w:rPr>
        <w:t xml:space="preserve"> at 872</w:t>
      </w:r>
    </w:p>
  </w:footnote>
  <w:footnote w:id="900">
    <w:p w14:paraId="11F8E1B0" w14:textId="56FF7103" w:rsidR="00336EDF" w:rsidRDefault="00336EDF">
      <w:pPr>
        <w:pStyle w:val="FootnoteText"/>
      </w:pPr>
      <w:r w:rsidRPr="004D1638">
        <w:rPr>
          <w:rStyle w:val="FootnoteReference"/>
          <w:rFonts w:ascii="Times New Roman" w:hAnsi="Times New Roman" w:cs="Times New Roman"/>
        </w:rPr>
        <w:footnoteRef/>
      </w:r>
      <w:r w:rsidRPr="004D1638">
        <w:rPr>
          <w:rFonts w:ascii="Times New Roman" w:hAnsi="Times New Roman" w:cs="Times New Roman"/>
        </w:rPr>
        <w:t xml:space="preserve"> </w:t>
      </w:r>
      <w:bookmarkStart w:id="1239" w:name="f860"/>
      <w:bookmarkEnd w:id="1239"/>
      <w:r w:rsidRPr="004D1638">
        <w:rPr>
          <w:rFonts w:ascii="Times New Roman" w:hAnsi="Times New Roman" w:cs="Times New Roman"/>
          <w:i/>
          <w:iCs/>
        </w:rPr>
        <w:t>Id.</w:t>
      </w:r>
    </w:p>
  </w:footnote>
  <w:footnote w:id="901">
    <w:p w14:paraId="78F3A1DC" w14:textId="3FC8E1C5" w:rsidR="00336EDF" w:rsidRDefault="00336EDF">
      <w:pPr>
        <w:pStyle w:val="FootnoteText"/>
      </w:pPr>
      <w:r w:rsidRPr="00587FDD">
        <w:rPr>
          <w:rStyle w:val="FootnoteReference"/>
          <w:rFonts w:ascii="Times New Roman" w:hAnsi="Times New Roman" w:cs="Times New Roman"/>
        </w:rPr>
        <w:footnoteRef/>
      </w:r>
      <w:r>
        <w:t xml:space="preserve"> </w:t>
      </w:r>
      <w:bookmarkStart w:id="1240" w:name="f861"/>
      <w:bookmarkEnd w:id="1240"/>
      <w:r w:rsidRPr="00587FDD">
        <w:rPr>
          <w:rFonts w:ascii="Times New Roman" w:hAnsi="Times New Roman" w:cs="Times New Roman"/>
          <w:i/>
          <w:iCs/>
        </w:rPr>
        <w:t>Id.</w:t>
      </w:r>
    </w:p>
  </w:footnote>
  <w:footnote w:id="902">
    <w:p w14:paraId="444F439A" w14:textId="47059049" w:rsidR="00336EDF" w:rsidRDefault="00336EDF">
      <w:pPr>
        <w:pStyle w:val="FootnoteText"/>
      </w:pPr>
      <w:r w:rsidRPr="00587FDD">
        <w:rPr>
          <w:rStyle w:val="FootnoteReference"/>
          <w:rFonts w:ascii="Times New Roman" w:hAnsi="Times New Roman" w:cs="Times New Roman"/>
        </w:rPr>
        <w:footnoteRef/>
      </w:r>
      <w:r>
        <w:t xml:space="preserve"> </w:t>
      </w:r>
      <w:bookmarkStart w:id="1241" w:name="f862"/>
      <w:bookmarkEnd w:id="1241"/>
      <w:r w:rsidRPr="00587FDD">
        <w:rPr>
          <w:rFonts w:ascii="Times New Roman" w:hAnsi="Times New Roman" w:cs="Times New Roman"/>
          <w:i/>
          <w:iCs/>
        </w:rPr>
        <w:t>Id</w:t>
      </w:r>
      <w:r w:rsidRPr="00587FDD">
        <w:rPr>
          <w:rFonts w:ascii="Times New Roman" w:hAnsi="Times New Roman" w:cs="Times New Roman"/>
        </w:rPr>
        <w:t>. at 872</w:t>
      </w:r>
    </w:p>
  </w:footnote>
  <w:footnote w:id="903">
    <w:p w14:paraId="3AC274BA" w14:textId="6A1CC2F1" w:rsidR="00336EDF" w:rsidRDefault="00336EDF">
      <w:pPr>
        <w:pStyle w:val="FootnoteText"/>
      </w:pPr>
      <w:r w:rsidRPr="004D1638">
        <w:rPr>
          <w:rStyle w:val="FootnoteReference"/>
          <w:rFonts w:ascii="Times New Roman" w:hAnsi="Times New Roman" w:cs="Times New Roman"/>
        </w:rPr>
        <w:footnoteRef/>
      </w:r>
      <w:r w:rsidRPr="004D1638">
        <w:rPr>
          <w:rFonts w:ascii="Times New Roman" w:hAnsi="Times New Roman" w:cs="Times New Roman"/>
        </w:rPr>
        <w:t xml:space="preserve"> </w:t>
      </w:r>
      <w:bookmarkStart w:id="1242" w:name="f863"/>
      <w:bookmarkEnd w:id="1242"/>
      <w:r w:rsidRPr="004D1638">
        <w:rPr>
          <w:rFonts w:ascii="Times New Roman" w:hAnsi="Times New Roman" w:cs="Times New Roman"/>
          <w:i/>
          <w:iCs/>
        </w:rPr>
        <w:t>Id</w:t>
      </w:r>
      <w:r w:rsidRPr="004D1638">
        <w:rPr>
          <w:rFonts w:ascii="Times New Roman" w:hAnsi="Times New Roman" w:cs="Times New Roman"/>
        </w:rPr>
        <w:t>. at 873</w:t>
      </w:r>
    </w:p>
  </w:footnote>
  <w:footnote w:id="904">
    <w:p w14:paraId="7FC4D51B" w14:textId="78CEFF20" w:rsidR="00336EDF" w:rsidRDefault="00336EDF">
      <w:pPr>
        <w:pStyle w:val="FootnoteText"/>
      </w:pPr>
      <w:r w:rsidRPr="00BE4086">
        <w:rPr>
          <w:rStyle w:val="FootnoteReference"/>
          <w:rFonts w:ascii="Times New Roman" w:hAnsi="Times New Roman" w:cs="Times New Roman"/>
        </w:rPr>
        <w:footnoteRef/>
      </w:r>
      <w:r w:rsidRPr="00BE4086">
        <w:rPr>
          <w:rFonts w:ascii="Times New Roman" w:hAnsi="Times New Roman" w:cs="Times New Roman"/>
        </w:rPr>
        <w:t xml:space="preserve"> </w:t>
      </w:r>
      <w:bookmarkStart w:id="1243" w:name="f864"/>
      <w:bookmarkEnd w:id="1243"/>
      <w:r w:rsidRPr="00BE4086">
        <w:rPr>
          <w:rFonts w:ascii="Times New Roman" w:hAnsi="Times New Roman" w:cs="Times New Roman"/>
          <w:i/>
          <w:iCs/>
        </w:rPr>
        <w:t xml:space="preserve">See </w:t>
      </w:r>
      <w:r w:rsidRPr="00BE4086">
        <w:rPr>
          <w:rFonts w:ascii="Times New Roman" w:hAnsi="Times New Roman" w:cs="Times New Roman"/>
        </w:rPr>
        <w:t>Section 6.11 of this Treatise</w:t>
      </w:r>
    </w:p>
  </w:footnote>
  <w:footnote w:id="905">
    <w:p w14:paraId="36C8C97E" w14:textId="527FDEBC" w:rsidR="00336EDF" w:rsidRDefault="00336EDF">
      <w:pPr>
        <w:pStyle w:val="FootnoteText"/>
      </w:pPr>
      <w:r w:rsidRPr="00D52EA6">
        <w:rPr>
          <w:rStyle w:val="FootnoteReference"/>
          <w:rFonts w:ascii="Times New Roman" w:hAnsi="Times New Roman" w:cs="Times New Roman"/>
        </w:rPr>
        <w:footnoteRef/>
      </w:r>
      <w:r w:rsidRPr="00D52EA6">
        <w:rPr>
          <w:rFonts w:ascii="Times New Roman" w:hAnsi="Times New Roman" w:cs="Times New Roman"/>
        </w:rPr>
        <w:t xml:space="preserve"> </w:t>
      </w:r>
      <w:bookmarkStart w:id="1244" w:name="f865"/>
      <w:bookmarkEnd w:id="1244"/>
      <w:r>
        <w:fldChar w:fldCharType="begin"/>
      </w:r>
      <w:r>
        <w:instrText xml:space="preserve"> HYPERLINK "https://www.leagle.com/decision/19992063984p2d107912060" </w:instrText>
      </w:r>
      <w:r>
        <w:fldChar w:fldCharType="separate"/>
      </w:r>
      <w:r w:rsidRPr="00017447">
        <w:rPr>
          <w:rStyle w:val="Hyperlink"/>
          <w:rFonts w:ascii="Times New Roman" w:hAnsi="Times New Roman" w:cs="Times New Roman"/>
        </w:rPr>
        <w:t>984 P.2d 1079</w:t>
      </w:r>
      <w:r>
        <w:rPr>
          <w:rStyle w:val="Hyperlink"/>
          <w:rFonts w:ascii="Times New Roman" w:hAnsi="Times New Roman" w:cs="Times New Roman"/>
        </w:rPr>
        <w:fldChar w:fldCharType="end"/>
      </w:r>
      <w:r w:rsidRPr="008A328F">
        <w:rPr>
          <w:rFonts w:ascii="Times New Roman" w:hAnsi="Times New Roman" w:cs="Times New Roman"/>
        </w:rPr>
        <w:t xml:space="preserve"> (Wyo. 1999)</w:t>
      </w:r>
    </w:p>
  </w:footnote>
  <w:footnote w:id="906">
    <w:p w14:paraId="770D6152" w14:textId="0F6D639E" w:rsidR="00336EDF" w:rsidRDefault="00336EDF">
      <w:pPr>
        <w:pStyle w:val="FootnoteText"/>
      </w:pPr>
      <w:r w:rsidRPr="00D52EA6">
        <w:rPr>
          <w:rStyle w:val="FootnoteReference"/>
          <w:rFonts w:ascii="Times New Roman" w:hAnsi="Times New Roman" w:cs="Times New Roman"/>
        </w:rPr>
        <w:footnoteRef/>
      </w:r>
      <w:r w:rsidRPr="00D52EA6">
        <w:rPr>
          <w:rFonts w:ascii="Times New Roman" w:hAnsi="Times New Roman" w:cs="Times New Roman"/>
        </w:rPr>
        <w:t xml:space="preserve"> </w:t>
      </w:r>
      <w:bookmarkStart w:id="1245" w:name="f866"/>
      <w:bookmarkEnd w:id="1245"/>
      <w:r w:rsidRPr="00D52EA6">
        <w:rPr>
          <w:rFonts w:ascii="Times New Roman" w:hAnsi="Times New Roman" w:cs="Times New Roman"/>
          <w:i/>
          <w:iCs/>
        </w:rPr>
        <w:t>Id</w:t>
      </w:r>
      <w:r w:rsidRPr="00D52EA6">
        <w:rPr>
          <w:rFonts w:ascii="Times New Roman" w:hAnsi="Times New Roman" w:cs="Times New Roman"/>
        </w:rPr>
        <w:t>. at 1082</w:t>
      </w:r>
      <w:r>
        <w:rPr>
          <w:rFonts w:ascii="Times New Roman" w:hAnsi="Times New Roman" w:cs="Times New Roman"/>
        </w:rPr>
        <w:t xml:space="preserve"> (emphasis supplied)</w:t>
      </w:r>
    </w:p>
  </w:footnote>
  <w:footnote w:id="907">
    <w:p w14:paraId="4D8D50C8" w14:textId="0E229EF4" w:rsidR="00336EDF" w:rsidRPr="00F93AFA" w:rsidRDefault="00336EDF" w:rsidP="00F93AFA">
      <w:pPr>
        <w:pStyle w:val="FootnoteText"/>
        <w:jc w:val="both"/>
        <w:rPr>
          <w:rFonts w:ascii="Times New Roman" w:hAnsi="Times New Roman" w:cs="Times New Roman"/>
        </w:rPr>
      </w:pPr>
      <w:r w:rsidRPr="00F93AFA">
        <w:rPr>
          <w:rStyle w:val="FootnoteReference"/>
          <w:rFonts w:ascii="Times New Roman" w:hAnsi="Times New Roman" w:cs="Times New Roman"/>
        </w:rPr>
        <w:footnoteRef/>
      </w:r>
      <w:r>
        <w:t xml:space="preserve"> </w:t>
      </w:r>
      <w:bookmarkStart w:id="1246" w:name="f867"/>
      <w:bookmarkEnd w:id="1246"/>
      <w:r w:rsidRPr="00F93AFA">
        <w:rPr>
          <w:rFonts w:ascii="Times New Roman" w:hAnsi="Times New Roman" w:cs="Times New Roman"/>
          <w:i/>
          <w:iCs/>
        </w:rPr>
        <w:t xml:space="preserve">See </w:t>
      </w:r>
      <w:bookmarkStart w:id="1247" w:name="_Hlk12862041"/>
      <w:r w:rsidRPr="00F93AFA">
        <w:rPr>
          <w:rFonts w:ascii="Times New Roman" w:hAnsi="Times New Roman" w:cs="Times New Roman"/>
        </w:rPr>
        <w:t xml:space="preserve">Mountain Regional </w:t>
      </w:r>
      <w:r>
        <w:rPr>
          <w:rFonts w:ascii="Times New Roman" w:hAnsi="Times New Roman" w:cs="Times New Roman"/>
        </w:rPr>
        <w:t>S</w:t>
      </w:r>
      <w:r w:rsidRPr="00F93AFA">
        <w:rPr>
          <w:rFonts w:ascii="Times New Roman" w:hAnsi="Times New Roman" w:cs="Times New Roman"/>
        </w:rPr>
        <w:t xml:space="preserve">ervices, Inc. v. Dept of Health, </w:t>
      </w:r>
      <w:hyperlink r:id="rId379" w:history="1">
        <w:r w:rsidRPr="00F93AFA">
          <w:rPr>
            <w:rStyle w:val="Hyperlink"/>
            <w:rFonts w:ascii="Times New Roman" w:hAnsi="Times New Roman" w:cs="Times New Roman"/>
          </w:rPr>
          <w:t>326 P.2d 182</w:t>
        </w:r>
      </w:hyperlink>
      <w:r w:rsidRPr="00F93AFA">
        <w:rPr>
          <w:rFonts w:ascii="Times New Roman" w:hAnsi="Times New Roman" w:cs="Times New Roman"/>
        </w:rPr>
        <w:t>, 184 (Wyo. 2014)</w:t>
      </w:r>
      <w:bookmarkEnd w:id="1247"/>
      <w:r>
        <w:rPr>
          <w:rFonts w:ascii="Times New Roman" w:hAnsi="Times New Roman" w:cs="Times New Roman"/>
        </w:rPr>
        <w:t>.</w:t>
      </w:r>
      <w:r w:rsidRPr="00F93AFA">
        <w:rPr>
          <w:rFonts w:ascii="Times New Roman" w:hAnsi="Times New Roman" w:cs="Times New Roman"/>
        </w:rPr>
        <w:t xml:space="preserve"> An interpretive rule is a clarification or explanation of existing laws or regulations, rather than a substantive modification of them. Interpretive rules are statements as to what the agency thinks a statute or regulation means. Interpretative rules or statements of general policy are exempt from these formal procedures</w:t>
      </w:r>
      <w:r>
        <w:rPr>
          <w:rFonts w:ascii="Times New Roman" w:hAnsi="Times New Roman" w:cs="Times New Roman"/>
        </w:rPr>
        <w:t>.</w:t>
      </w:r>
      <w:r w:rsidRPr="00F93AFA">
        <w:rPr>
          <w:rFonts w:ascii="Times New Roman" w:hAnsi="Times New Roman" w:cs="Times New Roman"/>
          <w:i/>
          <w:iCs/>
        </w:rPr>
        <w:t xml:space="preserve"> Id</w:t>
      </w:r>
      <w:r>
        <w:rPr>
          <w:rFonts w:ascii="Times New Roman" w:hAnsi="Times New Roman" w:cs="Times New Roman"/>
        </w:rPr>
        <w:t>.</w:t>
      </w:r>
    </w:p>
  </w:footnote>
  <w:footnote w:id="908">
    <w:p w14:paraId="2EC9D416" w14:textId="7410AA70" w:rsidR="00336EDF" w:rsidRDefault="00336EDF">
      <w:pPr>
        <w:pStyle w:val="FootnoteText"/>
      </w:pPr>
      <w:r w:rsidRPr="006C1452">
        <w:rPr>
          <w:rStyle w:val="FootnoteReference"/>
          <w:rFonts w:ascii="Times New Roman" w:hAnsi="Times New Roman" w:cs="Times New Roman"/>
        </w:rPr>
        <w:footnoteRef/>
      </w:r>
      <w:r>
        <w:t xml:space="preserve"> </w:t>
      </w:r>
      <w:bookmarkStart w:id="1248" w:name="f868"/>
      <w:bookmarkEnd w:id="1248"/>
      <w:r w:rsidRPr="006C1452">
        <w:rPr>
          <w:rFonts w:ascii="Times New Roman" w:hAnsi="Times New Roman" w:cs="Times New Roman"/>
        </w:rPr>
        <w:t>WY Rules and Regulations 270.0001.5 § 2</w:t>
      </w:r>
    </w:p>
  </w:footnote>
  <w:footnote w:id="909">
    <w:p w14:paraId="6F6923B5" w14:textId="1D7D709E" w:rsidR="00336EDF" w:rsidRPr="00CC36E6" w:rsidRDefault="00336EDF" w:rsidP="008519C2">
      <w:pPr>
        <w:pStyle w:val="FootnoteText"/>
        <w:jc w:val="both"/>
        <w:rPr>
          <w:rFonts w:ascii="Times New Roman" w:hAnsi="Times New Roman" w:cs="Times New Roman"/>
        </w:rPr>
      </w:pPr>
      <w:r w:rsidRPr="00CC36E6">
        <w:rPr>
          <w:rStyle w:val="FootnoteReference"/>
          <w:rFonts w:ascii="Times New Roman" w:hAnsi="Times New Roman" w:cs="Times New Roman"/>
        </w:rPr>
        <w:footnoteRef/>
      </w:r>
      <w:r>
        <w:t xml:space="preserve"> </w:t>
      </w:r>
      <w:bookmarkStart w:id="1249" w:name="f869"/>
      <w:bookmarkStart w:id="1250" w:name="_Hlk13563577"/>
      <w:bookmarkEnd w:id="1249"/>
      <w:r w:rsidRPr="00CC36E6">
        <w:rPr>
          <w:rFonts w:ascii="Times New Roman" w:hAnsi="Times New Roman" w:cs="Times New Roman"/>
        </w:rPr>
        <w:t xml:space="preserve">Shenemen </w:t>
      </w:r>
      <w:bookmarkEnd w:id="1250"/>
      <w:r w:rsidRPr="00CC36E6">
        <w:rPr>
          <w:rFonts w:ascii="Times New Roman" w:hAnsi="Times New Roman" w:cs="Times New Roman"/>
        </w:rPr>
        <w:t xml:space="preserve">v. Division of Workers’ Safety and Compensation Internal Hearing Unit, </w:t>
      </w:r>
      <w:hyperlink r:id="rId380" w:history="1">
        <w:r w:rsidRPr="008519C2">
          <w:rPr>
            <w:rStyle w:val="Hyperlink"/>
            <w:rFonts w:ascii="Times New Roman" w:hAnsi="Times New Roman" w:cs="Times New Roman"/>
          </w:rPr>
          <w:t>956 P.2d 344</w:t>
        </w:r>
      </w:hyperlink>
      <w:r>
        <w:rPr>
          <w:rFonts w:ascii="Times New Roman" w:hAnsi="Times New Roman" w:cs="Times New Roman"/>
        </w:rPr>
        <w:t>, 349</w:t>
      </w:r>
      <w:r w:rsidRPr="00CC36E6">
        <w:rPr>
          <w:rFonts w:ascii="Times New Roman" w:hAnsi="Times New Roman" w:cs="Times New Roman"/>
        </w:rPr>
        <w:t xml:space="preserve"> (Wyo. 1998)</w:t>
      </w:r>
      <w:r>
        <w:rPr>
          <w:rFonts w:ascii="Times New Roman" w:hAnsi="Times New Roman" w:cs="Times New Roman"/>
        </w:rPr>
        <w:t xml:space="preserve">; Appleby v. Workers’ Compensation &amp; Safety Div., </w:t>
      </w:r>
      <w:hyperlink r:id="rId381" w:history="1">
        <w:r w:rsidRPr="008519C2">
          <w:rPr>
            <w:rStyle w:val="Hyperlink"/>
            <w:rFonts w:ascii="Times New Roman" w:hAnsi="Times New Roman" w:cs="Times New Roman"/>
          </w:rPr>
          <w:t>47 P.3d 613</w:t>
        </w:r>
      </w:hyperlink>
      <w:r>
        <w:rPr>
          <w:rFonts w:ascii="Times New Roman" w:hAnsi="Times New Roman" w:cs="Times New Roman"/>
        </w:rPr>
        <w:t xml:space="preserve">, 617 (Wyo. 2002); Poll v. Dept. of Employment, Division of Workers’ Safety &amp; Compensation, </w:t>
      </w:r>
      <w:hyperlink r:id="rId382" w:history="1">
        <w:r w:rsidRPr="008519C2">
          <w:rPr>
            <w:rStyle w:val="Hyperlink"/>
            <w:rFonts w:ascii="Times New Roman" w:hAnsi="Times New Roman" w:cs="Times New Roman"/>
          </w:rPr>
          <w:t>963 P.2d 977</w:t>
        </w:r>
      </w:hyperlink>
      <w:r>
        <w:rPr>
          <w:rFonts w:ascii="Times New Roman" w:hAnsi="Times New Roman" w:cs="Times New Roman"/>
        </w:rPr>
        <w:t>, 978 (Wyo. 1998)</w:t>
      </w:r>
    </w:p>
  </w:footnote>
  <w:footnote w:id="910">
    <w:p w14:paraId="7D8C79B0" w14:textId="353F0267" w:rsidR="00336EDF" w:rsidRDefault="00336EDF">
      <w:pPr>
        <w:pStyle w:val="FootnoteText"/>
      </w:pPr>
      <w:r w:rsidRPr="00741340">
        <w:rPr>
          <w:rStyle w:val="FootnoteReference"/>
          <w:rFonts w:ascii="Times New Roman" w:hAnsi="Times New Roman" w:cs="Times New Roman"/>
        </w:rPr>
        <w:footnoteRef/>
      </w:r>
      <w:r w:rsidRPr="00741340">
        <w:rPr>
          <w:rFonts w:ascii="Times New Roman" w:hAnsi="Times New Roman" w:cs="Times New Roman"/>
        </w:rPr>
        <w:t xml:space="preserve"> </w:t>
      </w:r>
      <w:bookmarkStart w:id="1251" w:name="f870"/>
      <w:bookmarkEnd w:id="1251"/>
      <w:r>
        <w:fldChar w:fldCharType="begin"/>
      </w:r>
      <w:r>
        <w:instrText xml:space="preserve"> HYPERLINK "https://law.justia.com/cases/wyoming/supreme-court/1991/122638.html" </w:instrText>
      </w:r>
      <w:r>
        <w:fldChar w:fldCharType="separate"/>
      </w:r>
      <w:r w:rsidRPr="00741340">
        <w:rPr>
          <w:rStyle w:val="Hyperlink"/>
          <w:rFonts w:ascii="Times New Roman" w:hAnsi="Times New Roman" w:cs="Times New Roman"/>
        </w:rPr>
        <w:t>805 P.2d 830</w:t>
      </w:r>
      <w:r>
        <w:rPr>
          <w:rStyle w:val="Hyperlink"/>
          <w:rFonts w:ascii="Times New Roman" w:hAnsi="Times New Roman" w:cs="Times New Roman"/>
        </w:rPr>
        <w:fldChar w:fldCharType="end"/>
      </w:r>
      <w:r w:rsidRPr="00741340">
        <w:rPr>
          <w:rFonts w:ascii="Times New Roman" w:hAnsi="Times New Roman" w:cs="Times New Roman"/>
        </w:rPr>
        <w:t xml:space="preserve"> (Wyo. 1991)</w:t>
      </w:r>
    </w:p>
  </w:footnote>
  <w:footnote w:id="911">
    <w:p w14:paraId="7097BD2C" w14:textId="34826DD7" w:rsidR="00336EDF" w:rsidRDefault="00336EDF">
      <w:pPr>
        <w:pStyle w:val="FootnoteText"/>
      </w:pPr>
      <w:r w:rsidRPr="00906B0B">
        <w:rPr>
          <w:rStyle w:val="FootnoteReference"/>
          <w:rFonts w:ascii="Times New Roman" w:hAnsi="Times New Roman" w:cs="Times New Roman"/>
        </w:rPr>
        <w:footnoteRef/>
      </w:r>
      <w:r>
        <w:t xml:space="preserve"> </w:t>
      </w:r>
      <w:bookmarkStart w:id="1252" w:name="f871"/>
      <w:bookmarkEnd w:id="1252"/>
      <w:r w:rsidRPr="00906B0B">
        <w:rPr>
          <w:rFonts w:ascii="Times New Roman" w:hAnsi="Times New Roman" w:cs="Times New Roman"/>
        </w:rPr>
        <w:t xml:space="preserve">Gonzales v. Workers’ Compensation Div., </w:t>
      </w:r>
      <w:hyperlink r:id="rId383" w:history="1">
        <w:r w:rsidRPr="00906B0B">
          <w:rPr>
            <w:rStyle w:val="Hyperlink"/>
            <w:rFonts w:ascii="Times New Roman" w:hAnsi="Times New Roman" w:cs="Times New Roman"/>
          </w:rPr>
          <w:t>992 P.2d 560</w:t>
        </w:r>
      </w:hyperlink>
      <w:r w:rsidRPr="00906B0B">
        <w:rPr>
          <w:rFonts w:ascii="Times New Roman" w:hAnsi="Times New Roman" w:cs="Times New Roman"/>
        </w:rPr>
        <w:t>, 562 (Wyo. 1999)</w:t>
      </w:r>
    </w:p>
  </w:footnote>
  <w:footnote w:id="912">
    <w:p w14:paraId="18984B7A" w14:textId="1DED5F19" w:rsidR="00336EDF" w:rsidRDefault="00336EDF">
      <w:pPr>
        <w:pStyle w:val="FootnoteText"/>
      </w:pPr>
      <w:r w:rsidRPr="00F42CE9">
        <w:rPr>
          <w:rStyle w:val="FootnoteReference"/>
          <w:rFonts w:ascii="Times New Roman" w:hAnsi="Times New Roman" w:cs="Times New Roman"/>
        </w:rPr>
        <w:footnoteRef/>
      </w:r>
      <w:r w:rsidRPr="00F42CE9">
        <w:rPr>
          <w:rFonts w:ascii="Times New Roman" w:hAnsi="Times New Roman" w:cs="Times New Roman"/>
        </w:rPr>
        <w:t xml:space="preserve"> </w:t>
      </w:r>
      <w:bookmarkStart w:id="1253" w:name="f872"/>
      <w:bookmarkEnd w:id="1253"/>
      <w:r w:rsidRPr="00F42CE9">
        <w:rPr>
          <w:rFonts w:ascii="Times New Roman" w:hAnsi="Times New Roman" w:cs="Times New Roman"/>
          <w:i/>
          <w:iCs/>
        </w:rPr>
        <w:t>Id</w:t>
      </w:r>
      <w:r w:rsidRPr="00F42CE9">
        <w:rPr>
          <w:rFonts w:ascii="Times New Roman" w:hAnsi="Times New Roman" w:cs="Times New Roman"/>
        </w:rPr>
        <w:t>. at 562</w:t>
      </w:r>
    </w:p>
  </w:footnote>
  <w:footnote w:id="913">
    <w:p w14:paraId="4BD32359" w14:textId="4F467C34" w:rsidR="00336EDF" w:rsidRPr="00CF207B" w:rsidRDefault="00336EDF" w:rsidP="00CF207B">
      <w:pPr>
        <w:pStyle w:val="FootnoteText"/>
        <w:jc w:val="both"/>
        <w:rPr>
          <w:rFonts w:ascii="Times New Roman" w:hAnsi="Times New Roman" w:cs="Times New Roman"/>
        </w:rPr>
      </w:pPr>
      <w:r w:rsidRPr="00CF207B">
        <w:rPr>
          <w:rStyle w:val="FootnoteReference"/>
          <w:rFonts w:ascii="Times New Roman" w:hAnsi="Times New Roman" w:cs="Times New Roman"/>
        </w:rPr>
        <w:footnoteRef/>
      </w:r>
      <w:r w:rsidRPr="00CF207B">
        <w:rPr>
          <w:rFonts w:ascii="Times New Roman" w:hAnsi="Times New Roman" w:cs="Times New Roman"/>
        </w:rPr>
        <w:t xml:space="preserve"> </w:t>
      </w:r>
      <w:bookmarkStart w:id="1254" w:name="f873"/>
      <w:bookmarkEnd w:id="1254"/>
      <w:r w:rsidRPr="00CF207B">
        <w:rPr>
          <w:rFonts w:ascii="Times New Roman" w:hAnsi="Times New Roman" w:cs="Times New Roman"/>
        </w:rPr>
        <w:t xml:space="preserve">In re Workers’ Compensation Claim of Smith, </w:t>
      </w:r>
      <w:hyperlink r:id="rId384" w:history="1">
        <w:r w:rsidRPr="00CF207B">
          <w:rPr>
            <w:rStyle w:val="Hyperlink"/>
            <w:rFonts w:ascii="Times New Roman" w:hAnsi="Times New Roman" w:cs="Times New Roman"/>
          </w:rPr>
          <w:t>121 P.3d 150</w:t>
        </w:r>
      </w:hyperlink>
      <w:r w:rsidRPr="00CF207B">
        <w:rPr>
          <w:rFonts w:ascii="Times New Roman" w:hAnsi="Times New Roman" w:cs="Times New Roman"/>
        </w:rPr>
        <w:t xml:space="preserve">, 154 (Wyo. 2005); Workers’ Safety &amp; Compensation Div. v. Gerrard, </w:t>
      </w:r>
      <w:hyperlink r:id="rId385" w:history="1">
        <w:r w:rsidRPr="00CF207B">
          <w:rPr>
            <w:rStyle w:val="Hyperlink"/>
            <w:rFonts w:ascii="Times New Roman" w:hAnsi="Times New Roman" w:cs="Times New Roman"/>
          </w:rPr>
          <w:t>17 P.3d 20</w:t>
        </w:r>
      </w:hyperlink>
      <w:r w:rsidRPr="00CF207B">
        <w:rPr>
          <w:rFonts w:ascii="Times New Roman" w:hAnsi="Times New Roman" w:cs="Times New Roman"/>
        </w:rPr>
        <w:t xml:space="preserve"> (Wyo. 2001)</w:t>
      </w:r>
    </w:p>
  </w:footnote>
  <w:footnote w:id="914">
    <w:p w14:paraId="423C47AF" w14:textId="5DA4BF88" w:rsidR="00336EDF" w:rsidRDefault="00336EDF" w:rsidP="00822004">
      <w:pPr>
        <w:pStyle w:val="FootnoteText"/>
        <w:jc w:val="both"/>
      </w:pPr>
      <w:r w:rsidRPr="00637EDF">
        <w:rPr>
          <w:rStyle w:val="FootnoteReference"/>
          <w:rFonts w:ascii="Times New Roman" w:hAnsi="Times New Roman" w:cs="Times New Roman"/>
        </w:rPr>
        <w:footnoteRef/>
      </w:r>
      <w:r>
        <w:t xml:space="preserve"> </w:t>
      </w:r>
      <w:bookmarkStart w:id="1258" w:name="f874"/>
      <w:bookmarkEnd w:id="1258"/>
      <w:r w:rsidRPr="00FA18CA">
        <w:rPr>
          <w:rFonts w:ascii="Times New Roman" w:eastAsia="Calibri" w:hAnsi="Times New Roman" w:cs="Times New Roman"/>
          <w:szCs w:val="24"/>
        </w:rPr>
        <w:t>W.S. §</w:t>
      </w:r>
      <w:r>
        <w:rPr>
          <w:rFonts w:ascii="Times New Roman" w:eastAsia="Calibri" w:hAnsi="Times New Roman" w:cs="Times New Roman"/>
          <w:szCs w:val="24"/>
        </w:rPr>
        <w:t xml:space="preserve"> </w:t>
      </w:r>
      <w:hyperlink r:id="rId386" w:history="1">
        <w:r w:rsidRPr="00FA18CA">
          <w:rPr>
            <w:rStyle w:val="Hyperlink"/>
            <w:rFonts w:ascii="Times New Roman" w:eastAsia="Calibri" w:hAnsi="Times New Roman" w:cs="Times New Roman"/>
            <w:szCs w:val="24"/>
          </w:rPr>
          <w:t>27-14-102</w:t>
        </w:r>
      </w:hyperlink>
      <w:r w:rsidRPr="00637EDF">
        <w:rPr>
          <w:rFonts w:ascii="Times New Roman" w:eastAsia="Calibri" w:hAnsi="Times New Roman" w:cs="Times New Roman"/>
          <w:szCs w:val="24"/>
        </w:rPr>
        <w:t xml:space="preserve">(a)(vi). For a succinct summary reflecting the universal use of administrative agencies in workers’ compensation adjudication see David B. Torrey, </w:t>
      </w:r>
      <w:r w:rsidRPr="00637EDF">
        <w:rPr>
          <w:rFonts w:ascii="Times New Roman" w:eastAsia="Calibri" w:hAnsi="Times New Roman" w:cs="Times New Roman"/>
          <w:i/>
          <w:szCs w:val="24"/>
        </w:rPr>
        <w:t>The Workers’ Compensation Judge and Finality of Fact-Finding Among States: Introduction and Tables</w:t>
      </w:r>
      <w:r w:rsidRPr="00637EDF">
        <w:rPr>
          <w:rFonts w:ascii="Times New Roman" w:eastAsia="Calibri" w:hAnsi="Times New Roman" w:cs="Times New Roman"/>
          <w:szCs w:val="24"/>
        </w:rPr>
        <w:t>, N</w:t>
      </w:r>
      <w:r w:rsidRPr="00637EDF">
        <w:rPr>
          <w:rFonts w:ascii="Times New Roman" w:eastAsia="Calibri" w:hAnsi="Times New Roman" w:cs="Times New Roman"/>
          <w:smallCaps/>
          <w:szCs w:val="24"/>
        </w:rPr>
        <w:t>ational</w:t>
      </w:r>
      <w:r w:rsidRPr="00637EDF">
        <w:rPr>
          <w:rFonts w:ascii="Times New Roman" w:eastAsia="Calibri" w:hAnsi="Times New Roman" w:cs="Times New Roman"/>
          <w:szCs w:val="24"/>
        </w:rPr>
        <w:t xml:space="preserve"> A</w:t>
      </w:r>
      <w:r w:rsidRPr="00637EDF">
        <w:rPr>
          <w:rFonts w:ascii="Times New Roman" w:eastAsia="Calibri" w:hAnsi="Times New Roman" w:cs="Times New Roman"/>
          <w:smallCaps/>
          <w:szCs w:val="24"/>
        </w:rPr>
        <w:t xml:space="preserve">ssociation of </w:t>
      </w:r>
      <w:r w:rsidRPr="00637EDF">
        <w:rPr>
          <w:rFonts w:ascii="Times New Roman" w:eastAsia="Calibri" w:hAnsi="Times New Roman" w:cs="Times New Roman"/>
          <w:szCs w:val="24"/>
        </w:rPr>
        <w:t>W</w:t>
      </w:r>
      <w:r w:rsidRPr="00637EDF">
        <w:rPr>
          <w:rFonts w:ascii="Times New Roman" w:eastAsia="Calibri" w:hAnsi="Times New Roman" w:cs="Times New Roman"/>
          <w:smallCaps/>
          <w:szCs w:val="24"/>
        </w:rPr>
        <w:t xml:space="preserve">orkers’ </w:t>
      </w:r>
      <w:r w:rsidRPr="00637EDF">
        <w:rPr>
          <w:rFonts w:ascii="Times New Roman" w:eastAsia="Calibri" w:hAnsi="Times New Roman" w:cs="Times New Roman"/>
          <w:szCs w:val="24"/>
        </w:rPr>
        <w:t>C</w:t>
      </w:r>
      <w:r w:rsidRPr="00637EDF">
        <w:rPr>
          <w:rFonts w:ascii="Times New Roman" w:eastAsia="Calibri" w:hAnsi="Times New Roman" w:cs="Times New Roman"/>
          <w:smallCaps/>
          <w:szCs w:val="24"/>
        </w:rPr>
        <w:t xml:space="preserve">ompensation </w:t>
      </w:r>
      <w:r w:rsidRPr="00637EDF">
        <w:rPr>
          <w:rFonts w:ascii="Times New Roman" w:eastAsia="Calibri" w:hAnsi="Times New Roman" w:cs="Times New Roman"/>
          <w:szCs w:val="24"/>
        </w:rPr>
        <w:t>J</w:t>
      </w:r>
      <w:r w:rsidRPr="00637EDF">
        <w:rPr>
          <w:rFonts w:ascii="Times New Roman" w:eastAsia="Calibri" w:hAnsi="Times New Roman" w:cs="Times New Roman"/>
          <w:smallCaps/>
          <w:szCs w:val="24"/>
        </w:rPr>
        <w:t xml:space="preserve">udiciary </w:t>
      </w:r>
      <w:r w:rsidRPr="00637EDF">
        <w:rPr>
          <w:rFonts w:ascii="Times New Roman" w:eastAsia="Calibri" w:hAnsi="Times New Roman" w:cs="Times New Roman"/>
          <w:szCs w:val="24"/>
        </w:rPr>
        <w:t>C</w:t>
      </w:r>
      <w:r w:rsidRPr="00637EDF">
        <w:rPr>
          <w:rFonts w:ascii="Times New Roman" w:eastAsia="Calibri" w:hAnsi="Times New Roman" w:cs="Times New Roman"/>
          <w:smallCaps/>
          <w:szCs w:val="24"/>
        </w:rPr>
        <w:t xml:space="preserve">omparative </w:t>
      </w:r>
      <w:r w:rsidRPr="00637EDF">
        <w:rPr>
          <w:rFonts w:ascii="Times New Roman" w:eastAsia="Calibri" w:hAnsi="Times New Roman" w:cs="Times New Roman"/>
          <w:szCs w:val="24"/>
        </w:rPr>
        <w:t>A</w:t>
      </w:r>
      <w:r w:rsidRPr="00637EDF">
        <w:rPr>
          <w:rFonts w:ascii="Times New Roman" w:eastAsia="Calibri" w:hAnsi="Times New Roman" w:cs="Times New Roman"/>
          <w:smallCaps/>
          <w:szCs w:val="24"/>
        </w:rPr>
        <w:t xml:space="preserve">djudication </w:t>
      </w:r>
      <w:r w:rsidRPr="00637EDF">
        <w:rPr>
          <w:rFonts w:ascii="Times New Roman" w:eastAsia="Calibri" w:hAnsi="Times New Roman" w:cs="Times New Roman"/>
          <w:szCs w:val="24"/>
        </w:rPr>
        <w:t>S</w:t>
      </w:r>
      <w:r w:rsidRPr="00637EDF">
        <w:rPr>
          <w:rFonts w:ascii="Times New Roman" w:eastAsia="Calibri" w:hAnsi="Times New Roman" w:cs="Times New Roman"/>
          <w:smallCaps/>
          <w:szCs w:val="24"/>
        </w:rPr>
        <w:t xml:space="preserve">ystems </w:t>
      </w:r>
      <w:r w:rsidRPr="00637EDF">
        <w:rPr>
          <w:rFonts w:ascii="Times New Roman" w:eastAsia="Calibri" w:hAnsi="Times New Roman" w:cs="Times New Roman"/>
          <w:szCs w:val="24"/>
        </w:rPr>
        <w:t>P</w:t>
      </w:r>
      <w:r w:rsidRPr="00637EDF">
        <w:rPr>
          <w:rFonts w:ascii="Times New Roman" w:eastAsia="Calibri" w:hAnsi="Times New Roman" w:cs="Times New Roman"/>
          <w:smallCaps/>
          <w:szCs w:val="24"/>
        </w:rPr>
        <w:t xml:space="preserve">roject, </w:t>
      </w:r>
      <w:r w:rsidRPr="00637EDF">
        <w:rPr>
          <w:rFonts w:ascii="Times New Roman" w:eastAsia="Calibri" w:hAnsi="Times New Roman" w:cs="Times New Roman"/>
          <w:szCs w:val="24"/>
        </w:rPr>
        <w:t xml:space="preserve">Tables 1 and 2 </w:t>
      </w:r>
      <w:r w:rsidRPr="00637EDF">
        <w:rPr>
          <w:rFonts w:ascii="Times New Roman" w:eastAsia="Calibri" w:hAnsi="Times New Roman" w:cs="Times New Roman"/>
          <w:smallCaps/>
          <w:szCs w:val="24"/>
        </w:rPr>
        <w:t>(</w:t>
      </w:r>
      <w:r w:rsidRPr="00637EDF">
        <w:rPr>
          <w:rFonts w:ascii="Times New Roman" w:eastAsia="Calibri" w:hAnsi="Times New Roman" w:cs="Times New Roman"/>
          <w:szCs w:val="24"/>
        </w:rPr>
        <w:t xml:space="preserve">2012) </w:t>
      </w:r>
      <w:r w:rsidRPr="00637EDF">
        <w:rPr>
          <w:rFonts w:ascii="Times New Roman" w:eastAsia="Calibri" w:hAnsi="Times New Roman" w:cs="Times New Roman"/>
          <w:i/>
          <w:szCs w:val="24"/>
        </w:rPr>
        <w:t>available at</w:t>
      </w:r>
      <w:r w:rsidRPr="00637EDF">
        <w:rPr>
          <w:rFonts w:ascii="Times New Roman" w:eastAsia="Calibri" w:hAnsi="Times New Roman" w:cs="Times New Roman"/>
          <w:szCs w:val="24"/>
        </w:rPr>
        <w:t xml:space="preserve"> </w:t>
      </w:r>
      <w:hyperlink r:id="rId387" w:history="1">
        <w:r w:rsidRPr="00637EDF">
          <w:rPr>
            <w:rFonts w:ascii="Times New Roman" w:eastAsia="Calibri" w:hAnsi="Times New Roman" w:cs="Times New Roman"/>
            <w:color w:val="0000FF"/>
            <w:szCs w:val="24"/>
            <w:u w:val="single"/>
          </w:rPr>
          <w:t>http://www.davetorrey.info</w:t>
        </w:r>
      </w:hyperlink>
      <w:r w:rsidRPr="00637EDF">
        <w:rPr>
          <w:rFonts w:ascii="Times New Roman" w:eastAsia="Calibri" w:hAnsi="Times New Roman" w:cs="Times New Roman"/>
          <w:szCs w:val="24"/>
        </w:rPr>
        <w:t xml:space="preserve">. Since Judge Torrey’s summary, Tennessee, possessing one of the last two court-based systems, has transitioned to an administrative agency based system. Only Alabama remains as a court-based system; see also David B. Torrey, </w:t>
      </w:r>
      <w:r w:rsidRPr="00637EDF">
        <w:rPr>
          <w:rFonts w:ascii="Times New Roman" w:eastAsia="Calibri" w:hAnsi="Times New Roman" w:cs="Times New Roman"/>
          <w:i/>
          <w:szCs w:val="24"/>
        </w:rPr>
        <w:t>Master or Chancellor? The Workers’ Compensation Judge and Adjudicatory Power</w:t>
      </w:r>
      <w:r w:rsidRPr="00637EDF">
        <w:rPr>
          <w:rFonts w:ascii="Times New Roman" w:eastAsia="Calibri" w:hAnsi="Times New Roman" w:cs="Times New Roman"/>
          <w:szCs w:val="24"/>
        </w:rPr>
        <w:t>, 32 J. N</w:t>
      </w:r>
      <w:r w:rsidRPr="00637EDF">
        <w:rPr>
          <w:rFonts w:ascii="Times New Roman" w:eastAsia="Calibri" w:hAnsi="Times New Roman" w:cs="Times New Roman"/>
          <w:smallCaps/>
          <w:szCs w:val="24"/>
        </w:rPr>
        <w:t>at</w:t>
      </w:r>
      <w:r w:rsidRPr="00637EDF">
        <w:rPr>
          <w:rFonts w:ascii="Times New Roman" w:eastAsia="Calibri" w:hAnsi="Times New Roman" w:cs="Times New Roman"/>
          <w:szCs w:val="24"/>
        </w:rPr>
        <w:t>. A</w:t>
      </w:r>
      <w:r w:rsidRPr="00637EDF">
        <w:rPr>
          <w:rFonts w:ascii="Times New Roman" w:eastAsia="Calibri" w:hAnsi="Times New Roman" w:cs="Times New Roman"/>
          <w:smallCaps/>
          <w:szCs w:val="24"/>
        </w:rPr>
        <w:t>ssoc</w:t>
      </w:r>
      <w:r w:rsidRPr="00637EDF">
        <w:rPr>
          <w:rFonts w:ascii="Times New Roman" w:eastAsia="Calibri" w:hAnsi="Times New Roman" w:cs="Times New Roman"/>
          <w:szCs w:val="24"/>
        </w:rPr>
        <w:t xml:space="preserve">. </w:t>
      </w:r>
      <w:r w:rsidRPr="00637EDF">
        <w:rPr>
          <w:rFonts w:ascii="Times New Roman" w:eastAsia="Calibri" w:hAnsi="Times New Roman" w:cs="Times New Roman"/>
          <w:smallCaps/>
          <w:szCs w:val="24"/>
        </w:rPr>
        <w:t>of</w:t>
      </w:r>
      <w:r w:rsidRPr="00637EDF">
        <w:rPr>
          <w:rFonts w:ascii="Times New Roman" w:eastAsia="Calibri" w:hAnsi="Times New Roman" w:cs="Times New Roman"/>
          <w:szCs w:val="24"/>
        </w:rPr>
        <w:t xml:space="preserve"> A</w:t>
      </w:r>
      <w:r w:rsidRPr="00637EDF">
        <w:rPr>
          <w:rFonts w:ascii="Times New Roman" w:eastAsia="Calibri" w:hAnsi="Times New Roman" w:cs="Times New Roman"/>
          <w:smallCaps/>
          <w:szCs w:val="24"/>
        </w:rPr>
        <w:t>dmin</w:t>
      </w:r>
      <w:r w:rsidRPr="00637EDF">
        <w:rPr>
          <w:rFonts w:ascii="Times New Roman" w:eastAsia="Calibri" w:hAnsi="Times New Roman" w:cs="Times New Roman"/>
          <w:szCs w:val="24"/>
        </w:rPr>
        <w:t>. L</w:t>
      </w:r>
      <w:r w:rsidRPr="00637EDF">
        <w:rPr>
          <w:rFonts w:ascii="Times New Roman" w:eastAsia="Calibri" w:hAnsi="Times New Roman" w:cs="Times New Roman"/>
          <w:smallCaps/>
          <w:szCs w:val="24"/>
        </w:rPr>
        <w:t>aw</w:t>
      </w:r>
      <w:r w:rsidRPr="00637EDF">
        <w:rPr>
          <w:rFonts w:ascii="Times New Roman" w:eastAsia="Calibri" w:hAnsi="Times New Roman" w:cs="Times New Roman"/>
          <w:szCs w:val="24"/>
        </w:rPr>
        <w:t xml:space="preserve"> J</w:t>
      </w:r>
      <w:r w:rsidRPr="00637EDF">
        <w:rPr>
          <w:rFonts w:ascii="Times New Roman" w:eastAsia="Calibri" w:hAnsi="Times New Roman" w:cs="Times New Roman"/>
          <w:smallCaps/>
          <w:szCs w:val="24"/>
        </w:rPr>
        <w:t>udiciary</w:t>
      </w:r>
      <w:r w:rsidRPr="00637EDF">
        <w:rPr>
          <w:rFonts w:ascii="Times New Roman" w:eastAsia="Calibri" w:hAnsi="Times New Roman" w:cs="Times New Roman"/>
          <w:szCs w:val="24"/>
        </w:rPr>
        <w:t xml:space="preserve"> 23, 35 (2012).</w:t>
      </w:r>
    </w:p>
  </w:footnote>
  <w:footnote w:id="915">
    <w:p w14:paraId="1B581FA5" w14:textId="7DB3FF09" w:rsidR="00336EDF" w:rsidRDefault="00336EDF" w:rsidP="00626CA0">
      <w:pPr>
        <w:pStyle w:val="FootnoteText"/>
      </w:pPr>
      <w:r w:rsidRPr="00822004">
        <w:rPr>
          <w:rStyle w:val="FootnoteReference"/>
          <w:rFonts w:ascii="Times New Roman" w:hAnsi="Times New Roman" w:cs="Times New Roman"/>
        </w:rPr>
        <w:footnoteRef/>
      </w:r>
      <w:r>
        <w:t xml:space="preserve"> </w:t>
      </w:r>
      <w:bookmarkStart w:id="1259" w:name="f875"/>
      <w:bookmarkEnd w:id="1259"/>
      <w:r w:rsidRPr="00626CA0">
        <w:rPr>
          <w:rFonts w:ascii="Times New Roman" w:hAnsi="Times New Roman" w:cs="Times New Roman"/>
        </w:rPr>
        <w:t xml:space="preserve">12 </w:t>
      </w:r>
      <w:r w:rsidRPr="00822004">
        <w:rPr>
          <w:rFonts w:ascii="Times New Roman" w:eastAsia="Calibri" w:hAnsi="Times New Roman" w:cs="Times New Roman"/>
        </w:rPr>
        <w:t>L</w:t>
      </w:r>
      <w:r w:rsidRPr="00822004">
        <w:rPr>
          <w:rFonts w:ascii="Times New Roman" w:eastAsia="Calibri" w:hAnsi="Times New Roman" w:cs="Times New Roman"/>
          <w:smallCaps/>
        </w:rPr>
        <w:t>arson’s</w:t>
      </w:r>
      <w:r w:rsidRPr="00822004">
        <w:rPr>
          <w:rFonts w:ascii="Times New Roman" w:eastAsia="Calibri" w:hAnsi="Times New Roman" w:cs="Times New Roman"/>
        </w:rPr>
        <w:t xml:space="preserve"> </w:t>
      </w:r>
      <w:r w:rsidRPr="00626CA0">
        <w:rPr>
          <w:rFonts w:ascii="Times New Roman" w:eastAsia="Calibri" w:hAnsi="Times New Roman" w:cs="Times New Roman"/>
          <w:smallCaps/>
        </w:rPr>
        <w:t>Workers’ Compensation Law</w:t>
      </w:r>
      <w:r w:rsidRPr="00822004">
        <w:rPr>
          <w:rFonts w:ascii="Times New Roman" w:eastAsia="Calibri" w:hAnsi="Times New Roman" w:cs="Times New Roman"/>
        </w:rPr>
        <w:t xml:space="preserve"> §130.01; W.</w:t>
      </w:r>
      <w:r>
        <w:rPr>
          <w:rFonts w:ascii="Times New Roman" w:eastAsia="Calibri" w:hAnsi="Times New Roman" w:cs="Times New Roman"/>
        </w:rPr>
        <w:t>S.</w:t>
      </w:r>
      <w:r w:rsidRPr="00822004">
        <w:rPr>
          <w:rFonts w:ascii="Times New Roman" w:eastAsia="Calibri" w:hAnsi="Times New Roman" w:cs="Times New Roman"/>
        </w:rPr>
        <w:t xml:space="preserve"> §</w:t>
      </w:r>
      <w:r>
        <w:rPr>
          <w:rFonts w:ascii="Times New Roman" w:eastAsia="Calibri" w:hAnsi="Times New Roman" w:cs="Times New Roman"/>
        </w:rPr>
        <w:t xml:space="preserve"> </w:t>
      </w:r>
      <w:hyperlink r:id="rId388" w:history="1">
        <w:r w:rsidRPr="00FA18CA">
          <w:rPr>
            <w:rStyle w:val="Hyperlink"/>
            <w:rFonts w:ascii="Times New Roman" w:eastAsia="Calibri" w:hAnsi="Times New Roman" w:cs="Times New Roman"/>
          </w:rPr>
          <w:t>16-3-114</w:t>
        </w:r>
      </w:hyperlink>
      <w:r w:rsidRPr="00822004">
        <w:rPr>
          <w:rFonts w:ascii="Times New Roman" w:eastAsia="Calibri" w:hAnsi="Times New Roman" w:cs="Times New Roman"/>
        </w:rPr>
        <w:t>(c)(ii)(E)</w:t>
      </w:r>
    </w:p>
  </w:footnote>
  <w:footnote w:id="916">
    <w:p w14:paraId="7925498A" w14:textId="04EB9F4E" w:rsidR="00336EDF" w:rsidRDefault="00336EDF">
      <w:pPr>
        <w:pStyle w:val="FootnoteText"/>
      </w:pPr>
      <w:r w:rsidRPr="00C46251">
        <w:rPr>
          <w:rStyle w:val="FootnoteReference"/>
          <w:rFonts w:ascii="Times New Roman" w:hAnsi="Times New Roman" w:cs="Times New Roman"/>
        </w:rPr>
        <w:footnoteRef/>
      </w:r>
      <w:r>
        <w:t xml:space="preserve"> </w:t>
      </w:r>
      <w:bookmarkStart w:id="1260" w:name="f876"/>
      <w:bookmarkEnd w:id="1260"/>
      <w:r w:rsidRPr="00C46251">
        <w:rPr>
          <w:rFonts w:ascii="Times New Roman" w:hAnsi="Times New Roman" w:cs="Times New Roman"/>
        </w:rPr>
        <w:t>Under the Federal Administrative Procedure Act, 5 U.S.C. § 706(2), for example, courts shall:</w:t>
      </w:r>
    </w:p>
    <w:p w14:paraId="18364869" w14:textId="35699FF6" w:rsidR="00336EDF" w:rsidRPr="00C46251" w:rsidRDefault="00336EDF" w:rsidP="00C46251">
      <w:pPr>
        <w:pStyle w:val="FootnoteText"/>
        <w:ind w:left="720" w:right="720"/>
        <w:jc w:val="both"/>
        <w:rPr>
          <w:rFonts w:ascii="Times New Roman" w:hAnsi="Times New Roman" w:cs="Times New Roman"/>
        </w:rPr>
      </w:pPr>
      <w:r w:rsidRPr="00776B46">
        <w:rPr>
          <w:rFonts w:ascii="Times New Roman" w:hAnsi="Times New Roman" w:cs="Times New Roman"/>
        </w:rPr>
        <w:t>(2)</w:t>
      </w:r>
      <w:r>
        <w:rPr>
          <w:rFonts w:ascii="Times New Roman" w:hAnsi="Times New Roman" w:cs="Times New Roman"/>
          <w:b/>
          <w:bCs/>
        </w:rPr>
        <w:t xml:space="preserve"> </w:t>
      </w:r>
      <w:r w:rsidRPr="00776B46">
        <w:rPr>
          <w:rFonts w:ascii="Times New Roman" w:hAnsi="Times New Roman" w:cs="Times New Roman"/>
        </w:rPr>
        <w:t>hold unlawful and set aside agency action, findings, and conclusions found to be—</w:t>
      </w:r>
    </w:p>
    <w:p w14:paraId="7E069A69" w14:textId="6E0E22E6" w:rsidR="00336EDF" w:rsidRPr="00776B46" w:rsidRDefault="00336EDF" w:rsidP="00C46251">
      <w:pPr>
        <w:pStyle w:val="FootnoteText"/>
        <w:ind w:left="720" w:right="720"/>
        <w:jc w:val="both"/>
        <w:rPr>
          <w:rFonts w:ascii="Times New Roman" w:hAnsi="Times New Roman" w:cs="Times New Roman"/>
        </w:rPr>
      </w:pPr>
      <w:bookmarkStart w:id="1261" w:name="2_A"/>
      <w:bookmarkEnd w:id="1261"/>
      <w:r w:rsidRPr="00776B46">
        <w:rPr>
          <w:rFonts w:ascii="Times New Roman" w:hAnsi="Times New Roman" w:cs="Times New Roman"/>
        </w:rPr>
        <w:t>(A)</w:t>
      </w:r>
      <w:r w:rsidRPr="00C46251">
        <w:rPr>
          <w:rFonts w:ascii="Times New Roman" w:hAnsi="Times New Roman" w:cs="Times New Roman"/>
        </w:rPr>
        <w:t xml:space="preserve"> </w:t>
      </w:r>
      <w:r w:rsidRPr="00776B46">
        <w:rPr>
          <w:rFonts w:ascii="Times New Roman" w:hAnsi="Times New Roman" w:cs="Times New Roman"/>
        </w:rPr>
        <w:t>arbitrary, capricious, an abuse of discretion, or otherwise not in accordance with law;</w:t>
      </w:r>
    </w:p>
    <w:p w14:paraId="6DE98564" w14:textId="3987405A" w:rsidR="00336EDF" w:rsidRPr="00776B46" w:rsidRDefault="00336EDF" w:rsidP="00C46251">
      <w:pPr>
        <w:pStyle w:val="FootnoteText"/>
        <w:ind w:left="720" w:right="720"/>
        <w:jc w:val="both"/>
        <w:rPr>
          <w:rFonts w:ascii="Times New Roman" w:hAnsi="Times New Roman" w:cs="Times New Roman"/>
        </w:rPr>
      </w:pPr>
      <w:bookmarkStart w:id="1262" w:name="2_B"/>
      <w:bookmarkEnd w:id="1262"/>
      <w:r w:rsidRPr="00776B46">
        <w:rPr>
          <w:rFonts w:ascii="Times New Roman" w:hAnsi="Times New Roman" w:cs="Times New Roman"/>
        </w:rPr>
        <w:t>(B)</w:t>
      </w:r>
      <w:r w:rsidRPr="00C46251">
        <w:rPr>
          <w:rFonts w:ascii="Times New Roman" w:hAnsi="Times New Roman" w:cs="Times New Roman"/>
        </w:rPr>
        <w:t xml:space="preserve"> </w:t>
      </w:r>
      <w:r w:rsidRPr="00776B46">
        <w:rPr>
          <w:rFonts w:ascii="Times New Roman" w:hAnsi="Times New Roman" w:cs="Times New Roman"/>
        </w:rPr>
        <w:t>contrary to constitutional right, power, privilege, or immunity;</w:t>
      </w:r>
    </w:p>
    <w:p w14:paraId="093E57BE" w14:textId="224C72EB" w:rsidR="00336EDF" w:rsidRPr="00776B46" w:rsidRDefault="00336EDF" w:rsidP="00C46251">
      <w:pPr>
        <w:pStyle w:val="FootnoteText"/>
        <w:ind w:left="720" w:right="720"/>
        <w:jc w:val="both"/>
        <w:rPr>
          <w:rFonts w:ascii="Times New Roman" w:hAnsi="Times New Roman" w:cs="Times New Roman"/>
        </w:rPr>
      </w:pPr>
      <w:bookmarkStart w:id="1263" w:name="2_C"/>
      <w:bookmarkEnd w:id="1263"/>
      <w:r w:rsidRPr="00776B46">
        <w:rPr>
          <w:rFonts w:ascii="Times New Roman" w:hAnsi="Times New Roman" w:cs="Times New Roman"/>
        </w:rPr>
        <w:t>(C)</w:t>
      </w:r>
      <w:r w:rsidRPr="00C46251">
        <w:rPr>
          <w:rFonts w:ascii="Times New Roman" w:hAnsi="Times New Roman" w:cs="Times New Roman"/>
        </w:rPr>
        <w:t xml:space="preserve"> </w:t>
      </w:r>
      <w:r w:rsidRPr="00776B46">
        <w:rPr>
          <w:rFonts w:ascii="Times New Roman" w:hAnsi="Times New Roman" w:cs="Times New Roman"/>
        </w:rPr>
        <w:t>in excess of statutory jurisdiction, authority, or limitations, or short of statutory right;</w:t>
      </w:r>
    </w:p>
    <w:p w14:paraId="4648F0FE" w14:textId="05D12B60" w:rsidR="00336EDF" w:rsidRPr="00776B46" w:rsidRDefault="00336EDF" w:rsidP="00C46251">
      <w:pPr>
        <w:pStyle w:val="FootnoteText"/>
        <w:ind w:left="720" w:right="720"/>
        <w:jc w:val="both"/>
        <w:rPr>
          <w:rFonts w:ascii="Times New Roman" w:hAnsi="Times New Roman" w:cs="Times New Roman"/>
        </w:rPr>
      </w:pPr>
      <w:bookmarkStart w:id="1264" w:name="2_D"/>
      <w:bookmarkEnd w:id="1264"/>
      <w:r w:rsidRPr="00776B46">
        <w:rPr>
          <w:rFonts w:ascii="Times New Roman" w:hAnsi="Times New Roman" w:cs="Times New Roman"/>
        </w:rPr>
        <w:t>(D)</w:t>
      </w:r>
      <w:r w:rsidRPr="00C46251">
        <w:rPr>
          <w:rFonts w:ascii="Times New Roman" w:hAnsi="Times New Roman" w:cs="Times New Roman"/>
        </w:rPr>
        <w:t xml:space="preserve"> </w:t>
      </w:r>
      <w:r w:rsidRPr="00776B46">
        <w:rPr>
          <w:rFonts w:ascii="Times New Roman" w:hAnsi="Times New Roman" w:cs="Times New Roman"/>
        </w:rPr>
        <w:t>without observance of procedure required by law;</w:t>
      </w:r>
    </w:p>
    <w:p w14:paraId="22BB07FA" w14:textId="26B3F8C1" w:rsidR="00336EDF" w:rsidRPr="00776B46" w:rsidRDefault="00336EDF" w:rsidP="00C46251">
      <w:pPr>
        <w:pStyle w:val="FootnoteText"/>
        <w:ind w:left="720" w:right="720"/>
        <w:jc w:val="both"/>
        <w:rPr>
          <w:rFonts w:ascii="Times New Roman" w:hAnsi="Times New Roman" w:cs="Times New Roman"/>
        </w:rPr>
      </w:pPr>
      <w:bookmarkStart w:id="1265" w:name="2_E"/>
      <w:bookmarkEnd w:id="1265"/>
      <w:r w:rsidRPr="00776B46">
        <w:rPr>
          <w:rFonts w:ascii="Times New Roman" w:hAnsi="Times New Roman" w:cs="Times New Roman"/>
        </w:rPr>
        <w:t>(E)</w:t>
      </w:r>
      <w:r w:rsidRPr="00C46251">
        <w:rPr>
          <w:rFonts w:ascii="Times New Roman" w:hAnsi="Times New Roman" w:cs="Times New Roman"/>
        </w:rPr>
        <w:t xml:space="preserve"> </w:t>
      </w:r>
      <w:r w:rsidRPr="00776B46">
        <w:rPr>
          <w:rFonts w:ascii="Times New Roman" w:hAnsi="Times New Roman" w:cs="Times New Roman"/>
        </w:rPr>
        <w:t>unsupported by substantial evidence in a case subject to sections 556 and 557 of this title or otherwise reviewed on the record of an agency hearing provided by statute; or</w:t>
      </w:r>
    </w:p>
    <w:p w14:paraId="42D8F1FE" w14:textId="7DDF7788" w:rsidR="00336EDF" w:rsidRDefault="00336EDF" w:rsidP="00C46251">
      <w:pPr>
        <w:pStyle w:val="FootnoteText"/>
        <w:ind w:left="720" w:right="720"/>
        <w:jc w:val="both"/>
      </w:pPr>
      <w:bookmarkStart w:id="1266" w:name="2_F"/>
      <w:bookmarkEnd w:id="1266"/>
      <w:r w:rsidRPr="00776B46">
        <w:rPr>
          <w:rFonts w:ascii="Times New Roman" w:hAnsi="Times New Roman" w:cs="Times New Roman"/>
        </w:rPr>
        <w:t>(F)</w:t>
      </w:r>
      <w:r w:rsidRPr="00C46251">
        <w:rPr>
          <w:rFonts w:ascii="Times New Roman" w:hAnsi="Times New Roman" w:cs="Times New Roman"/>
        </w:rPr>
        <w:t xml:space="preserve"> </w:t>
      </w:r>
      <w:r w:rsidRPr="00776B46">
        <w:rPr>
          <w:rFonts w:ascii="Times New Roman" w:hAnsi="Times New Roman" w:cs="Times New Roman"/>
        </w:rPr>
        <w:t>unwarranted by the facts to the extent that the facts are subject to trial de novo by the reviewing court.</w:t>
      </w:r>
    </w:p>
  </w:footnote>
  <w:footnote w:id="917">
    <w:p w14:paraId="02504315" w14:textId="00F99F29" w:rsidR="00336EDF" w:rsidRDefault="00336EDF" w:rsidP="00776B46">
      <w:pPr>
        <w:pStyle w:val="FootnoteText"/>
        <w:jc w:val="both"/>
      </w:pPr>
      <w:r w:rsidRPr="00776B46">
        <w:rPr>
          <w:rStyle w:val="FootnoteReference"/>
          <w:rFonts w:ascii="Times New Roman" w:hAnsi="Times New Roman" w:cs="Times New Roman"/>
        </w:rPr>
        <w:footnoteRef/>
      </w:r>
      <w:r w:rsidRPr="00776B46">
        <w:rPr>
          <w:rFonts w:ascii="Times New Roman" w:hAnsi="Times New Roman" w:cs="Times New Roman"/>
        </w:rPr>
        <w:t xml:space="preserve"> </w:t>
      </w:r>
      <w:bookmarkStart w:id="1267" w:name="f877"/>
      <w:bookmarkEnd w:id="1267"/>
      <w:r w:rsidRPr="00776B46">
        <w:rPr>
          <w:rFonts w:ascii="Times New Roman" w:eastAsia="Calibri" w:hAnsi="Times New Roman" w:cs="Times New Roman"/>
          <w:i/>
        </w:rPr>
        <w:t>See e.g</w:t>
      </w:r>
      <w:r w:rsidRPr="00776B46">
        <w:rPr>
          <w:rFonts w:ascii="Times New Roman" w:eastAsia="Calibri" w:hAnsi="Times New Roman" w:cs="Times New Roman"/>
        </w:rPr>
        <w:t xml:space="preserve">. Price v. Department of Workforce Services, Workers’ Compensation Division, </w:t>
      </w:r>
      <w:hyperlink r:id="rId389" w:history="1">
        <w:r w:rsidRPr="00776B46">
          <w:rPr>
            <w:rStyle w:val="Hyperlink"/>
            <w:rFonts w:ascii="Times New Roman" w:eastAsia="Calibri" w:hAnsi="Times New Roman" w:cs="Times New Roman"/>
          </w:rPr>
          <w:t>388 P.3d 786</w:t>
        </w:r>
      </w:hyperlink>
      <w:r w:rsidRPr="00776B46">
        <w:rPr>
          <w:rFonts w:ascii="Times New Roman" w:eastAsia="Calibri" w:hAnsi="Times New Roman" w:cs="Times New Roman"/>
        </w:rPr>
        <w:t xml:space="preserve">, 789-90 (2017) (“Substantial evidence means ‘such relevant evidence as a reasonable mind might accept as adequate to support a conclusion.’”); this formulation of the rule is commonly ascribed to the Supreme Court’s opinion in Consolidated Edison Co. v. NLRB, </w:t>
      </w:r>
      <w:hyperlink r:id="rId390" w:history="1">
        <w:r w:rsidRPr="00776B46">
          <w:rPr>
            <w:rStyle w:val="Hyperlink"/>
            <w:rFonts w:ascii="Times New Roman" w:eastAsia="Calibri" w:hAnsi="Times New Roman" w:cs="Times New Roman"/>
          </w:rPr>
          <w:t>305 U.S. 197</w:t>
        </w:r>
      </w:hyperlink>
      <w:r w:rsidRPr="00776B46">
        <w:rPr>
          <w:rFonts w:ascii="Times New Roman" w:eastAsia="Calibri" w:hAnsi="Times New Roman" w:cs="Times New Roman"/>
        </w:rPr>
        <w:t>, 229 (1938)</w:t>
      </w:r>
    </w:p>
  </w:footnote>
  <w:footnote w:id="918">
    <w:p w14:paraId="32C675E3" w14:textId="0CBCECF8" w:rsidR="00336EDF" w:rsidRDefault="00336EDF" w:rsidP="005732A7">
      <w:pPr>
        <w:pStyle w:val="FootnoteText"/>
        <w:jc w:val="both"/>
      </w:pPr>
      <w:r w:rsidRPr="005732A7">
        <w:rPr>
          <w:rStyle w:val="FootnoteReference"/>
          <w:rFonts w:ascii="Times New Roman" w:hAnsi="Times New Roman" w:cs="Times New Roman"/>
        </w:rPr>
        <w:footnoteRef/>
      </w:r>
      <w:r>
        <w:t xml:space="preserve"> </w:t>
      </w:r>
      <w:bookmarkStart w:id="1268" w:name="f878"/>
      <w:bookmarkEnd w:id="1268"/>
      <w:r w:rsidRPr="0070778C">
        <w:rPr>
          <w:rFonts w:ascii="Times New Roman" w:hAnsi="Times New Roman" w:cs="Times New Roman"/>
        </w:rPr>
        <w:t xml:space="preserve">Michael C. </w:t>
      </w:r>
      <w:bookmarkStart w:id="1269" w:name="_Hlk13668926"/>
      <w:r w:rsidRPr="0070778C">
        <w:rPr>
          <w:rFonts w:ascii="Times New Roman" w:hAnsi="Times New Roman" w:cs="Times New Roman"/>
        </w:rPr>
        <w:t xml:space="preserve">Duff, </w:t>
      </w:r>
      <w:r w:rsidRPr="0070778C">
        <w:rPr>
          <w:rFonts w:ascii="Times New Roman" w:hAnsi="Times New Roman" w:cs="Times New Roman"/>
          <w:i/>
        </w:rPr>
        <w:t>A Tale of Two Standards</w:t>
      </w:r>
      <w:r w:rsidRPr="0070778C">
        <w:rPr>
          <w:rFonts w:ascii="Times New Roman" w:hAnsi="Times New Roman" w:cs="Times New Roman"/>
        </w:rPr>
        <w:t xml:space="preserve">, </w:t>
      </w:r>
      <w:hyperlink r:id="rId391" w:history="1">
        <w:r w:rsidRPr="000F792D">
          <w:rPr>
            <w:rStyle w:val="Hyperlink"/>
            <w:rFonts w:ascii="Times New Roman" w:hAnsi="Times New Roman" w:cs="Times New Roman"/>
          </w:rPr>
          <w:t xml:space="preserve">18 </w:t>
        </w:r>
        <w:r w:rsidRPr="000F792D">
          <w:rPr>
            <w:rStyle w:val="Hyperlink"/>
            <w:rFonts w:ascii="Times New Roman" w:hAnsi="Times New Roman" w:cs="Times New Roman"/>
            <w:smallCaps/>
          </w:rPr>
          <w:t>Wyo. L. Rev</w:t>
        </w:r>
        <w:r w:rsidRPr="000F792D">
          <w:rPr>
            <w:rStyle w:val="Hyperlink"/>
            <w:rFonts w:ascii="Times New Roman" w:hAnsi="Times New Roman" w:cs="Times New Roman"/>
          </w:rPr>
          <w:t xml:space="preserve"> 1</w:t>
        </w:r>
      </w:hyperlink>
      <w:r w:rsidRPr="0070778C">
        <w:rPr>
          <w:rFonts w:ascii="Times New Roman" w:hAnsi="Times New Roman" w:cs="Times New Roman"/>
        </w:rPr>
        <w:t xml:space="preserve">, </w:t>
      </w:r>
      <w:r>
        <w:rPr>
          <w:rFonts w:ascii="Times New Roman" w:hAnsi="Times New Roman" w:cs="Times New Roman"/>
        </w:rPr>
        <w:t>19-20</w:t>
      </w:r>
      <w:r w:rsidRPr="0070778C">
        <w:rPr>
          <w:rFonts w:ascii="Times New Roman" w:hAnsi="Times New Roman" w:cs="Times New Roman"/>
        </w:rPr>
        <w:t xml:space="preserve"> (2018)</w:t>
      </w:r>
      <w:bookmarkEnd w:id="1269"/>
    </w:p>
  </w:footnote>
  <w:footnote w:id="919">
    <w:p w14:paraId="377131B9" w14:textId="6AAA3DE5" w:rsidR="00336EDF" w:rsidRPr="005732A7" w:rsidRDefault="00336EDF">
      <w:pPr>
        <w:pStyle w:val="FootnoteText"/>
        <w:rPr>
          <w:rFonts w:ascii="Times New Roman" w:hAnsi="Times New Roman" w:cs="Times New Roman"/>
        </w:rPr>
      </w:pPr>
      <w:r w:rsidRPr="005732A7">
        <w:rPr>
          <w:rStyle w:val="FootnoteReference"/>
          <w:rFonts w:ascii="Times New Roman" w:hAnsi="Times New Roman" w:cs="Times New Roman"/>
        </w:rPr>
        <w:footnoteRef/>
      </w:r>
      <w:r w:rsidRPr="005732A7">
        <w:rPr>
          <w:rFonts w:ascii="Times New Roman" w:hAnsi="Times New Roman" w:cs="Times New Roman"/>
        </w:rPr>
        <w:t xml:space="preserve"> </w:t>
      </w:r>
      <w:bookmarkStart w:id="1271" w:name="f879"/>
      <w:bookmarkEnd w:id="1271"/>
      <w:r>
        <w:rPr>
          <w:rFonts w:ascii="Times New Roman" w:hAnsi="Times New Roman" w:cs="Times New Roman"/>
        </w:rPr>
        <w:t xml:space="preserve">W.S. § </w:t>
      </w:r>
      <w:hyperlink r:id="rId392" w:history="1">
        <w:r w:rsidRPr="00FA18CA">
          <w:rPr>
            <w:rStyle w:val="Hyperlink"/>
            <w:rFonts w:ascii="Times New Roman" w:hAnsi="Times New Roman" w:cs="Times New Roman"/>
          </w:rPr>
          <w:t>16-3-114</w:t>
        </w:r>
      </w:hyperlink>
      <w:r>
        <w:rPr>
          <w:rFonts w:ascii="Times New Roman" w:hAnsi="Times New Roman" w:cs="Times New Roman"/>
        </w:rPr>
        <w:t>(a)</w:t>
      </w:r>
    </w:p>
  </w:footnote>
  <w:footnote w:id="920">
    <w:p w14:paraId="3587BFC8" w14:textId="0ADBC83E" w:rsidR="00336EDF" w:rsidRDefault="00336EDF">
      <w:pPr>
        <w:pStyle w:val="FootnoteText"/>
      </w:pPr>
      <w:r w:rsidRPr="00271B4D">
        <w:rPr>
          <w:rStyle w:val="FootnoteReference"/>
          <w:rFonts w:ascii="Times New Roman" w:hAnsi="Times New Roman" w:cs="Times New Roman"/>
        </w:rPr>
        <w:footnoteRef/>
      </w:r>
      <w:r w:rsidRPr="00271B4D">
        <w:rPr>
          <w:rFonts w:ascii="Times New Roman" w:hAnsi="Times New Roman" w:cs="Times New Roman"/>
        </w:rPr>
        <w:t xml:space="preserve"> </w:t>
      </w:r>
      <w:bookmarkStart w:id="1275" w:name="f880"/>
      <w:bookmarkEnd w:id="1275"/>
      <w:r w:rsidRPr="00271B4D">
        <w:rPr>
          <w:rFonts w:ascii="Times New Roman" w:hAnsi="Times New Roman" w:cs="Times New Roman"/>
          <w:i/>
          <w:iCs/>
        </w:rPr>
        <w:t>See supra</w:t>
      </w:r>
      <w:r w:rsidRPr="00271B4D">
        <w:rPr>
          <w:rFonts w:ascii="Times New Roman" w:hAnsi="Times New Roman" w:cs="Times New Roman"/>
        </w:rPr>
        <w:t xml:space="preserve">. </w:t>
      </w:r>
    </w:p>
  </w:footnote>
  <w:footnote w:id="921">
    <w:p w14:paraId="554FA0EE" w14:textId="0976A0A2" w:rsidR="00336EDF" w:rsidRDefault="00336EDF">
      <w:pPr>
        <w:pStyle w:val="FootnoteText"/>
      </w:pPr>
      <w:r w:rsidRPr="00271B4D">
        <w:rPr>
          <w:rStyle w:val="FootnoteReference"/>
          <w:rFonts w:ascii="Times New Roman" w:hAnsi="Times New Roman" w:cs="Times New Roman"/>
        </w:rPr>
        <w:footnoteRef/>
      </w:r>
      <w:r>
        <w:t xml:space="preserve"> </w:t>
      </w:r>
      <w:bookmarkStart w:id="1276" w:name="f881"/>
      <w:bookmarkEnd w:id="1276"/>
      <w:r w:rsidRPr="00271B4D">
        <w:rPr>
          <w:rFonts w:ascii="Times New Roman" w:hAnsi="Times New Roman" w:cs="Times New Roman"/>
        </w:rPr>
        <w:t xml:space="preserve">Torres v. Workers’ Safety &amp; Compensation Div., </w:t>
      </w:r>
      <w:hyperlink r:id="rId393" w:history="1">
        <w:r w:rsidRPr="00271B4D">
          <w:rPr>
            <w:rStyle w:val="Hyperlink"/>
            <w:rFonts w:ascii="Times New Roman" w:hAnsi="Times New Roman" w:cs="Times New Roman"/>
          </w:rPr>
          <w:t>95 P.3d 794</w:t>
        </w:r>
      </w:hyperlink>
      <w:r w:rsidRPr="00271B4D">
        <w:rPr>
          <w:rFonts w:ascii="Times New Roman" w:hAnsi="Times New Roman" w:cs="Times New Roman"/>
        </w:rPr>
        <w:t>, 795 (Wyo. 2004);</w:t>
      </w:r>
      <w:r>
        <w:t xml:space="preserve"> </w:t>
      </w:r>
    </w:p>
  </w:footnote>
  <w:footnote w:id="922">
    <w:p w14:paraId="48824641" w14:textId="59E7373A" w:rsidR="00336EDF" w:rsidRDefault="00336EDF">
      <w:pPr>
        <w:pStyle w:val="FootnoteText"/>
      </w:pPr>
      <w:r w:rsidRPr="001D67C2">
        <w:rPr>
          <w:rStyle w:val="FootnoteReference"/>
          <w:rFonts w:ascii="Times New Roman" w:hAnsi="Times New Roman" w:cs="Times New Roman"/>
        </w:rPr>
        <w:footnoteRef/>
      </w:r>
      <w:r>
        <w:t xml:space="preserve"> </w:t>
      </w:r>
      <w:bookmarkStart w:id="1277" w:name="f882"/>
      <w:bookmarkEnd w:id="1277"/>
      <w:r w:rsidRPr="001D67C2">
        <w:rPr>
          <w:rFonts w:ascii="Times New Roman" w:hAnsi="Times New Roman" w:cs="Times New Roman"/>
        </w:rPr>
        <w:t xml:space="preserve">Araguz v. Workers’ Safety &amp; Compensation Div., </w:t>
      </w:r>
      <w:hyperlink r:id="rId394" w:history="1">
        <w:r w:rsidRPr="001D67C2">
          <w:rPr>
            <w:rStyle w:val="Hyperlink"/>
            <w:rFonts w:ascii="Times New Roman" w:hAnsi="Times New Roman" w:cs="Times New Roman"/>
          </w:rPr>
          <w:t>262 P.3d 1263</w:t>
        </w:r>
      </w:hyperlink>
      <w:r w:rsidRPr="001D67C2">
        <w:rPr>
          <w:rFonts w:ascii="Times New Roman" w:hAnsi="Times New Roman" w:cs="Times New Roman"/>
        </w:rPr>
        <w:t>, 1266 (Wyo. 2011)</w:t>
      </w:r>
    </w:p>
  </w:footnote>
  <w:footnote w:id="923">
    <w:p w14:paraId="08C10F85" w14:textId="2A3D4DEF" w:rsidR="00336EDF" w:rsidRDefault="00336EDF">
      <w:pPr>
        <w:pStyle w:val="FootnoteText"/>
      </w:pPr>
      <w:r w:rsidRPr="008D344E">
        <w:rPr>
          <w:rStyle w:val="FootnoteReference"/>
          <w:rFonts w:ascii="Times New Roman" w:hAnsi="Times New Roman" w:cs="Times New Roman"/>
        </w:rPr>
        <w:footnoteRef/>
      </w:r>
      <w:r>
        <w:t xml:space="preserve"> </w:t>
      </w:r>
      <w:bookmarkStart w:id="1278" w:name="f883"/>
      <w:bookmarkEnd w:id="1278"/>
      <w:r w:rsidRPr="008D344E">
        <w:rPr>
          <w:rFonts w:ascii="Times New Roman" w:hAnsi="Times New Roman" w:cs="Times New Roman"/>
          <w:i/>
          <w:iCs/>
        </w:rPr>
        <w:t>See</w:t>
      </w:r>
      <w:r w:rsidRPr="008D344E">
        <w:rPr>
          <w:rFonts w:ascii="Times New Roman" w:hAnsi="Times New Roman" w:cs="Times New Roman"/>
        </w:rPr>
        <w:t xml:space="preserve"> Chevron U.S.A., Inc. v. Natural Resources Defense Council, Inc., </w:t>
      </w:r>
      <w:hyperlink r:id="rId395" w:history="1">
        <w:r w:rsidRPr="00A30C77">
          <w:rPr>
            <w:rStyle w:val="Hyperlink"/>
            <w:rFonts w:ascii="Times New Roman" w:hAnsi="Times New Roman" w:cs="Times New Roman"/>
          </w:rPr>
          <w:t>468 U.S. 837</w:t>
        </w:r>
      </w:hyperlink>
      <w:r w:rsidRPr="008D344E">
        <w:rPr>
          <w:rFonts w:ascii="Times New Roman" w:hAnsi="Times New Roman" w:cs="Times New Roman"/>
        </w:rPr>
        <w:t xml:space="preserve"> (1984)</w:t>
      </w:r>
    </w:p>
  </w:footnote>
  <w:footnote w:id="924">
    <w:p w14:paraId="4135E233" w14:textId="0AEA99E0" w:rsidR="00336EDF" w:rsidRDefault="00336EDF" w:rsidP="00620B44">
      <w:pPr>
        <w:pStyle w:val="FootnoteText"/>
        <w:jc w:val="both"/>
      </w:pPr>
      <w:r w:rsidRPr="00620B44">
        <w:rPr>
          <w:rStyle w:val="FootnoteReference"/>
          <w:rFonts w:ascii="Times New Roman" w:hAnsi="Times New Roman" w:cs="Times New Roman"/>
        </w:rPr>
        <w:footnoteRef/>
      </w:r>
      <w:r>
        <w:t xml:space="preserve"> </w:t>
      </w:r>
      <w:bookmarkStart w:id="1279" w:name="f884"/>
      <w:bookmarkEnd w:id="1279"/>
      <w:r w:rsidRPr="00620B44">
        <w:rPr>
          <w:rFonts w:ascii="Times New Roman" w:hAnsi="Times New Roman" w:cs="Times New Roman"/>
        </w:rPr>
        <w:t xml:space="preserve">Exxon Mobil Corp. v. Dept. of Revenue, </w:t>
      </w:r>
      <w:hyperlink r:id="rId396" w:history="1">
        <w:r w:rsidRPr="00A30C77">
          <w:rPr>
            <w:rStyle w:val="Hyperlink"/>
            <w:rFonts w:ascii="Times New Roman" w:hAnsi="Times New Roman" w:cs="Times New Roman"/>
          </w:rPr>
          <w:t>219 P.3d 128</w:t>
        </w:r>
      </w:hyperlink>
      <w:r w:rsidRPr="00620B44">
        <w:rPr>
          <w:rFonts w:ascii="Times New Roman" w:hAnsi="Times New Roman" w:cs="Times New Roman"/>
        </w:rPr>
        <w:t>, 140 (Wyo. 2009)</w:t>
      </w:r>
      <w:r>
        <w:rPr>
          <w:rFonts w:ascii="Times New Roman" w:hAnsi="Times New Roman" w:cs="Times New Roman"/>
        </w:rPr>
        <w:t xml:space="preserve"> (“</w:t>
      </w:r>
      <w:r w:rsidRPr="00620B44">
        <w:rPr>
          <w:rFonts w:ascii="Times New Roman" w:hAnsi="Times New Roman" w:cs="Times New Roman"/>
        </w:rPr>
        <w:t xml:space="preserve">While </w:t>
      </w:r>
      <w:r w:rsidRPr="00620B44">
        <w:rPr>
          <w:rFonts w:ascii="Times New Roman" w:hAnsi="Times New Roman" w:cs="Times New Roman"/>
          <w:b/>
          <w:bCs/>
        </w:rPr>
        <w:t>we generally defer to an agency's interpretation of the statutes it administers</w:t>
      </w:r>
      <w:r w:rsidRPr="00620B44">
        <w:rPr>
          <w:rFonts w:ascii="Times New Roman" w:hAnsi="Times New Roman" w:cs="Times New Roman"/>
        </w:rPr>
        <w:t>, an agency's statutory interpretation is entitled to little deference when it is contrary to prior practice and precedent.</w:t>
      </w:r>
      <w:r>
        <w:rPr>
          <w:rFonts w:ascii="Times New Roman" w:hAnsi="Times New Roman" w:cs="Times New Roman"/>
        </w:rPr>
        <w:t>”) (emphasis supplied)</w:t>
      </w:r>
    </w:p>
  </w:footnote>
  <w:footnote w:id="925">
    <w:p w14:paraId="66E9A757" w14:textId="4AB26DD8" w:rsidR="00336EDF" w:rsidRDefault="00336EDF" w:rsidP="0041684E">
      <w:pPr>
        <w:pStyle w:val="FootnoteText"/>
        <w:jc w:val="both"/>
      </w:pPr>
      <w:r w:rsidRPr="0041684E">
        <w:rPr>
          <w:rStyle w:val="FootnoteReference"/>
          <w:rFonts w:ascii="Times New Roman" w:hAnsi="Times New Roman" w:cs="Times New Roman"/>
        </w:rPr>
        <w:footnoteRef/>
      </w:r>
      <w:r w:rsidRPr="0041684E">
        <w:rPr>
          <w:rFonts w:ascii="Times New Roman" w:hAnsi="Times New Roman" w:cs="Times New Roman"/>
        </w:rPr>
        <w:t xml:space="preserve"> </w:t>
      </w:r>
      <w:bookmarkStart w:id="1280" w:name="f885"/>
      <w:bookmarkEnd w:id="1280"/>
      <w:r w:rsidRPr="0041684E">
        <w:rPr>
          <w:rFonts w:ascii="Times New Roman" w:hAnsi="Times New Roman" w:cs="Times New Roman"/>
        </w:rPr>
        <w:t xml:space="preserve">Casiano v. Wyoming Department of Transportation, </w:t>
      </w:r>
      <w:hyperlink r:id="rId397" w:history="1">
        <w:r w:rsidRPr="00A30C77">
          <w:rPr>
            <w:rStyle w:val="Hyperlink"/>
            <w:rFonts w:ascii="Times New Roman" w:hAnsi="Times New Roman" w:cs="Times New Roman"/>
          </w:rPr>
          <w:t>434 P.3d 116</w:t>
        </w:r>
      </w:hyperlink>
      <w:r w:rsidRPr="0041684E">
        <w:rPr>
          <w:rFonts w:ascii="Times New Roman" w:hAnsi="Times New Roman" w:cs="Times New Roman"/>
        </w:rPr>
        <w:t>, 120 (Wyo. 2019)</w:t>
      </w:r>
      <w:r>
        <w:rPr>
          <w:rFonts w:ascii="Times New Roman" w:hAnsi="Times New Roman" w:cs="Times New Roman"/>
        </w:rPr>
        <w:t xml:space="preserve">; Jacobs v. Workers’ Safety &amp; Compensation Div., </w:t>
      </w:r>
      <w:hyperlink r:id="rId398" w:history="1">
        <w:r w:rsidRPr="00492E52">
          <w:rPr>
            <w:rStyle w:val="Hyperlink"/>
            <w:rFonts w:ascii="Times New Roman" w:hAnsi="Times New Roman" w:cs="Times New Roman"/>
          </w:rPr>
          <w:t>216 P.3d 1128</w:t>
        </w:r>
      </w:hyperlink>
      <w:r>
        <w:rPr>
          <w:rFonts w:ascii="Times New Roman" w:hAnsi="Times New Roman" w:cs="Times New Roman"/>
        </w:rPr>
        <w:t xml:space="preserve">, 1132 (Wyo. 2009); </w:t>
      </w:r>
      <w:r w:rsidRPr="0041684E">
        <w:rPr>
          <w:rFonts w:ascii="Times New Roman" w:hAnsi="Times New Roman" w:cs="Times New Roman"/>
        </w:rPr>
        <w:t>Workers</w:t>
      </w:r>
      <w:r>
        <w:rPr>
          <w:rFonts w:ascii="Times New Roman" w:hAnsi="Times New Roman" w:cs="Times New Roman"/>
        </w:rPr>
        <w:t>’</w:t>
      </w:r>
      <w:r w:rsidRPr="0041684E">
        <w:rPr>
          <w:rFonts w:ascii="Times New Roman" w:hAnsi="Times New Roman" w:cs="Times New Roman"/>
        </w:rPr>
        <w:t xml:space="preserve"> Safety &amp; Comp</w:t>
      </w:r>
      <w:r>
        <w:rPr>
          <w:rFonts w:ascii="Times New Roman" w:hAnsi="Times New Roman" w:cs="Times New Roman"/>
        </w:rPr>
        <w:t>ensation</w:t>
      </w:r>
      <w:r w:rsidRPr="0041684E">
        <w:rPr>
          <w:rFonts w:ascii="Times New Roman" w:hAnsi="Times New Roman" w:cs="Times New Roman"/>
        </w:rPr>
        <w:t xml:space="preserve"> Div. v. Garl, </w:t>
      </w:r>
      <w:hyperlink r:id="rId399" w:history="1">
        <w:r w:rsidRPr="00492E52">
          <w:rPr>
            <w:rStyle w:val="Hyperlink"/>
            <w:rFonts w:ascii="Times New Roman" w:hAnsi="Times New Roman" w:cs="Times New Roman"/>
          </w:rPr>
          <w:t>26 P.3d 1029</w:t>
        </w:r>
      </w:hyperlink>
      <w:r w:rsidRPr="0041684E">
        <w:rPr>
          <w:rFonts w:ascii="Times New Roman" w:hAnsi="Times New Roman" w:cs="Times New Roman"/>
        </w:rPr>
        <w:t>, 1032 (Wyo.2001)</w:t>
      </w:r>
    </w:p>
  </w:footnote>
  <w:footnote w:id="926">
    <w:p w14:paraId="502149CF" w14:textId="586ACB5E" w:rsidR="00336EDF" w:rsidRPr="00766B7C" w:rsidRDefault="00336EDF" w:rsidP="00766B7C">
      <w:pPr>
        <w:pStyle w:val="FootnoteText"/>
        <w:jc w:val="both"/>
        <w:rPr>
          <w:rFonts w:ascii="Times New Roman" w:hAnsi="Times New Roman" w:cs="Times New Roman"/>
        </w:rPr>
      </w:pPr>
      <w:r w:rsidRPr="00742D4D">
        <w:rPr>
          <w:rStyle w:val="FootnoteReference"/>
          <w:rFonts w:ascii="Times New Roman" w:hAnsi="Times New Roman" w:cs="Times New Roman"/>
        </w:rPr>
        <w:footnoteRef/>
      </w:r>
      <w:r w:rsidRPr="00742D4D">
        <w:rPr>
          <w:rFonts w:ascii="Times New Roman" w:hAnsi="Times New Roman" w:cs="Times New Roman"/>
        </w:rPr>
        <w:t xml:space="preserve">  </w:t>
      </w:r>
      <w:bookmarkStart w:id="1281" w:name="f886"/>
      <w:bookmarkEnd w:id="1281"/>
      <w:r w:rsidRPr="00766B7C">
        <w:rPr>
          <w:rFonts w:ascii="Times New Roman" w:hAnsi="Times New Roman" w:cs="Times New Roman"/>
        </w:rPr>
        <w:t>Kebschull v. Dep’t of Workforce Serv</w:t>
      </w:r>
      <w:r>
        <w:rPr>
          <w:rFonts w:ascii="Times New Roman" w:hAnsi="Times New Roman" w:cs="Times New Roman"/>
        </w:rPr>
        <w:t>ices</w:t>
      </w:r>
      <w:r w:rsidRPr="00766B7C">
        <w:rPr>
          <w:rFonts w:ascii="Times New Roman" w:hAnsi="Times New Roman" w:cs="Times New Roman"/>
        </w:rPr>
        <w:t>, Workers’ Comp</w:t>
      </w:r>
      <w:r>
        <w:rPr>
          <w:rFonts w:ascii="Times New Roman" w:hAnsi="Times New Roman" w:cs="Times New Roman"/>
        </w:rPr>
        <w:t>ensation</w:t>
      </w:r>
      <w:r w:rsidRPr="00766B7C">
        <w:rPr>
          <w:rFonts w:ascii="Times New Roman" w:hAnsi="Times New Roman" w:cs="Times New Roman"/>
        </w:rPr>
        <w:t xml:space="preserve"> Div., </w:t>
      </w:r>
      <w:hyperlink r:id="rId400" w:history="1">
        <w:r w:rsidRPr="00742D4D">
          <w:rPr>
            <w:rStyle w:val="Hyperlink"/>
            <w:rFonts w:ascii="Times New Roman" w:hAnsi="Times New Roman" w:cs="Times New Roman"/>
          </w:rPr>
          <w:t>399 P.3d 1249</w:t>
        </w:r>
      </w:hyperlink>
      <w:r w:rsidRPr="00766B7C">
        <w:rPr>
          <w:rFonts w:ascii="Times New Roman" w:hAnsi="Times New Roman" w:cs="Times New Roman"/>
        </w:rPr>
        <w:t>, 1255 (Wyo. 2017)</w:t>
      </w:r>
      <w:r>
        <w:rPr>
          <w:rFonts w:ascii="Times New Roman" w:hAnsi="Times New Roman" w:cs="Times New Roman"/>
        </w:rPr>
        <w:t xml:space="preserve">; </w:t>
      </w:r>
      <w:r w:rsidRPr="00742D4D">
        <w:rPr>
          <w:rFonts w:ascii="Times New Roman" w:hAnsi="Times New Roman" w:cs="Times New Roman"/>
        </w:rPr>
        <w:t>Price v. Dep’t of Workforce Serv</w:t>
      </w:r>
      <w:r>
        <w:rPr>
          <w:rFonts w:ascii="Times New Roman" w:hAnsi="Times New Roman" w:cs="Times New Roman"/>
        </w:rPr>
        <w:t>ices</w:t>
      </w:r>
      <w:r w:rsidRPr="00742D4D">
        <w:rPr>
          <w:rFonts w:ascii="Times New Roman" w:hAnsi="Times New Roman" w:cs="Times New Roman"/>
        </w:rPr>
        <w:t>, Workers’ Comp</w:t>
      </w:r>
      <w:r>
        <w:rPr>
          <w:rFonts w:ascii="Times New Roman" w:hAnsi="Times New Roman" w:cs="Times New Roman"/>
        </w:rPr>
        <w:t>ensation</w:t>
      </w:r>
      <w:r w:rsidRPr="00742D4D">
        <w:rPr>
          <w:rFonts w:ascii="Times New Roman" w:hAnsi="Times New Roman" w:cs="Times New Roman"/>
        </w:rPr>
        <w:t xml:space="preserve"> Div., </w:t>
      </w:r>
      <w:hyperlink r:id="rId401" w:history="1">
        <w:r w:rsidRPr="00742D4D">
          <w:rPr>
            <w:rStyle w:val="Hyperlink"/>
            <w:rFonts w:ascii="Times New Roman" w:hAnsi="Times New Roman" w:cs="Times New Roman"/>
          </w:rPr>
          <w:t>388 P.3d 786</w:t>
        </w:r>
      </w:hyperlink>
      <w:r w:rsidRPr="00742D4D">
        <w:rPr>
          <w:rFonts w:ascii="Times New Roman" w:hAnsi="Times New Roman" w:cs="Times New Roman"/>
        </w:rPr>
        <w:t>, 789 (Wyo. 2017)</w:t>
      </w:r>
      <w:r>
        <w:rPr>
          <w:rFonts w:ascii="Times New Roman" w:hAnsi="Times New Roman" w:cs="Times New Roman"/>
        </w:rPr>
        <w:t xml:space="preserve">; </w:t>
      </w:r>
      <w:r w:rsidRPr="00742D4D">
        <w:rPr>
          <w:rFonts w:ascii="Times New Roman" w:hAnsi="Times New Roman" w:cs="Times New Roman"/>
        </w:rPr>
        <w:t>Kenyon v. Workers’ Safety &amp; Comp</w:t>
      </w:r>
      <w:r>
        <w:rPr>
          <w:rFonts w:ascii="Times New Roman" w:hAnsi="Times New Roman" w:cs="Times New Roman"/>
        </w:rPr>
        <w:t>ensation</w:t>
      </w:r>
      <w:r w:rsidRPr="00742D4D">
        <w:rPr>
          <w:rFonts w:ascii="Times New Roman" w:hAnsi="Times New Roman" w:cs="Times New Roman"/>
        </w:rPr>
        <w:t xml:space="preserve"> Div., </w:t>
      </w:r>
      <w:hyperlink r:id="rId402" w:history="1">
        <w:r w:rsidRPr="00742D4D">
          <w:rPr>
            <w:rStyle w:val="Hyperlink"/>
            <w:rFonts w:ascii="Times New Roman" w:hAnsi="Times New Roman" w:cs="Times New Roman"/>
          </w:rPr>
          <w:t>247 P.3d 845</w:t>
        </w:r>
      </w:hyperlink>
      <w:r w:rsidRPr="00742D4D">
        <w:rPr>
          <w:rFonts w:ascii="Times New Roman" w:hAnsi="Times New Roman" w:cs="Times New Roman"/>
        </w:rPr>
        <w:t>, 848 (Wyo. 2011)</w:t>
      </w:r>
    </w:p>
  </w:footnote>
  <w:footnote w:id="927">
    <w:p w14:paraId="05FBF827" w14:textId="2094BE0E" w:rsidR="00336EDF" w:rsidRPr="00A30C77" w:rsidRDefault="00336EDF">
      <w:pPr>
        <w:pStyle w:val="FootnoteText"/>
        <w:rPr>
          <w:rFonts w:ascii="Times New Roman" w:hAnsi="Times New Roman" w:cs="Times New Roman"/>
        </w:rPr>
      </w:pPr>
      <w:r w:rsidRPr="00A30C77">
        <w:rPr>
          <w:rStyle w:val="FootnoteReference"/>
          <w:rFonts w:ascii="Times New Roman" w:hAnsi="Times New Roman" w:cs="Times New Roman"/>
        </w:rPr>
        <w:footnoteRef/>
      </w:r>
      <w:r w:rsidRPr="00A30C77">
        <w:rPr>
          <w:rFonts w:ascii="Times New Roman" w:hAnsi="Times New Roman" w:cs="Times New Roman"/>
        </w:rPr>
        <w:t xml:space="preserve"> </w:t>
      </w:r>
      <w:bookmarkStart w:id="1282" w:name="f887"/>
      <w:bookmarkStart w:id="1283" w:name="_Hlk13241615"/>
      <w:bookmarkEnd w:id="1282"/>
      <w:r w:rsidRPr="00A30C77">
        <w:rPr>
          <w:rFonts w:ascii="Times New Roman" w:hAnsi="Times New Roman" w:cs="Times New Roman"/>
        </w:rPr>
        <w:t xml:space="preserve">Newman v. Workers’ </w:t>
      </w:r>
      <w:r>
        <w:rPr>
          <w:rFonts w:ascii="Times New Roman" w:hAnsi="Times New Roman" w:cs="Times New Roman"/>
        </w:rPr>
        <w:t>S</w:t>
      </w:r>
      <w:r w:rsidRPr="00A30C77">
        <w:rPr>
          <w:rFonts w:ascii="Times New Roman" w:hAnsi="Times New Roman" w:cs="Times New Roman"/>
        </w:rPr>
        <w:t xml:space="preserve">afety &amp; Compensation Div., </w:t>
      </w:r>
      <w:hyperlink r:id="rId403" w:history="1">
        <w:r w:rsidRPr="00492E52">
          <w:rPr>
            <w:rStyle w:val="Hyperlink"/>
            <w:rFonts w:ascii="Times New Roman" w:hAnsi="Times New Roman" w:cs="Times New Roman"/>
          </w:rPr>
          <w:t>49 P.3d 163</w:t>
        </w:r>
      </w:hyperlink>
      <w:r w:rsidRPr="00A30C77">
        <w:rPr>
          <w:rFonts w:ascii="Times New Roman" w:hAnsi="Times New Roman" w:cs="Times New Roman"/>
        </w:rPr>
        <w:t xml:space="preserve">, 166 </w:t>
      </w:r>
      <w:bookmarkEnd w:id="1283"/>
      <w:r w:rsidRPr="00A30C77">
        <w:rPr>
          <w:rFonts w:ascii="Times New Roman" w:hAnsi="Times New Roman" w:cs="Times New Roman"/>
        </w:rPr>
        <w:t xml:space="preserve">(Wyo. 2002); French v. Amax Coal West, </w:t>
      </w:r>
      <w:hyperlink r:id="rId404" w:history="1">
        <w:r w:rsidRPr="00492E52">
          <w:rPr>
            <w:rStyle w:val="Hyperlink"/>
            <w:rFonts w:ascii="Times New Roman" w:hAnsi="Times New Roman" w:cs="Times New Roman"/>
          </w:rPr>
          <w:t>960 P.2d 1023</w:t>
        </w:r>
      </w:hyperlink>
      <w:r w:rsidRPr="00A30C77">
        <w:rPr>
          <w:rFonts w:ascii="Times New Roman" w:hAnsi="Times New Roman" w:cs="Times New Roman"/>
        </w:rPr>
        <w:t>, 1027 (Wyo. 1998)</w:t>
      </w:r>
    </w:p>
  </w:footnote>
  <w:footnote w:id="928">
    <w:p w14:paraId="42EDC46B" w14:textId="0BB26E6A" w:rsidR="00336EDF" w:rsidRDefault="00336EDF">
      <w:pPr>
        <w:pStyle w:val="FootnoteText"/>
      </w:pPr>
      <w:r w:rsidRPr="00D06DFA">
        <w:rPr>
          <w:rStyle w:val="FootnoteReference"/>
          <w:rFonts w:ascii="Times New Roman" w:hAnsi="Times New Roman" w:cs="Times New Roman"/>
        </w:rPr>
        <w:footnoteRef/>
      </w:r>
      <w:r>
        <w:t xml:space="preserve"> </w:t>
      </w:r>
      <w:bookmarkStart w:id="1286" w:name="f888"/>
      <w:bookmarkStart w:id="1287" w:name="_Hlk13045899"/>
      <w:bookmarkEnd w:id="1286"/>
      <w:r>
        <w:rPr>
          <w:rFonts w:ascii="Times New Roman" w:hAnsi="Times New Roman" w:cs="Times New Roman"/>
        </w:rPr>
        <w:t>--</w:t>
      </w:r>
      <w:r w:rsidRPr="00D06DFA">
        <w:rPr>
          <w:rFonts w:ascii="Times New Roman" w:hAnsi="Times New Roman" w:cs="Times New Roman"/>
        </w:rPr>
        <w:t xml:space="preserve">P.3d---; </w:t>
      </w:r>
      <w:hyperlink r:id="rId405" w:history="1">
        <w:r w:rsidRPr="00D06DFA">
          <w:rPr>
            <w:rStyle w:val="Hyperlink"/>
            <w:rFonts w:ascii="Times New Roman" w:hAnsi="Times New Roman" w:cs="Times New Roman"/>
          </w:rPr>
          <w:t>2018 WY 105</w:t>
        </w:r>
      </w:hyperlink>
      <w:bookmarkEnd w:id="1287"/>
    </w:p>
  </w:footnote>
  <w:footnote w:id="929">
    <w:p w14:paraId="32344F5D" w14:textId="169B98D4" w:rsidR="00336EDF" w:rsidRDefault="00336EDF">
      <w:pPr>
        <w:pStyle w:val="FootnoteText"/>
      </w:pPr>
      <w:r w:rsidRPr="00D06DFA">
        <w:rPr>
          <w:rStyle w:val="FootnoteReference"/>
          <w:rFonts w:ascii="Times New Roman" w:hAnsi="Times New Roman" w:cs="Times New Roman"/>
        </w:rPr>
        <w:footnoteRef/>
      </w:r>
      <w:r>
        <w:t xml:space="preserve"> </w:t>
      </w:r>
      <w:bookmarkStart w:id="1289" w:name="f889"/>
      <w:bookmarkEnd w:id="1289"/>
      <w:r w:rsidRPr="00D06DFA">
        <w:rPr>
          <w:rFonts w:ascii="Times New Roman" w:hAnsi="Times New Roman" w:cs="Times New Roman"/>
          <w:i/>
          <w:iCs/>
        </w:rPr>
        <w:t>Id</w:t>
      </w:r>
      <w:r w:rsidRPr="00D06DFA">
        <w:rPr>
          <w:rFonts w:ascii="Times New Roman" w:hAnsi="Times New Roman" w:cs="Times New Roman"/>
        </w:rPr>
        <w:t>., slip op. at 5</w:t>
      </w:r>
    </w:p>
  </w:footnote>
  <w:footnote w:id="930">
    <w:p w14:paraId="111A1DB6" w14:textId="1D91DF52" w:rsidR="00336EDF" w:rsidRDefault="00336EDF">
      <w:pPr>
        <w:pStyle w:val="FootnoteText"/>
      </w:pPr>
      <w:r w:rsidRPr="00773446">
        <w:rPr>
          <w:rStyle w:val="FootnoteReference"/>
          <w:rFonts w:ascii="Times New Roman" w:hAnsi="Times New Roman" w:cs="Times New Roman"/>
        </w:rPr>
        <w:footnoteRef/>
      </w:r>
      <w:r>
        <w:t xml:space="preserve"> </w:t>
      </w:r>
      <w:bookmarkStart w:id="1290" w:name="f890"/>
      <w:bookmarkEnd w:id="1290"/>
      <w:r w:rsidRPr="00773446">
        <w:rPr>
          <w:rFonts w:ascii="Times New Roman" w:hAnsi="Times New Roman" w:cs="Times New Roman"/>
          <w:i/>
          <w:iCs/>
        </w:rPr>
        <w:t>See</w:t>
      </w:r>
      <w:r>
        <w:rPr>
          <w:rFonts w:ascii="Times New Roman" w:hAnsi="Times New Roman" w:cs="Times New Roman"/>
          <w:i/>
          <w:iCs/>
        </w:rPr>
        <w:t xml:space="preserve"> </w:t>
      </w:r>
      <w:r w:rsidRPr="00773446">
        <w:rPr>
          <w:rFonts w:ascii="Times New Roman" w:hAnsi="Times New Roman" w:cs="Times New Roman"/>
          <w:i/>
          <w:iCs/>
        </w:rPr>
        <w:t>e.g.</w:t>
      </w:r>
      <w:r w:rsidRPr="00773446">
        <w:rPr>
          <w:rFonts w:ascii="Times New Roman" w:hAnsi="Times New Roman" w:cs="Times New Roman"/>
        </w:rPr>
        <w:t xml:space="preserve"> the term as defined in </w:t>
      </w:r>
      <w:r w:rsidRPr="00773446">
        <w:rPr>
          <w:rFonts w:ascii="Times New Roman" w:hAnsi="Times New Roman" w:cs="Times New Roman"/>
          <w:smallCaps/>
        </w:rPr>
        <w:t>Black</w:t>
      </w:r>
      <w:r>
        <w:rPr>
          <w:rFonts w:ascii="Times New Roman" w:hAnsi="Times New Roman" w:cs="Times New Roman"/>
          <w:smallCaps/>
        </w:rPr>
        <w:t>’</w:t>
      </w:r>
      <w:r w:rsidRPr="00773446">
        <w:rPr>
          <w:rFonts w:ascii="Times New Roman" w:hAnsi="Times New Roman" w:cs="Times New Roman"/>
          <w:smallCaps/>
        </w:rPr>
        <w:t>s Law Dictionary</w:t>
      </w:r>
      <w:r w:rsidRPr="00773446">
        <w:rPr>
          <w:rFonts w:ascii="Times New Roman" w:hAnsi="Times New Roman" w:cs="Times New Roman"/>
        </w:rPr>
        <w:t xml:space="preserve"> (11th ed. 2019)</w:t>
      </w:r>
    </w:p>
  </w:footnote>
  <w:footnote w:id="931">
    <w:p w14:paraId="0CACA2E1" w14:textId="7AC8762B" w:rsidR="00336EDF" w:rsidRDefault="00336EDF">
      <w:pPr>
        <w:pStyle w:val="FootnoteText"/>
      </w:pPr>
      <w:r w:rsidRPr="00992A90">
        <w:rPr>
          <w:rStyle w:val="FootnoteReference"/>
          <w:rFonts w:ascii="Times New Roman" w:hAnsi="Times New Roman" w:cs="Times New Roman"/>
        </w:rPr>
        <w:footnoteRef/>
      </w:r>
      <w:r>
        <w:t xml:space="preserve"> </w:t>
      </w:r>
      <w:bookmarkStart w:id="1291" w:name="f891"/>
      <w:bookmarkEnd w:id="1291"/>
      <w:r>
        <w:rPr>
          <w:rFonts w:ascii="Times New Roman" w:hAnsi="Times New Roman" w:cs="Times New Roman"/>
        </w:rPr>
        <w:t>--</w:t>
      </w:r>
      <w:r w:rsidRPr="00D06DFA">
        <w:rPr>
          <w:rFonts w:ascii="Times New Roman" w:hAnsi="Times New Roman" w:cs="Times New Roman"/>
        </w:rPr>
        <w:t xml:space="preserve">P.3d---; </w:t>
      </w:r>
      <w:hyperlink r:id="rId406" w:history="1">
        <w:r w:rsidRPr="00D06DFA">
          <w:rPr>
            <w:rStyle w:val="Hyperlink"/>
            <w:rFonts w:ascii="Times New Roman" w:hAnsi="Times New Roman" w:cs="Times New Roman"/>
          </w:rPr>
          <w:t>2018 WY 105</w:t>
        </w:r>
      </w:hyperlink>
      <w:r>
        <w:rPr>
          <w:rFonts w:ascii="Times New Roman" w:hAnsi="Times New Roman" w:cs="Times New Roman"/>
        </w:rPr>
        <w:t>, slip op. at 5</w:t>
      </w:r>
    </w:p>
  </w:footnote>
  <w:footnote w:id="932">
    <w:p w14:paraId="6A9D1DCA" w14:textId="64ACAA53" w:rsidR="00336EDF" w:rsidRDefault="00336EDF">
      <w:pPr>
        <w:pStyle w:val="FootnoteText"/>
      </w:pPr>
      <w:r w:rsidRPr="004D2E91">
        <w:rPr>
          <w:rStyle w:val="FootnoteReference"/>
          <w:rFonts w:ascii="Times New Roman" w:hAnsi="Times New Roman" w:cs="Times New Roman"/>
        </w:rPr>
        <w:footnoteRef/>
      </w:r>
      <w:bookmarkStart w:id="1292" w:name="f892"/>
      <w:bookmarkEnd w:id="1292"/>
      <w:r>
        <w:t xml:space="preserve"> </w:t>
      </w:r>
      <w:r w:rsidRPr="004D2E91">
        <w:rPr>
          <w:rFonts w:ascii="Times New Roman" w:hAnsi="Times New Roman" w:cs="Times New Roman"/>
          <w:i/>
          <w:iCs/>
        </w:rPr>
        <w:t>See generally</w:t>
      </w:r>
      <w:r>
        <w:t xml:space="preserve"> </w:t>
      </w:r>
      <w:r w:rsidRPr="0070778C">
        <w:rPr>
          <w:rFonts w:ascii="Times New Roman" w:hAnsi="Times New Roman" w:cs="Times New Roman"/>
        </w:rPr>
        <w:t xml:space="preserve">Duff, </w:t>
      </w:r>
      <w:r w:rsidRPr="0070778C">
        <w:rPr>
          <w:rFonts w:ascii="Times New Roman" w:hAnsi="Times New Roman" w:cs="Times New Roman"/>
          <w:i/>
        </w:rPr>
        <w:t>A Tale of Two Standards</w:t>
      </w:r>
      <w:r w:rsidRPr="0070778C">
        <w:rPr>
          <w:rFonts w:ascii="Times New Roman" w:hAnsi="Times New Roman" w:cs="Times New Roman"/>
        </w:rPr>
        <w:t xml:space="preserve">, </w:t>
      </w:r>
      <w:hyperlink r:id="rId407" w:history="1">
        <w:r w:rsidRPr="000F792D">
          <w:rPr>
            <w:rStyle w:val="Hyperlink"/>
            <w:rFonts w:ascii="Times New Roman" w:hAnsi="Times New Roman" w:cs="Times New Roman"/>
          </w:rPr>
          <w:t xml:space="preserve">18 </w:t>
        </w:r>
        <w:r w:rsidRPr="000F792D">
          <w:rPr>
            <w:rStyle w:val="Hyperlink"/>
            <w:rFonts w:ascii="Times New Roman" w:hAnsi="Times New Roman" w:cs="Times New Roman"/>
            <w:smallCaps/>
          </w:rPr>
          <w:t>Wyo. L. Rev</w:t>
        </w:r>
        <w:r w:rsidRPr="000F792D">
          <w:rPr>
            <w:rStyle w:val="Hyperlink"/>
            <w:rFonts w:ascii="Times New Roman" w:hAnsi="Times New Roman" w:cs="Times New Roman"/>
          </w:rPr>
          <w:t xml:space="preserve"> 1</w:t>
        </w:r>
      </w:hyperlink>
      <w:r>
        <w:rPr>
          <w:rFonts w:ascii="Times New Roman" w:hAnsi="Times New Roman" w:cs="Times New Roman"/>
        </w:rPr>
        <w:t xml:space="preserve"> </w:t>
      </w:r>
      <w:r w:rsidRPr="0070778C">
        <w:rPr>
          <w:rFonts w:ascii="Times New Roman" w:hAnsi="Times New Roman" w:cs="Times New Roman"/>
        </w:rPr>
        <w:t>(2018)</w:t>
      </w:r>
    </w:p>
  </w:footnote>
  <w:footnote w:id="933">
    <w:p w14:paraId="3369CAE7" w14:textId="67C29123" w:rsidR="00336EDF" w:rsidRDefault="00336EDF" w:rsidP="00A01F3A">
      <w:pPr>
        <w:pStyle w:val="FootnoteText"/>
        <w:jc w:val="both"/>
      </w:pPr>
      <w:r w:rsidRPr="00A01F3A">
        <w:rPr>
          <w:rStyle w:val="FootnoteReference"/>
          <w:rFonts w:ascii="Times New Roman" w:hAnsi="Times New Roman" w:cs="Times New Roman"/>
        </w:rPr>
        <w:footnoteRef/>
      </w:r>
      <w:r>
        <w:t xml:space="preserve"> </w:t>
      </w:r>
      <w:bookmarkStart w:id="1294" w:name="f893"/>
      <w:bookmarkEnd w:id="1294"/>
      <w:r>
        <w:fldChar w:fldCharType="begin"/>
      </w:r>
      <w:r>
        <w:instrText xml:space="preserve"> HYPERLINK "https://www.leagle.com/decision/inwyco20180822g79" </w:instrText>
      </w:r>
      <w:r>
        <w:fldChar w:fldCharType="separate"/>
      </w:r>
      <w:r w:rsidRPr="00A01F3A">
        <w:rPr>
          <w:rStyle w:val="Hyperlink"/>
          <w:rFonts w:ascii="Times New Roman" w:hAnsi="Times New Roman" w:cs="Times New Roman"/>
        </w:rPr>
        <w:t>424 P.3d 1261</w:t>
      </w:r>
      <w:r>
        <w:rPr>
          <w:rStyle w:val="Hyperlink"/>
          <w:rFonts w:ascii="Times New Roman" w:hAnsi="Times New Roman" w:cs="Times New Roman"/>
        </w:rPr>
        <w:fldChar w:fldCharType="end"/>
      </w:r>
      <w:r w:rsidRPr="00A01F3A">
        <w:rPr>
          <w:rFonts w:ascii="Times New Roman" w:hAnsi="Times New Roman" w:cs="Times New Roman"/>
        </w:rPr>
        <w:t xml:space="preserve"> (Wyo. 2018)</w:t>
      </w:r>
      <w:r>
        <w:rPr>
          <w:rFonts w:ascii="Times New Roman" w:hAnsi="Times New Roman" w:cs="Times New Roman"/>
        </w:rPr>
        <w:t xml:space="preserve"> (</w:t>
      </w:r>
      <w:r w:rsidRPr="00A01F3A">
        <w:rPr>
          <w:rFonts w:ascii="Times New Roman" w:hAnsi="Times New Roman" w:cs="Times New Roman"/>
        </w:rPr>
        <w:t>Implantation of non-FDA-approved artificial discs at adjacent levels of the lumbar spine was not an “off-label” use of medical services</w:t>
      </w:r>
      <w:r>
        <w:rPr>
          <w:rFonts w:ascii="Times New Roman" w:hAnsi="Times New Roman" w:cs="Times New Roman"/>
        </w:rPr>
        <w:t xml:space="preserve">; but </w:t>
      </w:r>
      <w:r w:rsidRPr="00A01F3A">
        <w:rPr>
          <w:rFonts w:ascii="Times New Roman" w:hAnsi="Times New Roman" w:cs="Times New Roman"/>
        </w:rPr>
        <w:t xml:space="preserve">substantial evidence supported the Medical Commission’s determination that </w:t>
      </w:r>
      <w:r>
        <w:rPr>
          <w:rFonts w:ascii="Times New Roman" w:hAnsi="Times New Roman" w:cs="Times New Roman"/>
        </w:rPr>
        <w:t>claimant</w:t>
      </w:r>
      <w:r w:rsidRPr="00A01F3A">
        <w:rPr>
          <w:rFonts w:ascii="Times New Roman" w:hAnsi="Times New Roman" w:cs="Times New Roman"/>
        </w:rPr>
        <w:t xml:space="preserve"> failed to provide sufficient documentation of the procedure’s safety and effectiveness, rendering it “alternative medicine” for which benefits were properly denied</w:t>
      </w:r>
      <w:r>
        <w:rPr>
          <w:rFonts w:ascii="Times New Roman" w:hAnsi="Times New Roman" w:cs="Times New Roman"/>
        </w:rPr>
        <w:t xml:space="preserve"> and denial </w:t>
      </w:r>
      <w:r w:rsidRPr="00A01F3A">
        <w:rPr>
          <w:rFonts w:ascii="Times New Roman" w:hAnsi="Times New Roman" w:cs="Times New Roman"/>
        </w:rPr>
        <w:t>was not arbitrary and capricious</w:t>
      </w:r>
      <w:r>
        <w:rPr>
          <w:rFonts w:ascii="Times New Roman" w:hAnsi="Times New Roman" w:cs="Times New Roman"/>
        </w:rPr>
        <w:t>)</w:t>
      </w:r>
      <w:r w:rsidRPr="00A01F3A">
        <w:rPr>
          <w:rFonts w:ascii="Times New Roman" w:hAnsi="Times New Roman" w:cs="Times New Roman"/>
        </w:rPr>
        <w:t>.</w:t>
      </w:r>
    </w:p>
  </w:footnote>
  <w:footnote w:id="934">
    <w:p w14:paraId="3A832281" w14:textId="3524F1E3" w:rsidR="00336EDF" w:rsidRDefault="00336EDF">
      <w:pPr>
        <w:pStyle w:val="FootnoteText"/>
      </w:pPr>
      <w:r w:rsidRPr="00A01F3A">
        <w:rPr>
          <w:rStyle w:val="FootnoteReference"/>
          <w:rFonts w:ascii="Times New Roman" w:hAnsi="Times New Roman" w:cs="Times New Roman"/>
        </w:rPr>
        <w:footnoteRef/>
      </w:r>
      <w:r>
        <w:t xml:space="preserve"> </w:t>
      </w:r>
      <w:bookmarkStart w:id="1296" w:name="f894"/>
      <w:bookmarkEnd w:id="1296"/>
      <w:r w:rsidRPr="00A01F3A">
        <w:rPr>
          <w:rFonts w:ascii="Times New Roman" w:hAnsi="Times New Roman" w:cs="Times New Roman"/>
          <w:i/>
          <w:iCs/>
        </w:rPr>
        <w:t>Id</w:t>
      </w:r>
      <w:r w:rsidRPr="00A01F3A">
        <w:rPr>
          <w:rFonts w:ascii="Times New Roman" w:hAnsi="Times New Roman" w:cs="Times New Roman"/>
        </w:rPr>
        <w:t>. at 1272</w:t>
      </w:r>
    </w:p>
  </w:footnote>
  <w:footnote w:id="935">
    <w:p w14:paraId="02A04EE7" w14:textId="22794578" w:rsidR="00336EDF" w:rsidRDefault="00336EDF">
      <w:pPr>
        <w:pStyle w:val="FootnoteText"/>
      </w:pPr>
      <w:r w:rsidRPr="00621418">
        <w:rPr>
          <w:rStyle w:val="FootnoteReference"/>
          <w:rFonts w:ascii="Times New Roman" w:hAnsi="Times New Roman" w:cs="Times New Roman"/>
        </w:rPr>
        <w:footnoteRef/>
      </w:r>
      <w:r>
        <w:t xml:space="preserve"> </w:t>
      </w:r>
      <w:bookmarkStart w:id="1298" w:name="f895"/>
      <w:bookmarkStart w:id="1299" w:name="_Hlk13069208"/>
      <w:bookmarkEnd w:id="1298"/>
      <w:r>
        <w:rPr>
          <w:rFonts w:ascii="Times New Roman" w:hAnsi="Times New Roman" w:cs="Times New Roman"/>
        </w:rPr>
        <w:fldChar w:fldCharType="begin"/>
      </w:r>
      <w:r>
        <w:rPr>
          <w:rFonts w:ascii="Times New Roman" w:hAnsi="Times New Roman" w:cs="Times New Roman"/>
        </w:rPr>
        <w:instrText xml:space="preserve"> HYPERLINK "https://www.leagle.com/decision/200221249p3d1631212" </w:instrText>
      </w:r>
      <w:r>
        <w:rPr>
          <w:rFonts w:ascii="Times New Roman" w:hAnsi="Times New Roman" w:cs="Times New Roman"/>
        </w:rPr>
        <w:fldChar w:fldCharType="separate"/>
      </w:r>
      <w:r w:rsidRPr="00C52CF4">
        <w:rPr>
          <w:rStyle w:val="Hyperlink"/>
          <w:rFonts w:ascii="Times New Roman" w:hAnsi="Times New Roman" w:cs="Times New Roman"/>
        </w:rPr>
        <w:t>49 P.3d 163</w:t>
      </w:r>
      <w:r>
        <w:rPr>
          <w:rFonts w:ascii="Times New Roman" w:hAnsi="Times New Roman" w:cs="Times New Roman"/>
        </w:rPr>
        <w:fldChar w:fldCharType="end"/>
      </w:r>
      <w:r w:rsidRPr="00621418">
        <w:rPr>
          <w:rFonts w:ascii="Times New Roman" w:hAnsi="Times New Roman" w:cs="Times New Roman"/>
        </w:rPr>
        <w:t xml:space="preserve"> (Wyo. 2002)</w:t>
      </w:r>
      <w:bookmarkEnd w:id="1299"/>
    </w:p>
  </w:footnote>
  <w:footnote w:id="936">
    <w:p w14:paraId="49F872A7" w14:textId="505EE1CC" w:rsidR="00336EDF" w:rsidRDefault="00336EDF">
      <w:pPr>
        <w:pStyle w:val="FootnoteText"/>
      </w:pPr>
      <w:r w:rsidRPr="00360D4B">
        <w:rPr>
          <w:rStyle w:val="FootnoteReference"/>
          <w:rFonts w:ascii="Times New Roman" w:hAnsi="Times New Roman" w:cs="Times New Roman"/>
        </w:rPr>
        <w:footnoteRef/>
      </w:r>
      <w:r w:rsidRPr="00360D4B">
        <w:rPr>
          <w:rStyle w:val="FootnoteReference"/>
          <w:rFonts w:ascii="Times New Roman" w:hAnsi="Times New Roman" w:cs="Times New Roman"/>
          <w:i/>
          <w:iCs/>
        </w:rPr>
        <w:t xml:space="preserve"> </w:t>
      </w:r>
      <w:bookmarkStart w:id="1300" w:name="f896"/>
      <w:bookmarkEnd w:id="1300"/>
      <w:r w:rsidRPr="00360D4B">
        <w:rPr>
          <w:rFonts w:ascii="Times New Roman" w:hAnsi="Times New Roman" w:cs="Times New Roman"/>
          <w:i/>
          <w:iCs/>
        </w:rPr>
        <w:t>Id</w:t>
      </w:r>
      <w:r w:rsidRPr="00360D4B">
        <w:rPr>
          <w:rFonts w:ascii="Times New Roman" w:hAnsi="Times New Roman" w:cs="Times New Roman"/>
        </w:rPr>
        <w:t>. at 166</w:t>
      </w:r>
      <w:r>
        <w:rPr>
          <w:rFonts w:ascii="Times New Roman" w:hAnsi="Times New Roman" w:cs="Times New Roman"/>
        </w:rPr>
        <w:t xml:space="preserve"> (emphasis supplied)</w:t>
      </w:r>
    </w:p>
  </w:footnote>
  <w:footnote w:id="937">
    <w:p w14:paraId="6B33C5EE" w14:textId="36C10AC3" w:rsidR="00336EDF" w:rsidRDefault="00336EDF">
      <w:pPr>
        <w:pStyle w:val="FootnoteText"/>
      </w:pPr>
      <w:r w:rsidRPr="00BC35DF">
        <w:rPr>
          <w:rStyle w:val="FootnoteReference"/>
          <w:rFonts w:ascii="Times New Roman" w:hAnsi="Times New Roman" w:cs="Times New Roman"/>
        </w:rPr>
        <w:footnoteRef/>
      </w:r>
      <w:r w:rsidRPr="00BC35DF">
        <w:rPr>
          <w:rFonts w:ascii="Times New Roman" w:hAnsi="Times New Roman" w:cs="Times New Roman"/>
        </w:rPr>
        <w:t xml:space="preserve"> </w:t>
      </w:r>
      <w:bookmarkStart w:id="1301" w:name="f897"/>
      <w:bookmarkEnd w:id="1301"/>
      <w:r w:rsidRPr="00BC35DF">
        <w:rPr>
          <w:rFonts w:ascii="Times New Roman" w:hAnsi="Times New Roman" w:cs="Times New Roman"/>
          <w:i/>
          <w:iCs/>
        </w:rPr>
        <w:t>Id</w:t>
      </w:r>
      <w:r w:rsidRPr="00BC35DF">
        <w:rPr>
          <w:rFonts w:ascii="Times New Roman" w:hAnsi="Times New Roman" w:cs="Times New Roman"/>
        </w:rPr>
        <w:t>. at 165</w:t>
      </w:r>
    </w:p>
  </w:footnote>
  <w:footnote w:id="938">
    <w:p w14:paraId="1B4269F9" w14:textId="274765AE" w:rsidR="00336EDF" w:rsidRDefault="00336EDF">
      <w:pPr>
        <w:pStyle w:val="FootnoteText"/>
      </w:pPr>
      <w:r w:rsidRPr="00BC35DF">
        <w:rPr>
          <w:rStyle w:val="FootnoteReference"/>
          <w:rFonts w:ascii="Times New Roman" w:hAnsi="Times New Roman" w:cs="Times New Roman"/>
        </w:rPr>
        <w:footnoteRef/>
      </w:r>
      <w:r w:rsidRPr="00BC35DF">
        <w:rPr>
          <w:rFonts w:ascii="Times New Roman" w:hAnsi="Times New Roman" w:cs="Times New Roman"/>
        </w:rPr>
        <w:t xml:space="preserve"> </w:t>
      </w:r>
      <w:bookmarkStart w:id="1302" w:name="f898"/>
      <w:bookmarkEnd w:id="1302"/>
      <w:r w:rsidRPr="00BC35DF">
        <w:rPr>
          <w:rFonts w:ascii="Times New Roman" w:hAnsi="Times New Roman" w:cs="Times New Roman"/>
          <w:i/>
          <w:iCs/>
        </w:rPr>
        <w:t>Id.</w:t>
      </w:r>
    </w:p>
  </w:footnote>
  <w:footnote w:id="939">
    <w:p w14:paraId="753A08B1" w14:textId="4E4556C6" w:rsidR="00336EDF" w:rsidRDefault="00336EDF">
      <w:pPr>
        <w:pStyle w:val="FootnoteText"/>
      </w:pPr>
      <w:r w:rsidRPr="00BC35DF">
        <w:rPr>
          <w:rStyle w:val="FootnoteReference"/>
          <w:rFonts w:ascii="Times New Roman" w:hAnsi="Times New Roman" w:cs="Times New Roman"/>
        </w:rPr>
        <w:footnoteRef/>
      </w:r>
      <w:r>
        <w:t xml:space="preserve"> </w:t>
      </w:r>
      <w:bookmarkStart w:id="1303" w:name="f899"/>
      <w:bookmarkStart w:id="1304" w:name="_Hlk13067923"/>
      <w:bookmarkEnd w:id="1303"/>
      <w:r w:rsidRPr="00BC35DF">
        <w:rPr>
          <w:rFonts w:ascii="Times New Roman" w:hAnsi="Times New Roman" w:cs="Times New Roman"/>
          <w:i/>
          <w:iCs/>
        </w:rPr>
        <w:t>Id.</w:t>
      </w:r>
      <w:bookmarkEnd w:id="1304"/>
    </w:p>
  </w:footnote>
  <w:footnote w:id="940">
    <w:p w14:paraId="68A9E8D6" w14:textId="2E3B33EB" w:rsidR="00336EDF" w:rsidRDefault="00336EDF">
      <w:pPr>
        <w:pStyle w:val="FootnoteText"/>
      </w:pPr>
      <w:r w:rsidRPr="00BC35DF">
        <w:rPr>
          <w:rStyle w:val="FootnoteReference"/>
          <w:rFonts w:ascii="Times New Roman" w:hAnsi="Times New Roman" w:cs="Times New Roman"/>
        </w:rPr>
        <w:footnoteRef/>
      </w:r>
      <w:r w:rsidRPr="00BC35DF">
        <w:rPr>
          <w:rFonts w:ascii="Times New Roman" w:hAnsi="Times New Roman" w:cs="Times New Roman"/>
        </w:rPr>
        <w:t xml:space="preserve"> </w:t>
      </w:r>
      <w:bookmarkStart w:id="1305" w:name="f900"/>
      <w:bookmarkEnd w:id="1305"/>
      <w:r w:rsidRPr="00BC35DF">
        <w:rPr>
          <w:rFonts w:ascii="Times New Roman" w:hAnsi="Times New Roman" w:cs="Times New Roman"/>
          <w:i/>
          <w:iCs/>
        </w:rPr>
        <w:t>Id.</w:t>
      </w:r>
    </w:p>
  </w:footnote>
  <w:footnote w:id="941">
    <w:p w14:paraId="3F1D8B15" w14:textId="2C85557E" w:rsidR="00336EDF" w:rsidRDefault="00336EDF">
      <w:pPr>
        <w:pStyle w:val="FootnoteText"/>
      </w:pPr>
      <w:r w:rsidRPr="00BC35DF">
        <w:rPr>
          <w:rStyle w:val="FootnoteReference"/>
          <w:rFonts w:ascii="Times New Roman" w:hAnsi="Times New Roman" w:cs="Times New Roman"/>
        </w:rPr>
        <w:footnoteRef/>
      </w:r>
      <w:bookmarkStart w:id="1306" w:name="f901"/>
      <w:bookmarkEnd w:id="1306"/>
      <w:r>
        <w:t xml:space="preserve"> </w:t>
      </w:r>
      <w:bookmarkStart w:id="1307" w:name="_Hlk13068070"/>
      <w:r w:rsidRPr="00BC35DF">
        <w:rPr>
          <w:rFonts w:ascii="Times New Roman" w:hAnsi="Times New Roman" w:cs="Times New Roman"/>
          <w:i/>
          <w:iCs/>
        </w:rPr>
        <w:t>Id.</w:t>
      </w:r>
      <w:bookmarkEnd w:id="1307"/>
    </w:p>
  </w:footnote>
  <w:footnote w:id="942">
    <w:p w14:paraId="2D87A394" w14:textId="5684F541" w:rsidR="00336EDF" w:rsidRDefault="00336EDF">
      <w:pPr>
        <w:pStyle w:val="FootnoteText"/>
      </w:pPr>
      <w:r w:rsidRPr="00BC35DF">
        <w:rPr>
          <w:rStyle w:val="FootnoteReference"/>
          <w:rFonts w:ascii="Times New Roman" w:hAnsi="Times New Roman" w:cs="Times New Roman"/>
        </w:rPr>
        <w:footnoteRef/>
      </w:r>
      <w:r w:rsidRPr="00BC35DF">
        <w:rPr>
          <w:rFonts w:ascii="Times New Roman" w:hAnsi="Times New Roman" w:cs="Times New Roman"/>
        </w:rPr>
        <w:t xml:space="preserve"> </w:t>
      </w:r>
      <w:bookmarkStart w:id="1308" w:name="f902"/>
      <w:bookmarkStart w:id="1309" w:name="_Hlk13068110"/>
      <w:bookmarkEnd w:id="1308"/>
      <w:r w:rsidRPr="00BC35DF">
        <w:rPr>
          <w:rFonts w:ascii="Times New Roman" w:hAnsi="Times New Roman" w:cs="Times New Roman"/>
          <w:i/>
          <w:iCs/>
        </w:rPr>
        <w:t>Id.</w:t>
      </w:r>
      <w:bookmarkEnd w:id="1309"/>
    </w:p>
  </w:footnote>
  <w:footnote w:id="943">
    <w:p w14:paraId="61341835" w14:textId="2C135F79" w:rsidR="00336EDF" w:rsidRDefault="00336EDF">
      <w:pPr>
        <w:pStyle w:val="FootnoteText"/>
      </w:pPr>
      <w:r w:rsidRPr="00A35C49">
        <w:rPr>
          <w:rStyle w:val="FootnoteReference"/>
          <w:rFonts w:ascii="Times New Roman" w:hAnsi="Times New Roman" w:cs="Times New Roman"/>
        </w:rPr>
        <w:footnoteRef/>
      </w:r>
      <w:bookmarkStart w:id="1310" w:name="f903"/>
      <w:bookmarkEnd w:id="1310"/>
      <w:r w:rsidRPr="00A35C49">
        <w:rPr>
          <w:rFonts w:ascii="Times New Roman" w:hAnsi="Times New Roman" w:cs="Times New Roman"/>
        </w:rPr>
        <w:t xml:space="preserve"> </w:t>
      </w:r>
      <w:r w:rsidRPr="00BC35DF">
        <w:rPr>
          <w:rFonts w:ascii="Times New Roman" w:hAnsi="Times New Roman" w:cs="Times New Roman"/>
          <w:i/>
          <w:iCs/>
        </w:rPr>
        <w:t>Id.</w:t>
      </w:r>
    </w:p>
  </w:footnote>
  <w:footnote w:id="944">
    <w:p w14:paraId="3AF6AC42" w14:textId="59135805" w:rsidR="00336EDF" w:rsidRDefault="00336EDF">
      <w:pPr>
        <w:pStyle w:val="FootnoteText"/>
      </w:pPr>
      <w:r w:rsidRPr="00A35C49">
        <w:rPr>
          <w:rStyle w:val="FootnoteReference"/>
          <w:rFonts w:ascii="Times New Roman" w:hAnsi="Times New Roman" w:cs="Times New Roman"/>
        </w:rPr>
        <w:footnoteRef/>
      </w:r>
      <w:r w:rsidRPr="00A35C49">
        <w:rPr>
          <w:rStyle w:val="FootnoteReference"/>
          <w:rFonts w:ascii="Times New Roman" w:hAnsi="Times New Roman" w:cs="Times New Roman"/>
        </w:rPr>
        <w:t xml:space="preserve"> </w:t>
      </w:r>
      <w:bookmarkStart w:id="1311" w:name="f904"/>
      <w:bookmarkEnd w:id="1311"/>
      <w:r w:rsidRPr="00BC35DF">
        <w:rPr>
          <w:rFonts w:ascii="Times New Roman" w:hAnsi="Times New Roman" w:cs="Times New Roman"/>
          <w:i/>
          <w:iCs/>
        </w:rPr>
        <w:t>Id.</w:t>
      </w:r>
    </w:p>
  </w:footnote>
  <w:footnote w:id="945">
    <w:p w14:paraId="0DE10BD4" w14:textId="0EFDA015" w:rsidR="00336EDF" w:rsidRDefault="00336EDF">
      <w:pPr>
        <w:pStyle w:val="FootnoteText"/>
      </w:pPr>
      <w:r w:rsidRPr="00A35C49">
        <w:rPr>
          <w:rStyle w:val="FootnoteReference"/>
          <w:rFonts w:ascii="Times New Roman" w:hAnsi="Times New Roman" w:cs="Times New Roman"/>
        </w:rPr>
        <w:footnoteRef/>
      </w:r>
      <w:r w:rsidRPr="00A35C49">
        <w:rPr>
          <w:rFonts w:ascii="Times New Roman" w:hAnsi="Times New Roman" w:cs="Times New Roman"/>
        </w:rPr>
        <w:t xml:space="preserve"> </w:t>
      </w:r>
      <w:bookmarkStart w:id="1312" w:name="f905"/>
      <w:bookmarkEnd w:id="1312"/>
      <w:r w:rsidRPr="00BC35DF">
        <w:rPr>
          <w:rFonts w:ascii="Times New Roman" w:hAnsi="Times New Roman" w:cs="Times New Roman"/>
          <w:i/>
          <w:iCs/>
        </w:rPr>
        <w:t>Id.</w:t>
      </w:r>
    </w:p>
  </w:footnote>
  <w:footnote w:id="946">
    <w:p w14:paraId="2DAD3AA6" w14:textId="323B451A" w:rsidR="00336EDF" w:rsidRDefault="00336EDF">
      <w:pPr>
        <w:pStyle w:val="FootnoteText"/>
      </w:pPr>
      <w:r w:rsidRPr="00A35C49">
        <w:rPr>
          <w:rStyle w:val="FootnoteReference"/>
          <w:rFonts w:ascii="Times New Roman" w:hAnsi="Times New Roman" w:cs="Times New Roman"/>
        </w:rPr>
        <w:footnoteRef/>
      </w:r>
      <w:r w:rsidRPr="00A35C49">
        <w:rPr>
          <w:rFonts w:ascii="Times New Roman" w:hAnsi="Times New Roman" w:cs="Times New Roman"/>
        </w:rPr>
        <w:t xml:space="preserve"> </w:t>
      </w:r>
      <w:bookmarkStart w:id="1313" w:name="f906"/>
      <w:bookmarkEnd w:id="1313"/>
      <w:r w:rsidRPr="00BC35DF">
        <w:rPr>
          <w:rFonts w:ascii="Times New Roman" w:hAnsi="Times New Roman" w:cs="Times New Roman"/>
          <w:i/>
          <w:iCs/>
        </w:rPr>
        <w:t>Id.</w:t>
      </w:r>
    </w:p>
  </w:footnote>
  <w:footnote w:id="947">
    <w:p w14:paraId="53FCABC6" w14:textId="0B224C45" w:rsidR="00336EDF" w:rsidRDefault="00336EDF">
      <w:pPr>
        <w:pStyle w:val="FootnoteText"/>
      </w:pPr>
      <w:r w:rsidRPr="00A35C49">
        <w:rPr>
          <w:rStyle w:val="FootnoteReference"/>
          <w:rFonts w:ascii="Times New Roman" w:hAnsi="Times New Roman" w:cs="Times New Roman"/>
        </w:rPr>
        <w:footnoteRef/>
      </w:r>
      <w:r w:rsidRPr="00A35C49">
        <w:rPr>
          <w:rStyle w:val="FootnoteReference"/>
          <w:rFonts w:ascii="Times New Roman" w:hAnsi="Times New Roman" w:cs="Times New Roman"/>
        </w:rPr>
        <w:t xml:space="preserve"> </w:t>
      </w:r>
      <w:bookmarkStart w:id="1314" w:name="f907"/>
      <w:bookmarkEnd w:id="1314"/>
      <w:r w:rsidRPr="00BC35DF">
        <w:rPr>
          <w:rFonts w:ascii="Times New Roman" w:hAnsi="Times New Roman" w:cs="Times New Roman"/>
          <w:i/>
          <w:iCs/>
        </w:rPr>
        <w:t>Id.</w:t>
      </w:r>
    </w:p>
  </w:footnote>
  <w:footnote w:id="948">
    <w:p w14:paraId="5EC0AA3B" w14:textId="2F4798B4" w:rsidR="00336EDF" w:rsidRDefault="00336EDF">
      <w:pPr>
        <w:pStyle w:val="FootnoteText"/>
      </w:pPr>
      <w:r w:rsidRPr="00A35C49">
        <w:rPr>
          <w:rStyle w:val="FootnoteReference"/>
          <w:rFonts w:ascii="Times New Roman" w:hAnsi="Times New Roman" w:cs="Times New Roman"/>
        </w:rPr>
        <w:footnoteRef/>
      </w:r>
      <w:r>
        <w:t xml:space="preserve"> </w:t>
      </w:r>
      <w:bookmarkStart w:id="1315" w:name="f908"/>
      <w:bookmarkEnd w:id="1315"/>
      <w:r w:rsidRPr="00BC35DF">
        <w:rPr>
          <w:rFonts w:ascii="Times New Roman" w:hAnsi="Times New Roman" w:cs="Times New Roman"/>
          <w:i/>
          <w:iCs/>
        </w:rPr>
        <w:t>Id.</w:t>
      </w:r>
    </w:p>
  </w:footnote>
  <w:footnote w:id="949">
    <w:p w14:paraId="74FB8EFE" w14:textId="1A13F36D" w:rsidR="00336EDF" w:rsidRDefault="00336EDF">
      <w:pPr>
        <w:pStyle w:val="FootnoteText"/>
      </w:pPr>
      <w:r w:rsidRPr="00A35C49">
        <w:rPr>
          <w:rStyle w:val="FootnoteReference"/>
          <w:rFonts w:ascii="Times New Roman" w:hAnsi="Times New Roman" w:cs="Times New Roman"/>
        </w:rPr>
        <w:footnoteRef/>
      </w:r>
      <w:r>
        <w:t xml:space="preserve"> </w:t>
      </w:r>
      <w:bookmarkStart w:id="1316" w:name="f909"/>
      <w:bookmarkEnd w:id="1316"/>
      <w:r w:rsidRPr="00BC35DF">
        <w:rPr>
          <w:rFonts w:ascii="Times New Roman" w:hAnsi="Times New Roman" w:cs="Times New Roman"/>
          <w:i/>
          <w:iCs/>
        </w:rPr>
        <w:t>Id.</w:t>
      </w:r>
    </w:p>
  </w:footnote>
  <w:footnote w:id="950">
    <w:p w14:paraId="05B009B7" w14:textId="2AA0668C" w:rsidR="00336EDF" w:rsidRPr="00A35C49" w:rsidRDefault="00336EDF">
      <w:pPr>
        <w:pStyle w:val="FootnoteText"/>
      </w:pPr>
      <w:r w:rsidRPr="00041BB0">
        <w:rPr>
          <w:rStyle w:val="FootnoteReference"/>
          <w:rFonts w:ascii="Times New Roman" w:hAnsi="Times New Roman" w:cs="Times New Roman"/>
        </w:rPr>
        <w:footnoteRef/>
      </w:r>
      <w:r>
        <w:t xml:space="preserve"> </w:t>
      </w:r>
      <w:bookmarkStart w:id="1317" w:name="f910"/>
      <w:bookmarkEnd w:id="1317"/>
      <w:r w:rsidRPr="00BC35DF">
        <w:rPr>
          <w:rFonts w:ascii="Times New Roman" w:hAnsi="Times New Roman" w:cs="Times New Roman"/>
          <w:i/>
          <w:iCs/>
        </w:rPr>
        <w:t>Id.</w:t>
      </w:r>
      <w:r>
        <w:rPr>
          <w:rFonts w:ascii="Times New Roman" w:hAnsi="Times New Roman" w:cs="Times New Roman"/>
          <w:i/>
          <w:iCs/>
        </w:rPr>
        <w:t xml:space="preserve"> </w:t>
      </w:r>
      <w:r>
        <w:rPr>
          <w:rFonts w:ascii="Times New Roman" w:hAnsi="Times New Roman" w:cs="Times New Roman"/>
        </w:rPr>
        <w:t>at 166</w:t>
      </w:r>
    </w:p>
  </w:footnote>
  <w:footnote w:id="951">
    <w:p w14:paraId="7564CA05" w14:textId="045952F7" w:rsidR="00336EDF" w:rsidRDefault="00336EDF">
      <w:pPr>
        <w:pStyle w:val="FootnoteText"/>
      </w:pPr>
      <w:r w:rsidRPr="00A35C49">
        <w:rPr>
          <w:rStyle w:val="FootnoteReference"/>
          <w:rFonts w:ascii="Times New Roman" w:hAnsi="Times New Roman" w:cs="Times New Roman"/>
        </w:rPr>
        <w:footnoteRef/>
      </w:r>
      <w:r w:rsidRPr="00A35C49">
        <w:rPr>
          <w:rFonts w:ascii="Times New Roman" w:hAnsi="Times New Roman" w:cs="Times New Roman"/>
        </w:rPr>
        <w:t xml:space="preserve"> </w:t>
      </w:r>
      <w:bookmarkStart w:id="1318" w:name="f911"/>
      <w:bookmarkEnd w:id="1318"/>
      <w:r w:rsidRPr="00BC35DF">
        <w:rPr>
          <w:rFonts w:ascii="Times New Roman" w:hAnsi="Times New Roman" w:cs="Times New Roman"/>
          <w:i/>
          <w:iCs/>
        </w:rPr>
        <w:t>Id.</w:t>
      </w:r>
    </w:p>
  </w:footnote>
  <w:footnote w:id="952">
    <w:p w14:paraId="40824FC6" w14:textId="4B7866D6" w:rsidR="00336EDF" w:rsidRDefault="00336EDF">
      <w:pPr>
        <w:pStyle w:val="FootnoteText"/>
      </w:pPr>
      <w:r w:rsidRPr="00B8523A">
        <w:rPr>
          <w:rStyle w:val="FootnoteReference"/>
          <w:rFonts w:ascii="Times New Roman" w:hAnsi="Times New Roman" w:cs="Times New Roman"/>
        </w:rPr>
        <w:footnoteRef/>
      </w:r>
      <w:r w:rsidRPr="00B8523A">
        <w:rPr>
          <w:rFonts w:ascii="Times New Roman" w:hAnsi="Times New Roman" w:cs="Times New Roman"/>
        </w:rPr>
        <w:t xml:space="preserve"> </w:t>
      </w:r>
      <w:bookmarkStart w:id="1319" w:name="f912"/>
      <w:bookmarkEnd w:id="1319"/>
      <w:r w:rsidRPr="00B8523A">
        <w:rPr>
          <w:rFonts w:ascii="Times New Roman" w:hAnsi="Times New Roman" w:cs="Times New Roman"/>
          <w:i/>
          <w:iCs/>
        </w:rPr>
        <w:t>Id</w:t>
      </w:r>
      <w:r w:rsidRPr="00B8523A">
        <w:rPr>
          <w:rFonts w:ascii="Times New Roman" w:hAnsi="Times New Roman" w:cs="Times New Roman"/>
        </w:rPr>
        <w:t>. at 175</w:t>
      </w:r>
    </w:p>
  </w:footnote>
  <w:footnote w:id="953">
    <w:p w14:paraId="0327B22B" w14:textId="235292D8" w:rsidR="00336EDF" w:rsidRDefault="00336EDF">
      <w:pPr>
        <w:pStyle w:val="FootnoteText"/>
      </w:pPr>
      <w:r w:rsidRPr="00A35C49">
        <w:rPr>
          <w:rStyle w:val="FootnoteReference"/>
          <w:rFonts w:ascii="Times New Roman" w:hAnsi="Times New Roman" w:cs="Times New Roman"/>
        </w:rPr>
        <w:footnoteRef/>
      </w:r>
      <w:r w:rsidRPr="00A35C49">
        <w:rPr>
          <w:rFonts w:ascii="Times New Roman" w:hAnsi="Times New Roman" w:cs="Times New Roman"/>
        </w:rPr>
        <w:t xml:space="preserve"> </w:t>
      </w:r>
      <w:bookmarkStart w:id="1320" w:name="f913"/>
      <w:bookmarkStart w:id="1321" w:name="_Hlk13069622"/>
      <w:bookmarkEnd w:id="1320"/>
      <w:r w:rsidRPr="00BC35DF">
        <w:rPr>
          <w:rFonts w:ascii="Times New Roman" w:hAnsi="Times New Roman" w:cs="Times New Roman"/>
          <w:i/>
          <w:iCs/>
        </w:rPr>
        <w:t>Id.</w:t>
      </w:r>
      <w:bookmarkEnd w:id="1321"/>
    </w:p>
  </w:footnote>
  <w:footnote w:id="954">
    <w:p w14:paraId="4A775154" w14:textId="52E1CE31" w:rsidR="00336EDF" w:rsidRDefault="00336EDF">
      <w:pPr>
        <w:pStyle w:val="FootnoteText"/>
      </w:pPr>
      <w:r w:rsidRPr="00C52CF4">
        <w:rPr>
          <w:rStyle w:val="FootnoteReference"/>
          <w:rFonts w:ascii="Times New Roman" w:hAnsi="Times New Roman" w:cs="Times New Roman"/>
        </w:rPr>
        <w:footnoteRef/>
      </w:r>
      <w:r w:rsidRPr="00C52CF4">
        <w:rPr>
          <w:rFonts w:ascii="Times New Roman" w:hAnsi="Times New Roman" w:cs="Times New Roman"/>
        </w:rPr>
        <w:t xml:space="preserve"> </w:t>
      </w:r>
      <w:bookmarkStart w:id="1322" w:name="f914"/>
      <w:bookmarkEnd w:id="1322"/>
      <w:r w:rsidRPr="004C6EA5">
        <w:rPr>
          <w:rFonts w:ascii="Times New Roman" w:hAnsi="Times New Roman" w:cs="Times New Roman"/>
          <w:i/>
          <w:iCs/>
        </w:rPr>
        <w:t>See</w:t>
      </w:r>
      <w:r w:rsidRPr="00C52CF4">
        <w:rPr>
          <w:rFonts w:ascii="Times New Roman" w:hAnsi="Times New Roman" w:cs="Times New Roman"/>
        </w:rPr>
        <w:t xml:space="preserve"> the discussion in this Treatise at 6.2 above</w:t>
      </w:r>
    </w:p>
  </w:footnote>
  <w:footnote w:id="955">
    <w:p w14:paraId="1890ED54" w14:textId="4DD597C3" w:rsidR="00336EDF" w:rsidRDefault="00336EDF">
      <w:pPr>
        <w:pStyle w:val="FootnoteText"/>
      </w:pPr>
      <w:r w:rsidRPr="00112DC6">
        <w:rPr>
          <w:rStyle w:val="FootnoteReference"/>
          <w:rFonts w:ascii="Times New Roman" w:hAnsi="Times New Roman" w:cs="Times New Roman"/>
        </w:rPr>
        <w:footnoteRef/>
      </w:r>
      <w:r w:rsidRPr="00112DC6">
        <w:rPr>
          <w:rFonts w:ascii="Times New Roman" w:hAnsi="Times New Roman" w:cs="Times New Roman"/>
        </w:rPr>
        <w:t xml:space="preserve"> </w:t>
      </w:r>
      <w:bookmarkStart w:id="1323" w:name="f915"/>
      <w:bookmarkStart w:id="1324" w:name="_Hlk13297434"/>
      <w:bookmarkEnd w:id="1323"/>
      <w:r w:rsidRPr="00112DC6">
        <w:rPr>
          <w:rFonts w:ascii="Times New Roman" w:hAnsi="Times New Roman" w:cs="Times New Roman"/>
        </w:rPr>
        <w:t>Newman v. Workers’ Safety &amp; Compensation Div.,</w:t>
      </w:r>
      <w:r w:rsidRPr="00112DC6">
        <w:rPr>
          <w:rFonts w:ascii="Times New Roman" w:hAnsi="Times New Roman" w:cs="Times New Roman"/>
          <w:i/>
          <w:iCs/>
        </w:rPr>
        <w:t xml:space="preserve"> supra</w:t>
      </w:r>
      <w:r w:rsidRPr="00112DC6">
        <w:rPr>
          <w:rFonts w:ascii="Times New Roman" w:hAnsi="Times New Roman" w:cs="Times New Roman"/>
        </w:rPr>
        <w:t>., 49 P.3d at 166</w:t>
      </w:r>
      <w:bookmarkEnd w:id="1324"/>
    </w:p>
  </w:footnote>
  <w:footnote w:id="956">
    <w:p w14:paraId="312A65AA" w14:textId="23C3E559" w:rsidR="00336EDF" w:rsidRDefault="00336EDF">
      <w:pPr>
        <w:pStyle w:val="FootnoteText"/>
      </w:pPr>
      <w:r w:rsidRPr="00B17FF0">
        <w:rPr>
          <w:rStyle w:val="FootnoteReference"/>
          <w:rFonts w:ascii="Times New Roman" w:hAnsi="Times New Roman" w:cs="Times New Roman"/>
        </w:rPr>
        <w:footnoteRef/>
      </w:r>
      <w:r>
        <w:t xml:space="preserve"> </w:t>
      </w:r>
      <w:bookmarkStart w:id="1325" w:name="f916"/>
      <w:bookmarkEnd w:id="1325"/>
      <w:r w:rsidRPr="00BC35DF">
        <w:rPr>
          <w:rFonts w:ascii="Times New Roman" w:hAnsi="Times New Roman" w:cs="Times New Roman"/>
          <w:i/>
          <w:iCs/>
        </w:rPr>
        <w:t>Id.</w:t>
      </w:r>
    </w:p>
  </w:footnote>
  <w:footnote w:id="957">
    <w:p w14:paraId="31EB0CA6" w14:textId="4849068E" w:rsidR="00336EDF" w:rsidRDefault="00336EDF" w:rsidP="0056211A">
      <w:pPr>
        <w:pStyle w:val="FootnoteText"/>
        <w:jc w:val="both"/>
      </w:pPr>
      <w:r w:rsidRPr="0056211A">
        <w:rPr>
          <w:rStyle w:val="FootnoteReference"/>
          <w:rFonts w:ascii="Times New Roman" w:hAnsi="Times New Roman" w:cs="Times New Roman"/>
        </w:rPr>
        <w:footnoteRef/>
      </w:r>
      <w:r>
        <w:t xml:space="preserve"> </w:t>
      </w:r>
      <w:bookmarkStart w:id="1326" w:name="f917"/>
      <w:bookmarkEnd w:id="1326"/>
      <w:r w:rsidRPr="0056211A">
        <w:rPr>
          <w:rFonts w:ascii="Times New Roman" w:hAnsi="Times New Roman" w:cs="Times New Roman"/>
          <w:i/>
          <w:iCs/>
        </w:rPr>
        <w:t>Id</w:t>
      </w:r>
      <w:r>
        <w:rPr>
          <w:rFonts w:ascii="Times New Roman" w:hAnsi="Times New Roman" w:cs="Times New Roman"/>
        </w:rPr>
        <w:t xml:space="preserve">. at 171 </w:t>
      </w:r>
      <w:r w:rsidRPr="0056211A">
        <w:rPr>
          <w:rFonts w:ascii="Times New Roman" w:hAnsi="Times New Roman" w:cs="Times New Roman"/>
          <w:i/>
          <w:iCs/>
        </w:rPr>
        <w:t>quoting</w:t>
      </w:r>
      <w:r>
        <w:rPr>
          <w:rFonts w:ascii="Times New Roman" w:hAnsi="Times New Roman" w:cs="Times New Roman"/>
        </w:rPr>
        <w:t xml:space="preserve"> </w:t>
      </w:r>
      <w:r w:rsidRPr="0056211A">
        <w:rPr>
          <w:rFonts w:ascii="Times New Roman" w:hAnsi="Times New Roman" w:cs="Times New Roman"/>
        </w:rPr>
        <w:t>Russell v. Workmen</w:t>
      </w:r>
      <w:r>
        <w:rPr>
          <w:rFonts w:ascii="Times New Roman" w:hAnsi="Times New Roman" w:cs="Times New Roman"/>
        </w:rPr>
        <w:t>’</w:t>
      </w:r>
      <w:r w:rsidRPr="0056211A">
        <w:rPr>
          <w:rFonts w:ascii="Times New Roman" w:hAnsi="Times New Roman" w:cs="Times New Roman"/>
        </w:rPr>
        <w:t>s Compensation Appeal Board (Volkswagen of America), 550 A.2d 1364, 1365 (</w:t>
      </w:r>
      <w:r>
        <w:rPr>
          <w:rFonts w:ascii="Times New Roman" w:hAnsi="Times New Roman" w:cs="Times New Roman"/>
        </w:rPr>
        <w:t xml:space="preserve">Pa. </w:t>
      </w:r>
      <w:r w:rsidRPr="0056211A">
        <w:rPr>
          <w:rFonts w:ascii="Times New Roman" w:hAnsi="Times New Roman" w:cs="Times New Roman"/>
        </w:rPr>
        <w:t>1988)</w:t>
      </w:r>
    </w:p>
  </w:footnote>
  <w:footnote w:id="958">
    <w:p w14:paraId="00CF6BF5" w14:textId="34E83859" w:rsidR="00336EDF" w:rsidRPr="00C82F4E" w:rsidRDefault="00336EDF">
      <w:pPr>
        <w:pStyle w:val="FootnoteText"/>
      </w:pPr>
      <w:r w:rsidRPr="00C82F4E">
        <w:rPr>
          <w:rStyle w:val="FootnoteReference"/>
          <w:rFonts w:ascii="Times New Roman" w:hAnsi="Times New Roman" w:cs="Times New Roman"/>
        </w:rPr>
        <w:footnoteRef/>
      </w:r>
      <w:r w:rsidRPr="00C82F4E">
        <w:rPr>
          <w:rFonts w:ascii="Times New Roman" w:hAnsi="Times New Roman" w:cs="Times New Roman"/>
        </w:rPr>
        <w:t xml:space="preserve"> </w:t>
      </w:r>
      <w:bookmarkStart w:id="1327" w:name="f918"/>
      <w:bookmarkStart w:id="1328" w:name="_Hlk13299450"/>
      <w:bookmarkEnd w:id="1327"/>
      <w:r w:rsidRPr="00112DC6">
        <w:rPr>
          <w:rFonts w:ascii="Times New Roman" w:hAnsi="Times New Roman" w:cs="Times New Roman"/>
        </w:rPr>
        <w:t>Newman v. Workers’ Safety &amp; Compensation Div.,</w:t>
      </w:r>
      <w:r w:rsidRPr="00112DC6">
        <w:rPr>
          <w:rFonts w:ascii="Times New Roman" w:hAnsi="Times New Roman" w:cs="Times New Roman"/>
          <w:i/>
          <w:iCs/>
        </w:rPr>
        <w:t xml:space="preserve"> supra</w:t>
      </w:r>
      <w:r w:rsidRPr="00112DC6">
        <w:rPr>
          <w:rFonts w:ascii="Times New Roman" w:hAnsi="Times New Roman" w:cs="Times New Roman"/>
        </w:rPr>
        <w:t xml:space="preserve">., 49 P.3d at </w:t>
      </w:r>
      <w:r>
        <w:rPr>
          <w:rFonts w:ascii="Times New Roman" w:hAnsi="Times New Roman" w:cs="Times New Roman"/>
        </w:rPr>
        <w:t>170</w:t>
      </w:r>
      <w:bookmarkEnd w:id="1328"/>
      <w:r>
        <w:rPr>
          <w:rFonts w:ascii="Times New Roman" w:hAnsi="Times New Roman" w:cs="Times New Roman"/>
        </w:rPr>
        <w:t xml:space="preserve"> </w:t>
      </w:r>
      <w:r w:rsidRPr="00C82F4E">
        <w:rPr>
          <w:rFonts w:ascii="Times New Roman" w:hAnsi="Times New Roman" w:cs="Times New Roman"/>
          <w:i/>
          <w:iCs/>
        </w:rPr>
        <w:t>quoting</w:t>
      </w:r>
      <w:r>
        <w:rPr>
          <w:rFonts w:ascii="Times New Roman" w:hAnsi="Times New Roman" w:cs="Times New Roman"/>
          <w:i/>
          <w:iCs/>
        </w:rPr>
        <w:t xml:space="preserve"> </w:t>
      </w:r>
      <w:r w:rsidRPr="00C82F4E">
        <w:rPr>
          <w:rFonts w:ascii="Times New Roman" w:hAnsi="Times New Roman" w:cs="Times New Roman"/>
        </w:rPr>
        <w:t>City of Casper v. Utech, 895 P.2d 449, 452 (Wyo.1995)</w:t>
      </w:r>
    </w:p>
  </w:footnote>
  <w:footnote w:id="959">
    <w:p w14:paraId="6C391423" w14:textId="4BEB6E1A" w:rsidR="00336EDF" w:rsidRDefault="00336EDF">
      <w:pPr>
        <w:pStyle w:val="FootnoteText"/>
      </w:pPr>
      <w:r w:rsidRPr="00207B01">
        <w:rPr>
          <w:rStyle w:val="FootnoteReference"/>
          <w:rFonts w:ascii="Times New Roman" w:hAnsi="Times New Roman" w:cs="Times New Roman"/>
        </w:rPr>
        <w:footnoteRef/>
      </w:r>
      <w:r>
        <w:t xml:space="preserve"> </w:t>
      </w:r>
      <w:bookmarkStart w:id="1329" w:name="f919"/>
      <w:bookmarkStart w:id="1330" w:name="_Hlk13300435"/>
      <w:bookmarkEnd w:id="1329"/>
      <w:r w:rsidRPr="00207B01">
        <w:rPr>
          <w:rFonts w:ascii="Times New Roman" w:hAnsi="Times New Roman" w:cs="Times New Roman"/>
        </w:rPr>
        <w:t>188 P.3d 554 (Wyo. 2008)</w:t>
      </w:r>
      <w:bookmarkEnd w:id="1330"/>
    </w:p>
  </w:footnote>
  <w:footnote w:id="960">
    <w:p w14:paraId="71090FC6" w14:textId="0499CCB1" w:rsidR="00336EDF" w:rsidRDefault="00336EDF">
      <w:pPr>
        <w:pStyle w:val="FootnoteText"/>
      </w:pPr>
      <w:r w:rsidRPr="00207B01">
        <w:rPr>
          <w:rStyle w:val="FootnoteReference"/>
          <w:rFonts w:ascii="Times New Roman" w:hAnsi="Times New Roman" w:cs="Times New Roman"/>
        </w:rPr>
        <w:footnoteRef/>
      </w:r>
      <w:r w:rsidRPr="00207B01">
        <w:rPr>
          <w:rFonts w:ascii="Times New Roman" w:hAnsi="Times New Roman" w:cs="Times New Roman"/>
        </w:rPr>
        <w:t xml:space="preserve"> </w:t>
      </w:r>
      <w:bookmarkStart w:id="1331" w:name="f920"/>
      <w:bookmarkEnd w:id="1331"/>
      <w:r w:rsidRPr="00112DC6">
        <w:rPr>
          <w:rFonts w:ascii="Times New Roman" w:hAnsi="Times New Roman" w:cs="Times New Roman"/>
        </w:rPr>
        <w:t>Newman v. Workers’ Safety &amp; Compensation Div.,</w:t>
      </w:r>
      <w:r w:rsidRPr="00112DC6">
        <w:rPr>
          <w:rFonts w:ascii="Times New Roman" w:hAnsi="Times New Roman" w:cs="Times New Roman"/>
          <w:i/>
          <w:iCs/>
        </w:rPr>
        <w:t xml:space="preserve"> supra</w:t>
      </w:r>
      <w:r w:rsidRPr="00112DC6">
        <w:rPr>
          <w:rFonts w:ascii="Times New Roman" w:hAnsi="Times New Roman" w:cs="Times New Roman"/>
        </w:rPr>
        <w:t xml:space="preserve">., 49 P.3d at </w:t>
      </w:r>
      <w:r>
        <w:rPr>
          <w:rFonts w:ascii="Times New Roman" w:hAnsi="Times New Roman" w:cs="Times New Roman"/>
        </w:rPr>
        <w:t>170-171</w:t>
      </w:r>
    </w:p>
  </w:footnote>
  <w:footnote w:id="961">
    <w:p w14:paraId="2D7B003D" w14:textId="6E691A96" w:rsidR="00336EDF" w:rsidRDefault="00336EDF" w:rsidP="006075AC">
      <w:pPr>
        <w:pStyle w:val="FootnoteText"/>
        <w:jc w:val="both"/>
      </w:pPr>
      <w:r w:rsidRPr="006075AC">
        <w:rPr>
          <w:rStyle w:val="FootnoteReference"/>
          <w:rFonts w:ascii="Times New Roman" w:hAnsi="Times New Roman" w:cs="Times New Roman"/>
        </w:rPr>
        <w:footnoteRef/>
      </w:r>
      <w:r w:rsidRPr="006075AC">
        <w:rPr>
          <w:rFonts w:ascii="Times New Roman" w:hAnsi="Times New Roman" w:cs="Times New Roman"/>
        </w:rPr>
        <w:t xml:space="preserve"> </w:t>
      </w:r>
      <w:bookmarkStart w:id="1332" w:name="f921"/>
      <w:bookmarkEnd w:id="1332"/>
      <w:r w:rsidRPr="006075AC">
        <w:rPr>
          <w:rFonts w:ascii="Times New Roman" w:hAnsi="Times New Roman" w:cs="Times New Roman"/>
        </w:rPr>
        <w:t>Adoption of the language was</w:t>
      </w:r>
      <w:r>
        <w:rPr>
          <w:rFonts w:ascii="Times New Roman" w:hAnsi="Times New Roman" w:cs="Times New Roman"/>
        </w:rPr>
        <w:t>, in this writer’s opinion,</w:t>
      </w:r>
      <w:r w:rsidRPr="006075AC">
        <w:rPr>
          <w:rFonts w:ascii="Times New Roman" w:hAnsi="Times New Roman" w:cs="Times New Roman"/>
        </w:rPr>
        <w:t xml:space="preserve"> </w:t>
      </w:r>
      <w:r>
        <w:rPr>
          <w:rFonts w:ascii="Times New Roman" w:hAnsi="Times New Roman" w:cs="Times New Roman"/>
        </w:rPr>
        <w:t xml:space="preserve">a </w:t>
      </w:r>
      <w:r w:rsidRPr="006075AC">
        <w:rPr>
          <w:rFonts w:ascii="Times New Roman" w:hAnsi="Times New Roman" w:cs="Times New Roman"/>
        </w:rPr>
        <w:t xml:space="preserve">mistake in the first place. Duff, </w:t>
      </w:r>
      <w:r w:rsidRPr="006075AC">
        <w:rPr>
          <w:rFonts w:ascii="Times New Roman" w:hAnsi="Times New Roman" w:cs="Times New Roman"/>
          <w:i/>
          <w:iCs/>
        </w:rPr>
        <w:t>A Tale of Two Standards</w:t>
      </w:r>
      <w:r w:rsidRPr="006075AC">
        <w:rPr>
          <w:rFonts w:ascii="Times New Roman" w:hAnsi="Times New Roman" w:cs="Times New Roman"/>
        </w:rPr>
        <w:t xml:space="preserve">, 18 </w:t>
      </w:r>
      <w:r w:rsidRPr="006075AC">
        <w:rPr>
          <w:rFonts w:ascii="Times New Roman" w:hAnsi="Times New Roman" w:cs="Times New Roman"/>
          <w:smallCaps/>
        </w:rPr>
        <w:t xml:space="preserve">Wyo. L. Rev. </w:t>
      </w:r>
      <w:r w:rsidRPr="006075AC">
        <w:rPr>
          <w:rFonts w:ascii="Times New Roman" w:hAnsi="Times New Roman" w:cs="Times New Roman"/>
        </w:rPr>
        <w:t>at 12-15</w:t>
      </w:r>
    </w:p>
  </w:footnote>
  <w:footnote w:id="962">
    <w:p w14:paraId="6DF88AB2" w14:textId="4BBF53CD" w:rsidR="00336EDF" w:rsidRDefault="00336EDF">
      <w:pPr>
        <w:pStyle w:val="FootnoteText"/>
      </w:pPr>
      <w:r w:rsidRPr="00BF00ED">
        <w:rPr>
          <w:rStyle w:val="FootnoteReference"/>
          <w:rFonts w:ascii="Times New Roman" w:hAnsi="Times New Roman" w:cs="Times New Roman"/>
        </w:rPr>
        <w:footnoteRef/>
      </w:r>
      <w:r>
        <w:t xml:space="preserve"> </w:t>
      </w:r>
      <w:bookmarkStart w:id="1333" w:name="f922"/>
      <w:bookmarkEnd w:id="1333"/>
      <w:r w:rsidRPr="00BF00ED">
        <w:rPr>
          <w:rFonts w:ascii="Times New Roman" w:hAnsi="Times New Roman" w:cs="Times New Roman"/>
        </w:rPr>
        <w:t xml:space="preserve">Dale v. S&amp;S Builders, </w:t>
      </w:r>
      <w:r w:rsidRPr="00B8426D">
        <w:rPr>
          <w:rFonts w:ascii="Times New Roman" w:hAnsi="Times New Roman" w:cs="Times New Roman"/>
          <w:i/>
          <w:iCs/>
        </w:rPr>
        <w:t>supra</w:t>
      </w:r>
      <w:r w:rsidRPr="00BF00ED">
        <w:rPr>
          <w:rFonts w:ascii="Times New Roman" w:hAnsi="Times New Roman" w:cs="Times New Roman"/>
        </w:rPr>
        <w:t>., 188 P.3d at 561</w:t>
      </w:r>
    </w:p>
  </w:footnote>
  <w:footnote w:id="963">
    <w:p w14:paraId="059F48A1" w14:textId="3D5C6F7D" w:rsidR="00336EDF" w:rsidRDefault="00336EDF">
      <w:pPr>
        <w:pStyle w:val="FootnoteText"/>
      </w:pPr>
      <w:r w:rsidRPr="005B28BC">
        <w:rPr>
          <w:rStyle w:val="FootnoteReference"/>
          <w:rFonts w:ascii="Times New Roman" w:hAnsi="Times New Roman" w:cs="Times New Roman"/>
        </w:rPr>
        <w:footnoteRef/>
      </w:r>
      <w:r>
        <w:t xml:space="preserve"> </w:t>
      </w:r>
      <w:r w:rsidRPr="005B28BC">
        <w:t xml:space="preserve"> </w:t>
      </w:r>
      <w:bookmarkStart w:id="1334" w:name="f923"/>
      <w:bookmarkEnd w:id="1334"/>
      <w:r w:rsidRPr="005B28BC">
        <w:rPr>
          <w:rFonts w:ascii="Times New Roman" w:hAnsi="Times New Roman" w:cs="Times New Roman"/>
        </w:rPr>
        <w:t xml:space="preserve">Allentown Mack Sales &amp; Serv. v. NLRB, </w:t>
      </w:r>
      <w:hyperlink r:id="rId408" w:history="1">
        <w:r w:rsidRPr="005B28BC">
          <w:rPr>
            <w:rStyle w:val="Hyperlink"/>
            <w:rFonts w:ascii="Times New Roman" w:hAnsi="Times New Roman" w:cs="Times New Roman"/>
          </w:rPr>
          <w:t>522 U.S. 359</w:t>
        </w:r>
      </w:hyperlink>
      <w:r w:rsidRPr="005B28BC">
        <w:rPr>
          <w:rFonts w:ascii="Times New Roman" w:hAnsi="Times New Roman" w:cs="Times New Roman"/>
        </w:rPr>
        <w:t xml:space="preserve">, 374 (1998) </w:t>
      </w:r>
    </w:p>
  </w:footnote>
  <w:footnote w:id="964">
    <w:p w14:paraId="1BE640C6" w14:textId="4386F92E" w:rsidR="00336EDF" w:rsidRDefault="00336EDF" w:rsidP="009A6433">
      <w:pPr>
        <w:pStyle w:val="FootnoteText"/>
        <w:jc w:val="both"/>
      </w:pPr>
      <w:r w:rsidRPr="00A27B30">
        <w:rPr>
          <w:rStyle w:val="FootnoteReference"/>
          <w:rFonts w:ascii="Times New Roman" w:hAnsi="Times New Roman" w:cs="Times New Roman"/>
        </w:rPr>
        <w:footnoteRef/>
      </w:r>
      <w:r w:rsidRPr="00A27B30">
        <w:rPr>
          <w:rFonts w:ascii="Times New Roman" w:hAnsi="Times New Roman" w:cs="Times New Roman"/>
        </w:rPr>
        <w:t xml:space="preserve"> </w:t>
      </w:r>
      <w:bookmarkStart w:id="1337" w:name="f924"/>
      <w:bookmarkStart w:id="1338" w:name="_Hlk13389870"/>
      <w:bookmarkEnd w:id="1337"/>
      <w:r w:rsidRPr="00746B73">
        <w:rPr>
          <w:rFonts w:ascii="Times New Roman" w:hAnsi="Times New Roman" w:cs="Times New Roman"/>
        </w:rPr>
        <w:t>1</w:t>
      </w:r>
      <w:r>
        <w:rPr>
          <w:rFonts w:ascii="Times New Roman" w:hAnsi="Times New Roman" w:cs="Times New Roman"/>
        </w:rPr>
        <w:t>0</w:t>
      </w:r>
      <w:r w:rsidRPr="00746B73">
        <w:rPr>
          <w:rFonts w:ascii="Times New Roman" w:hAnsi="Times New Roman" w:cs="Times New Roman"/>
        </w:rPr>
        <w:t xml:space="preserve"> </w:t>
      </w:r>
      <w:bookmarkStart w:id="1339" w:name="_Hlk13808944"/>
      <w:r w:rsidRPr="00746B73">
        <w:rPr>
          <w:rFonts w:ascii="Times New Roman" w:hAnsi="Times New Roman" w:cs="Times New Roman"/>
          <w:smallCaps/>
        </w:rPr>
        <w:t>Larson's Workers</w:t>
      </w:r>
      <w:r>
        <w:rPr>
          <w:rFonts w:ascii="Times New Roman" w:hAnsi="Times New Roman" w:cs="Times New Roman"/>
          <w:smallCaps/>
        </w:rPr>
        <w:t>’</w:t>
      </w:r>
      <w:r w:rsidRPr="00746B73">
        <w:rPr>
          <w:rFonts w:ascii="Times New Roman" w:hAnsi="Times New Roman" w:cs="Times New Roman"/>
          <w:smallCaps/>
        </w:rPr>
        <w:t xml:space="preserve"> Compensation Law</w:t>
      </w:r>
      <w:r w:rsidRPr="00746B73">
        <w:rPr>
          <w:rFonts w:ascii="Times New Roman" w:hAnsi="Times New Roman" w:cs="Times New Roman"/>
        </w:rPr>
        <w:t xml:space="preserve"> § 1</w:t>
      </w:r>
      <w:r>
        <w:rPr>
          <w:rFonts w:ascii="Times New Roman" w:hAnsi="Times New Roman" w:cs="Times New Roman"/>
        </w:rPr>
        <w:t>10</w:t>
      </w:r>
      <w:r w:rsidRPr="00746B73">
        <w:rPr>
          <w:rFonts w:ascii="Times New Roman" w:hAnsi="Times New Roman" w:cs="Times New Roman"/>
        </w:rPr>
        <w:t>.0</w:t>
      </w:r>
      <w:r>
        <w:rPr>
          <w:rFonts w:ascii="Times New Roman" w:hAnsi="Times New Roman" w:cs="Times New Roman"/>
        </w:rPr>
        <w:t xml:space="preserve">1 </w:t>
      </w:r>
      <w:bookmarkEnd w:id="1338"/>
      <w:bookmarkEnd w:id="1339"/>
    </w:p>
  </w:footnote>
  <w:footnote w:id="965">
    <w:p w14:paraId="7F0B73F7" w14:textId="02966627" w:rsidR="00336EDF" w:rsidRDefault="00336EDF">
      <w:pPr>
        <w:pStyle w:val="FootnoteText"/>
      </w:pPr>
      <w:r w:rsidRPr="00C30DD6">
        <w:rPr>
          <w:rStyle w:val="FootnoteReference"/>
          <w:rFonts w:ascii="Times New Roman" w:hAnsi="Times New Roman" w:cs="Times New Roman"/>
        </w:rPr>
        <w:footnoteRef/>
      </w:r>
      <w:r w:rsidRPr="00C30DD6">
        <w:rPr>
          <w:rFonts w:ascii="Times New Roman" w:hAnsi="Times New Roman" w:cs="Times New Roman"/>
        </w:rPr>
        <w:t xml:space="preserve"> </w:t>
      </w:r>
      <w:bookmarkStart w:id="1340" w:name="f925"/>
      <w:bookmarkEnd w:id="1340"/>
      <w:r w:rsidRPr="00C30DD6">
        <w:rPr>
          <w:rFonts w:ascii="Times New Roman" w:hAnsi="Times New Roman" w:cs="Times New Roman"/>
          <w:i/>
          <w:iCs/>
        </w:rPr>
        <w:t>Id.</w:t>
      </w:r>
    </w:p>
  </w:footnote>
  <w:footnote w:id="966">
    <w:p w14:paraId="35BB2A00" w14:textId="5F613BBD" w:rsidR="00336EDF" w:rsidRDefault="00336EDF" w:rsidP="009A6433">
      <w:pPr>
        <w:pStyle w:val="FootnoteText"/>
        <w:jc w:val="both"/>
      </w:pPr>
      <w:r w:rsidRPr="00C30DD6">
        <w:rPr>
          <w:rStyle w:val="FootnoteReference"/>
          <w:rFonts w:ascii="Times New Roman" w:hAnsi="Times New Roman" w:cs="Times New Roman"/>
        </w:rPr>
        <w:footnoteRef/>
      </w:r>
      <w:bookmarkStart w:id="1341" w:name="f926"/>
      <w:bookmarkStart w:id="1342" w:name="_Hlk13497204"/>
      <w:bookmarkStart w:id="1343" w:name="_Hlk13501803"/>
      <w:bookmarkEnd w:id="1341"/>
      <w:r w:rsidRPr="00746B73">
        <w:rPr>
          <w:rFonts w:ascii="Times New Roman" w:hAnsi="Times New Roman" w:cs="Times New Roman"/>
        </w:rPr>
        <w:t>1</w:t>
      </w:r>
      <w:r>
        <w:rPr>
          <w:rFonts w:ascii="Times New Roman" w:hAnsi="Times New Roman" w:cs="Times New Roman"/>
        </w:rPr>
        <w:t>0</w:t>
      </w:r>
      <w:r w:rsidRPr="00746B73">
        <w:rPr>
          <w:rFonts w:ascii="Times New Roman" w:hAnsi="Times New Roman" w:cs="Times New Roman"/>
        </w:rPr>
        <w:t xml:space="preserve"> </w:t>
      </w:r>
      <w:r w:rsidRPr="00746B73">
        <w:rPr>
          <w:rFonts w:ascii="Times New Roman" w:hAnsi="Times New Roman" w:cs="Times New Roman"/>
          <w:smallCaps/>
        </w:rPr>
        <w:t>Larson's Workers</w:t>
      </w:r>
      <w:r>
        <w:rPr>
          <w:rFonts w:ascii="Times New Roman" w:hAnsi="Times New Roman" w:cs="Times New Roman"/>
          <w:smallCaps/>
        </w:rPr>
        <w:t xml:space="preserve">’ </w:t>
      </w:r>
      <w:r w:rsidRPr="00746B73">
        <w:rPr>
          <w:rFonts w:ascii="Times New Roman" w:hAnsi="Times New Roman" w:cs="Times New Roman"/>
          <w:smallCaps/>
        </w:rPr>
        <w:t>Compensation Law</w:t>
      </w:r>
      <w:r w:rsidRPr="00746B73">
        <w:rPr>
          <w:rFonts w:ascii="Times New Roman" w:hAnsi="Times New Roman" w:cs="Times New Roman"/>
        </w:rPr>
        <w:t xml:space="preserve"> § 1</w:t>
      </w:r>
      <w:r>
        <w:rPr>
          <w:rFonts w:ascii="Times New Roman" w:hAnsi="Times New Roman" w:cs="Times New Roman"/>
        </w:rPr>
        <w:t>17</w:t>
      </w:r>
      <w:r w:rsidRPr="00746B73">
        <w:rPr>
          <w:rFonts w:ascii="Times New Roman" w:hAnsi="Times New Roman" w:cs="Times New Roman"/>
        </w:rPr>
        <w:t>.0</w:t>
      </w:r>
      <w:bookmarkEnd w:id="1342"/>
      <w:r>
        <w:rPr>
          <w:rFonts w:ascii="Times New Roman" w:hAnsi="Times New Roman" w:cs="Times New Roman"/>
        </w:rPr>
        <w:t xml:space="preserve">1 </w:t>
      </w:r>
      <w:bookmarkEnd w:id="1343"/>
      <w:r>
        <w:rPr>
          <w:rFonts w:ascii="Times New Roman" w:hAnsi="Times New Roman" w:cs="Times New Roman"/>
        </w:rPr>
        <w:t>(“</w:t>
      </w:r>
      <w:r w:rsidRPr="009A6433">
        <w:rPr>
          <w:rFonts w:ascii="Times New Roman" w:hAnsi="Times New Roman" w:cs="Times New Roman"/>
        </w:rPr>
        <w:t>Under most subrogation statutes</w:t>
      </w:r>
      <w:r>
        <w:rPr>
          <w:rFonts w:ascii="Times New Roman" w:hAnsi="Times New Roman" w:cs="Times New Roman"/>
        </w:rPr>
        <w:t xml:space="preserve"> </w:t>
      </w:r>
      <w:r w:rsidRPr="009A6433">
        <w:rPr>
          <w:rFonts w:ascii="Times New Roman" w:hAnsi="Times New Roman" w:cs="Times New Roman"/>
        </w:rPr>
        <w:t>the payor of compensation gets reimbursement for the amount of its expenditure as a first claim upon the proceeds of the third-party recovery</w:t>
      </w:r>
      <w:r>
        <w:rPr>
          <w:rFonts w:ascii="Times New Roman" w:hAnsi="Times New Roman" w:cs="Times New Roman"/>
        </w:rPr>
        <w:t>.”)</w:t>
      </w:r>
    </w:p>
  </w:footnote>
  <w:footnote w:id="967">
    <w:p w14:paraId="2337F734" w14:textId="4A72BE8B" w:rsidR="00336EDF" w:rsidRDefault="00336EDF">
      <w:pPr>
        <w:pStyle w:val="FootnoteText"/>
      </w:pPr>
      <w:r w:rsidRPr="00290407">
        <w:rPr>
          <w:rStyle w:val="FootnoteReference"/>
          <w:rFonts w:ascii="Times New Roman" w:hAnsi="Times New Roman" w:cs="Times New Roman"/>
        </w:rPr>
        <w:footnoteRef/>
      </w:r>
      <w:r>
        <w:t xml:space="preserve"> </w:t>
      </w:r>
      <w:bookmarkStart w:id="1345" w:name="f927"/>
      <w:bookmarkEnd w:id="1345"/>
      <w:r w:rsidRPr="00290407">
        <w:rPr>
          <w:rFonts w:ascii="Times New Roman" w:hAnsi="Times New Roman" w:cs="Times New Roman"/>
          <w:i/>
          <w:iCs/>
        </w:rPr>
        <w:t>See</w:t>
      </w:r>
      <w:r w:rsidRPr="00290407">
        <w:rPr>
          <w:rFonts w:ascii="Times New Roman" w:hAnsi="Times New Roman" w:cs="Times New Roman"/>
        </w:rPr>
        <w:t xml:space="preserve"> this Treatise above at Sections 1.7 and 1.8</w:t>
      </w:r>
    </w:p>
  </w:footnote>
  <w:footnote w:id="968">
    <w:p w14:paraId="0D90897B" w14:textId="64EF9B19" w:rsidR="00336EDF" w:rsidRPr="0056584D" w:rsidRDefault="00336EDF" w:rsidP="0056584D">
      <w:pPr>
        <w:pStyle w:val="FootnoteText"/>
        <w:jc w:val="both"/>
        <w:rPr>
          <w:rFonts w:ascii="Times New Roman" w:hAnsi="Times New Roman" w:cs="Times New Roman"/>
        </w:rPr>
      </w:pPr>
      <w:r w:rsidRPr="0056584D">
        <w:rPr>
          <w:rStyle w:val="FootnoteReference"/>
          <w:rFonts w:ascii="Times New Roman" w:hAnsi="Times New Roman" w:cs="Times New Roman"/>
        </w:rPr>
        <w:footnoteRef/>
      </w:r>
      <w:r>
        <w:t xml:space="preserve"> </w:t>
      </w:r>
      <w:bookmarkStart w:id="1346" w:name="f928"/>
      <w:bookmarkEnd w:id="1346"/>
      <w:r w:rsidRPr="0056584D">
        <w:rPr>
          <w:rFonts w:ascii="Times New Roman" w:hAnsi="Times New Roman" w:cs="Times New Roman"/>
          <w:i/>
          <w:iCs/>
        </w:rPr>
        <w:t>See also</w:t>
      </w:r>
      <w:r w:rsidRPr="0056584D">
        <w:rPr>
          <w:rFonts w:ascii="Times New Roman" w:hAnsi="Times New Roman" w:cs="Times New Roman"/>
        </w:rPr>
        <w:t xml:space="preserve"> W.S. § 27-14-201(d)( “If the division, by a preponderance of the evidence, determines that an employee's injury was primarily caused by a third party, the injury shall not be charged to the employer's account.”)</w:t>
      </w:r>
    </w:p>
  </w:footnote>
  <w:footnote w:id="969">
    <w:p w14:paraId="0E43A08F" w14:textId="055118E8" w:rsidR="00336EDF" w:rsidRDefault="00336EDF">
      <w:pPr>
        <w:pStyle w:val="FootnoteText"/>
      </w:pPr>
      <w:r w:rsidRPr="00B8426D">
        <w:rPr>
          <w:rStyle w:val="FootnoteReference"/>
          <w:rFonts w:ascii="Times New Roman" w:hAnsi="Times New Roman" w:cs="Times New Roman"/>
        </w:rPr>
        <w:footnoteRef/>
      </w:r>
      <w:r w:rsidRPr="00B8426D">
        <w:rPr>
          <w:rFonts w:ascii="Times New Roman" w:hAnsi="Times New Roman" w:cs="Times New Roman"/>
        </w:rPr>
        <w:t xml:space="preserve"> </w:t>
      </w:r>
      <w:bookmarkStart w:id="1347" w:name="f929"/>
      <w:bookmarkEnd w:id="1347"/>
      <w:r w:rsidRPr="00746B73">
        <w:rPr>
          <w:rFonts w:ascii="Times New Roman" w:hAnsi="Times New Roman" w:cs="Times New Roman"/>
        </w:rPr>
        <w:t>1</w:t>
      </w:r>
      <w:r>
        <w:rPr>
          <w:rFonts w:ascii="Times New Roman" w:hAnsi="Times New Roman" w:cs="Times New Roman"/>
        </w:rPr>
        <w:t>0</w:t>
      </w:r>
      <w:r w:rsidRPr="00746B73">
        <w:rPr>
          <w:rFonts w:ascii="Times New Roman" w:hAnsi="Times New Roman" w:cs="Times New Roman"/>
        </w:rPr>
        <w:t xml:space="preserve"> </w:t>
      </w:r>
      <w:r w:rsidRPr="00746B73">
        <w:rPr>
          <w:rFonts w:ascii="Times New Roman" w:hAnsi="Times New Roman" w:cs="Times New Roman"/>
          <w:smallCaps/>
        </w:rPr>
        <w:t>Larson's Workers</w:t>
      </w:r>
      <w:r>
        <w:rPr>
          <w:rFonts w:ascii="Times New Roman" w:hAnsi="Times New Roman" w:cs="Times New Roman"/>
          <w:smallCaps/>
        </w:rPr>
        <w:t xml:space="preserve">’ </w:t>
      </w:r>
      <w:r w:rsidRPr="00746B73">
        <w:rPr>
          <w:rFonts w:ascii="Times New Roman" w:hAnsi="Times New Roman" w:cs="Times New Roman"/>
          <w:smallCaps/>
        </w:rPr>
        <w:t>Compensation Law</w:t>
      </w:r>
      <w:r w:rsidRPr="00746B73">
        <w:rPr>
          <w:rFonts w:ascii="Times New Roman" w:hAnsi="Times New Roman" w:cs="Times New Roman"/>
        </w:rPr>
        <w:t xml:space="preserve"> § 1</w:t>
      </w:r>
      <w:r>
        <w:rPr>
          <w:rFonts w:ascii="Times New Roman" w:hAnsi="Times New Roman" w:cs="Times New Roman"/>
        </w:rPr>
        <w:t>10</w:t>
      </w:r>
      <w:r w:rsidRPr="00746B73">
        <w:rPr>
          <w:rFonts w:ascii="Times New Roman" w:hAnsi="Times New Roman" w:cs="Times New Roman"/>
        </w:rPr>
        <w:t>.0</w:t>
      </w:r>
      <w:r>
        <w:rPr>
          <w:rFonts w:ascii="Times New Roman" w:hAnsi="Times New Roman" w:cs="Times New Roman"/>
        </w:rPr>
        <w:t>2</w:t>
      </w:r>
    </w:p>
  </w:footnote>
  <w:footnote w:id="970">
    <w:p w14:paraId="4037BCE7" w14:textId="1F0EC4E3" w:rsidR="00336EDF" w:rsidRDefault="00336EDF">
      <w:pPr>
        <w:pStyle w:val="FootnoteText"/>
      </w:pPr>
      <w:r w:rsidRPr="009A6433">
        <w:rPr>
          <w:rStyle w:val="FootnoteReference"/>
          <w:rFonts w:ascii="Times New Roman" w:hAnsi="Times New Roman" w:cs="Times New Roman"/>
        </w:rPr>
        <w:footnoteRef/>
      </w:r>
      <w:r w:rsidRPr="009A6433">
        <w:rPr>
          <w:rFonts w:ascii="Times New Roman" w:hAnsi="Times New Roman" w:cs="Times New Roman"/>
        </w:rPr>
        <w:t xml:space="preserve"> </w:t>
      </w:r>
      <w:bookmarkStart w:id="1348" w:name="f930"/>
      <w:bookmarkEnd w:id="1348"/>
      <w:r w:rsidRPr="009A6433">
        <w:rPr>
          <w:rFonts w:ascii="Times New Roman" w:hAnsi="Times New Roman" w:cs="Times New Roman"/>
          <w:i/>
          <w:iCs/>
        </w:rPr>
        <w:t>Id.</w:t>
      </w:r>
    </w:p>
  </w:footnote>
  <w:footnote w:id="971">
    <w:p w14:paraId="59B9C95C" w14:textId="4D9B06A2" w:rsidR="00336EDF" w:rsidRDefault="00336EDF">
      <w:pPr>
        <w:pStyle w:val="FootnoteText"/>
      </w:pPr>
      <w:r w:rsidRPr="002A00FA">
        <w:rPr>
          <w:rStyle w:val="FootnoteReference"/>
          <w:rFonts w:ascii="Times New Roman" w:hAnsi="Times New Roman" w:cs="Times New Roman"/>
        </w:rPr>
        <w:footnoteRef/>
      </w:r>
      <w:r w:rsidRPr="002A00FA">
        <w:rPr>
          <w:rFonts w:ascii="Times New Roman" w:hAnsi="Times New Roman" w:cs="Times New Roman"/>
        </w:rPr>
        <w:t xml:space="preserve"> </w:t>
      </w:r>
      <w:bookmarkStart w:id="1349" w:name="f931"/>
      <w:bookmarkEnd w:id="1349"/>
      <w:r w:rsidRPr="002A00FA">
        <w:rPr>
          <w:rFonts w:ascii="Times New Roman" w:hAnsi="Times New Roman" w:cs="Times New Roman"/>
        </w:rPr>
        <w:t>Streeter v. Amerequip Corp,.</w:t>
      </w:r>
      <w:hyperlink r:id="rId409" w:history="1">
        <w:r w:rsidRPr="002A00FA">
          <w:rPr>
            <w:rStyle w:val="Hyperlink"/>
            <w:rFonts w:ascii="Times New Roman" w:hAnsi="Times New Roman" w:cs="Times New Roman"/>
          </w:rPr>
          <w:t>968 F.Supp. 624</w:t>
        </w:r>
      </w:hyperlink>
      <w:r>
        <w:rPr>
          <w:rFonts w:ascii="Times New Roman" w:hAnsi="Times New Roman" w:cs="Times New Roman"/>
        </w:rPr>
        <w:t xml:space="preserve"> (D.Wyo.1997)</w:t>
      </w:r>
    </w:p>
  </w:footnote>
  <w:footnote w:id="972">
    <w:p w14:paraId="1761440F" w14:textId="1E3C6091" w:rsidR="00336EDF" w:rsidRDefault="00336EDF">
      <w:pPr>
        <w:pStyle w:val="FootnoteText"/>
      </w:pPr>
      <w:r w:rsidRPr="00862EF1">
        <w:rPr>
          <w:rStyle w:val="FootnoteReference"/>
          <w:rFonts w:ascii="Times New Roman" w:hAnsi="Times New Roman" w:cs="Times New Roman"/>
        </w:rPr>
        <w:footnoteRef/>
      </w:r>
      <w:r>
        <w:t xml:space="preserve"> </w:t>
      </w:r>
      <w:bookmarkStart w:id="1350" w:name="f932"/>
      <w:bookmarkEnd w:id="1350"/>
      <w:r>
        <w:fldChar w:fldCharType="begin"/>
      </w:r>
      <w:r>
        <w:instrText xml:space="preserve"> HYPERLINK "https://www.leagle.com/decision/20061266148p3d111811266" </w:instrText>
      </w:r>
      <w:r>
        <w:fldChar w:fldCharType="separate"/>
      </w:r>
      <w:r w:rsidRPr="00862EF1">
        <w:rPr>
          <w:rStyle w:val="Hyperlink"/>
          <w:rFonts w:ascii="Times New Roman" w:hAnsi="Times New Roman" w:cs="Times New Roman"/>
        </w:rPr>
        <w:t>148 P.3d 1118</w:t>
      </w:r>
      <w:r>
        <w:rPr>
          <w:rStyle w:val="Hyperlink"/>
          <w:rFonts w:ascii="Times New Roman" w:hAnsi="Times New Roman" w:cs="Times New Roman"/>
        </w:rPr>
        <w:fldChar w:fldCharType="end"/>
      </w:r>
      <w:r w:rsidRPr="00862EF1">
        <w:rPr>
          <w:rFonts w:ascii="Times New Roman" w:hAnsi="Times New Roman" w:cs="Times New Roman"/>
        </w:rPr>
        <w:t xml:space="preserve"> (Wyo. 2006)</w:t>
      </w:r>
    </w:p>
  </w:footnote>
  <w:footnote w:id="973">
    <w:p w14:paraId="2D23CE82" w14:textId="5ACDB15F" w:rsidR="00336EDF" w:rsidRDefault="00336EDF">
      <w:pPr>
        <w:pStyle w:val="FootnoteText"/>
      </w:pPr>
      <w:r w:rsidRPr="00862EF1">
        <w:rPr>
          <w:rStyle w:val="FootnoteReference"/>
          <w:rFonts w:ascii="Times New Roman" w:hAnsi="Times New Roman" w:cs="Times New Roman"/>
        </w:rPr>
        <w:footnoteRef/>
      </w:r>
      <w:bookmarkStart w:id="1351" w:name="f933"/>
      <w:bookmarkEnd w:id="1351"/>
      <w:r w:rsidRPr="00862EF1">
        <w:rPr>
          <w:rFonts w:ascii="Times New Roman" w:hAnsi="Times New Roman" w:cs="Times New Roman"/>
          <w:i/>
          <w:iCs/>
        </w:rPr>
        <w:t xml:space="preserve"> Id</w:t>
      </w:r>
      <w:r w:rsidRPr="00862EF1">
        <w:rPr>
          <w:rFonts w:ascii="Times New Roman" w:hAnsi="Times New Roman" w:cs="Times New Roman"/>
        </w:rPr>
        <w:t>. at 1119</w:t>
      </w:r>
    </w:p>
  </w:footnote>
  <w:footnote w:id="974">
    <w:p w14:paraId="046951BF" w14:textId="365DCED1" w:rsidR="00336EDF" w:rsidRDefault="00336EDF">
      <w:pPr>
        <w:pStyle w:val="FootnoteText"/>
      </w:pPr>
      <w:r w:rsidRPr="00862EF1">
        <w:rPr>
          <w:rStyle w:val="FootnoteReference"/>
          <w:rFonts w:ascii="Times New Roman" w:hAnsi="Times New Roman" w:cs="Times New Roman"/>
        </w:rPr>
        <w:footnoteRef/>
      </w:r>
      <w:r>
        <w:t xml:space="preserve"> </w:t>
      </w:r>
      <w:bookmarkStart w:id="1352" w:name="f934"/>
      <w:bookmarkEnd w:id="1352"/>
      <w:r w:rsidRPr="00862EF1">
        <w:rPr>
          <w:rFonts w:ascii="Times New Roman" w:hAnsi="Times New Roman" w:cs="Times New Roman"/>
          <w:i/>
          <w:iCs/>
        </w:rPr>
        <w:t>Id</w:t>
      </w:r>
      <w:r w:rsidRPr="00862EF1">
        <w:rPr>
          <w:rFonts w:ascii="Times New Roman" w:hAnsi="Times New Roman" w:cs="Times New Roman"/>
        </w:rPr>
        <w:t>. at 1119-1120</w:t>
      </w:r>
    </w:p>
  </w:footnote>
  <w:footnote w:id="975">
    <w:p w14:paraId="4DAB0781" w14:textId="2A0BD5E2" w:rsidR="00336EDF" w:rsidRDefault="00336EDF">
      <w:pPr>
        <w:pStyle w:val="FootnoteText"/>
      </w:pPr>
      <w:r w:rsidRPr="00862EF1">
        <w:rPr>
          <w:rStyle w:val="FootnoteReference"/>
          <w:rFonts w:ascii="Times New Roman" w:hAnsi="Times New Roman" w:cs="Times New Roman"/>
        </w:rPr>
        <w:footnoteRef/>
      </w:r>
      <w:r>
        <w:t xml:space="preserve"> </w:t>
      </w:r>
      <w:bookmarkStart w:id="1353" w:name="f935"/>
      <w:bookmarkEnd w:id="1353"/>
      <w:r w:rsidRPr="00862EF1">
        <w:rPr>
          <w:rFonts w:ascii="Times New Roman" w:hAnsi="Times New Roman" w:cs="Times New Roman"/>
          <w:i/>
          <w:iCs/>
        </w:rPr>
        <w:t>Id</w:t>
      </w:r>
      <w:r w:rsidRPr="00862EF1">
        <w:rPr>
          <w:rFonts w:ascii="Times New Roman" w:hAnsi="Times New Roman" w:cs="Times New Roman"/>
        </w:rPr>
        <w:t>. at 1121</w:t>
      </w:r>
    </w:p>
  </w:footnote>
  <w:footnote w:id="976">
    <w:p w14:paraId="0A71D90C" w14:textId="456CFA26" w:rsidR="00336EDF" w:rsidRDefault="00336EDF">
      <w:pPr>
        <w:pStyle w:val="FootnoteText"/>
      </w:pPr>
      <w:r w:rsidRPr="005E009E">
        <w:rPr>
          <w:rStyle w:val="FootnoteReference"/>
          <w:rFonts w:ascii="Times New Roman" w:hAnsi="Times New Roman" w:cs="Times New Roman"/>
        </w:rPr>
        <w:footnoteRef/>
      </w:r>
      <w:r>
        <w:t xml:space="preserve"> </w:t>
      </w:r>
      <w:bookmarkStart w:id="1354" w:name="f936"/>
      <w:bookmarkEnd w:id="1354"/>
      <w:r w:rsidRPr="005E009E">
        <w:rPr>
          <w:rFonts w:ascii="Times New Roman" w:hAnsi="Times New Roman" w:cs="Times New Roman"/>
          <w:i/>
          <w:iCs/>
        </w:rPr>
        <w:t>Id</w:t>
      </w:r>
      <w:r w:rsidRPr="005E009E">
        <w:rPr>
          <w:rFonts w:ascii="Times New Roman" w:hAnsi="Times New Roman" w:cs="Times New Roman"/>
        </w:rPr>
        <w:t>. at 1120</w:t>
      </w:r>
    </w:p>
  </w:footnote>
  <w:footnote w:id="977">
    <w:p w14:paraId="5086490B" w14:textId="4B840C15" w:rsidR="00336EDF" w:rsidRDefault="00336EDF">
      <w:pPr>
        <w:pStyle w:val="FootnoteText"/>
      </w:pPr>
      <w:r w:rsidRPr="00A657C5">
        <w:rPr>
          <w:rStyle w:val="FootnoteReference"/>
          <w:rFonts w:ascii="Times New Roman" w:hAnsi="Times New Roman" w:cs="Times New Roman"/>
        </w:rPr>
        <w:footnoteRef/>
      </w:r>
      <w:r>
        <w:t xml:space="preserve"> </w:t>
      </w:r>
      <w:bookmarkStart w:id="1355" w:name="f937"/>
      <w:bookmarkEnd w:id="1355"/>
      <w:r w:rsidRPr="00A657C5">
        <w:rPr>
          <w:rFonts w:ascii="Times New Roman" w:hAnsi="Times New Roman" w:cs="Times New Roman"/>
          <w:i/>
          <w:iCs/>
        </w:rPr>
        <w:t>Id.</w:t>
      </w:r>
      <w:r w:rsidRPr="00A657C5">
        <w:rPr>
          <w:rFonts w:ascii="Times New Roman" w:hAnsi="Times New Roman" w:cs="Times New Roman"/>
        </w:rPr>
        <w:t xml:space="preserve"> at 1122</w:t>
      </w:r>
      <w:r>
        <w:rPr>
          <w:rFonts w:ascii="Times New Roman" w:hAnsi="Times New Roman" w:cs="Times New Roman"/>
        </w:rPr>
        <w:t>. A refiled case involving the same facts was permitted to proceed but its complexity unnecessarily detracts from the clear general rule.</w:t>
      </w:r>
    </w:p>
  </w:footnote>
  <w:footnote w:id="978">
    <w:p w14:paraId="6AABD97E" w14:textId="41FEA9A4" w:rsidR="00336EDF" w:rsidRDefault="00336EDF">
      <w:pPr>
        <w:pStyle w:val="FootnoteText"/>
      </w:pPr>
      <w:r w:rsidRPr="000D523C">
        <w:rPr>
          <w:rStyle w:val="FootnoteReference"/>
          <w:rFonts w:ascii="Times New Roman" w:hAnsi="Times New Roman" w:cs="Times New Roman"/>
        </w:rPr>
        <w:footnoteRef/>
      </w:r>
      <w:r>
        <w:t xml:space="preserve"> </w:t>
      </w:r>
      <w:bookmarkStart w:id="1356" w:name="f938"/>
      <w:bookmarkEnd w:id="1356"/>
      <w:r w:rsidRPr="000D523C">
        <w:rPr>
          <w:rFonts w:ascii="Times New Roman" w:hAnsi="Times New Roman" w:cs="Times New Roman"/>
        </w:rPr>
        <w:t xml:space="preserve">Fiscus v. Atlantic Richfield Co., </w:t>
      </w:r>
      <w:hyperlink r:id="rId410" w:history="1">
        <w:r w:rsidRPr="000D523C">
          <w:rPr>
            <w:rStyle w:val="Hyperlink"/>
            <w:rFonts w:ascii="Times New Roman" w:hAnsi="Times New Roman" w:cs="Times New Roman"/>
          </w:rPr>
          <w:t>742 P.2d 198</w:t>
        </w:r>
      </w:hyperlink>
      <w:r w:rsidRPr="000D523C">
        <w:rPr>
          <w:rFonts w:ascii="Times New Roman" w:hAnsi="Times New Roman" w:cs="Times New Roman"/>
        </w:rPr>
        <w:t>, 200-201 (Wyo. 1987)</w:t>
      </w:r>
    </w:p>
  </w:footnote>
  <w:footnote w:id="979">
    <w:p w14:paraId="21A6F8B8" w14:textId="79E33B06" w:rsidR="00336EDF" w:rsidRDefault="00336EDF">
      <w:pPr>
        <w:pStyle w:val="FootnoteText"/>
      </w:pPr>
      <w:r w:rsidRPr="004A1319">
        <w:rPr>
          <w:rStyle w:val="FootnoteReference"/>
          <w:rFonts w:ascii="Times New Roman" w:hAnsi="Times New Roman" w:cs="Times New Roman"/>
        </w:rPr>
        <w:footnoteRef/>
      </w:r>
      <w:r w:rsidRPr="004A1319">
        <w:rPr>
          <w:rFonts w:ascii="Times New Roman" w:hAnsi="Times New Roman" w:cs="Times New Roman"/>
        </w:rPr>
        <w:t xml:space="preserve"> </w:t>
      </w:r>
      <w:bookmarkStart w:id="1357" w:name="f939"/>
      <w:bookmarkEnd w:id="1357"/>
      <w:r w:rsidRPr="004A1319">
        <w:rPr>
          <w:rFonts w:ascii="Times New Roman" w:hAnsi="Times New Roman" w:cs="Times New Roman"/>
          <w:i/>
          <w:iCs/>
        </w:rPr>
        <w:t>See</w:t>
      </w:r>
      <w:r w:rsidRPr="004A1319">
        <w:rPr>
          <w:rFonts w:ascii="Times New Roman" w:hAnsi="Times New Roman" w:cs="Times New Roman"/>
        </w:rPr>
        <w:t xml:space="preserve"> Stratman v. Admiral Beverage Corp., </w:t>
      </w:r>
      <w:hyperlink r:id="rId411" w:history="1">
        <w:r w:rsidRPr="004A1319">
          <w:rPr>
            <w:rStyle w:val="Hyperlink"/>
            <w:rFonts w:ascii="Times New Roman" w:hAnsi="Times New Roman" w:cs="Times New Roman"/>
          </w:rPr>
          <w:t>760 P.2d 974</w:t>
        </w:r>
      </w:hyperlink>
      <w:r w:rsidRPr="004A1319">
        <w:rPr>
          <w:rFonts w:ascii="Times New Roman" w:hAnsi="Times New Roman" w:cs="Times New Roman"/>
        </w:rPr>
        <w:t xml:space="preserve"> (Wyo. 1988)</w:t>
      </w:r>
      <w:r>
        <w:t xml:space="preserve"> </w:t>
      </w:r>
    </w:p>
  </w:footnote>
  <w:footnote w:id="980">
    <w:p w14:paraId="1D74B148" w14:textId="4C16A769" w:rsidR="00336EDF" w:rsidRDefault="00336EDF">
      <w:pPr>
        <w:pStyle w:val="FootnoteText"/>
      </w:pPr>
      <w:r w:rsidRPr="00063708">
        <w:rPr>
          <w:rStyle w:val="FootnoteReference"/>
          <w:rFonts w:ascii="Times New Roman" w:hAnsi="Times New Roman" w:cs="Times New Roman"/>
        </w:rPr>
        <w:footnoteRef/>
      </w:r>
      <w:r>
        <w:t xml:space="preserve"> </w:t>
      </w:r>
      <w:bookmarkStart w:id="1358" w:name="f940"/>
      <w:bookmarkEnd w:id="1358"/>
      <w:r w:rsidRPr="00746B73">
        <w:rPr>
          <w:rFonts w:ascii="Times New Roman" w:hAnsi="Times New Roman" w:cs="Times New Roman"/>
        </w:rPr>
        <w:t>1</w:t>
      </w:r>
      <w:r>
        <w:rPr>
          <w:rFonts w:ascii="Times New Roman" w:hAnsi="Times New Roman" w:cs="Times New Roman"/>
        </w:rPr>
        <w:t>0</w:t>
      </w:r>
      <w:r w:rsidRPr="00746B73">
        <w:rPr>
          <w:rFonts w:ascii="Times New Roman" w:hAnsi="Times New Roman" w:cs="Times New Roman"/>
        </w:rPr>
        <w:t xml:space="preserve"> </w:t>
      </w:r>
      <w:r w:rsidRPr="00746B73">
        <w:rPr>
          <w:rFonts w:ascii="Times New Roman" w:hAnsi="Times New Roman" w:cs="Times New Roman"/>
          <w:smallCaps/>
        </w:rPr>
        <w:t>Larson's Workers</w:t>
      </w:r>
      <w:r>
        <w:rPr>
          <w:rFonts w:ascii="Times New Roman" w:hAnsi="Times New Roman" w:cs="Times New Roman"/>
          <w:smallCaps/>
        </w:rPr>
        <w:t xml:space="preserve">’ </w:t>
      </w:r>
      <w:r w:rsidRPr="00746B73">
        <w:rPr>
          <w:rFonts w:ascii="Times New Roman" w:hAnsi="Times New Roman" w:cs="Times New Roman"/>
          <w:smallCaps/>
        </w:rPr>
        <w:t>Compensation Law</w:t>
      </w:r>
      <w:r w:rsidRPr="00746B73">
        <w:rPr>
          <w:rFonts w:ascii="Times New Roman" w:hAnsi="Times New Roman" w:cs="Times New Roman"/>
        </w:rPr>
        <w:t xml:space="preserve"> § 1</w:t>
      </w:r>
      <w:r>
        <w:rPr>
          <w:rFonts w:ascii="Times New Roman" w:hAnsi="Times New Roman" w:cs="Times New Roman"/>
        </w:rPr>
        <w:t>11</w:t>
      </w:r>
      <w:r w:rsidRPr="00746B73">
        <w:rPr>
          <w:rFonts w:ascii="Times New Roman" w:hAnsi="Times New Roman" w:cs="Times New Roman"/>
        </w:rPr>
        <w:t>.0</w:t>
      </w:r>
      <w:r>
        <w:rPr>
          <w:rFonts w:ascii="Times New Roman" w:hAnsi="Times New Roman" w:cs="Times New Roman"/>
        </w:rPr>
        <w:t>3</w:t>
      </w:r>
    </w:p>
  </w:footnote>
  <w:footnote w:id="981">
    <w:p w14:paraId="165DEDD6" w14:textId="061A0D0A" w:rsidR="00336EDF" w:rsidRDefault="00336EDF">
      <w:pPr>
        <w:pStyle w:val="FootnoteText"/>
      </w:pPr>
      <w:r w:rsidRPr="00185A8B">
        <w:rPr>
          <w:rStyle w:val="FootnoteReference"/>
          <w:rFonts w:ascii="Times New Roman" w:hAnsi="Times New Roman" w:cs="Times New Roman"/>
        </w:rPr>
        <w:footnoteRef/>
      </w:r>
      <w:r w:rsidRPr="00185A8B">
        <w:rPr>
          <w:rFonts w:ascii="Times New Roman" w:hAnsi="Times New Roman" w:cs="Times New Roman"/>
        </w:rPr>
        <w:t xml:space="preserve"> </w:t>
      </w:r>
      <w:bookmarkStart w:id="1359" w:name="f941"/>
      <w:bookmarkEnd w:id="1359"/>
      <w:r w:rsidRPr="00185A8B">
        <w:rPr>
          <w:rFonts w:ascii="Times New Roman" w:hAnsi="Times New Roman" w:cs="Times New Roman"/>
        </w:rPr>
        <w:t xml:space="preserve">Formisano v. Gaston, </w:t>
      </w:r>
      <w:hyperlink r:id="rId412" w:history="1">
        <w:r w:rsidRPr="00185A8B">
          <w:rPr>
            <w:rStyle w:val="Hyperlink"/>
            <w:rFonts w:ascii="Times New Roman" w:hAnsi="Times New Roman" w:cs="Times New Roman"/>
          </w:rPr>
          <w:t>246 P.3d 286</w:t>
        </w:r>
      </w:hyperlink>
      <w:r w:rsidRPr="00185A8B">
        <w:rPr>
          <w:rFonts w:ascii="Times New Roman" w:hAnsi="Times New Roman" w:cs="Times New Roman"/>
        </w:rPr>
        <w:t>, 291 (Wyo. 2011)</w:t>
      </w:r>
    </w:p>
  </w:footnote>
  <w:footnote w:id="982">
    <w:p w14:paraId="462EA4F2" w14:textId="155CD48F" w:rsidR="00336EDF" w:rsidRDefault="00336EDF">
      <w:pPr>
        <w:pStyle w:val="FootnoteText"/>
      </w:pPr>
      <w:r w:rsidRPr="00185A8B">
        <w:rPr>
          <w:rStyle w:val="FootnoteReference"/>
          <w:rFonts w:ascii="Times New Roman" w:hAnsi="Times New Roman" w:cs="Times New Roman"/>
        </w:rPr>
        <w:footnoteRef/>
      </w:r>
      <w:r>
        <w:t xml:space="preserve"> </w:t>
      </w:r>
      <w:bookmarkStart w:id="1360" w:name="f942"/>
      <w:bookmarkEnd w:id="1360"/>
      <w:r w:rsidRPr="00185A8B">
        <w:rPr>
          <w:rFonts w:ascii="Times New Roman" w:hAnsi="Times New Roman" w:cs="Times New Roman"/>
          <w:i/>
          <w:iCs/>
        </w:rPr>
        <w:t>Id</w:t>
      </w:r>
      <w:r w:rsidRPr="00185A8B">
        <w:rPr>
          <w:rFonts w:ascii="Times New Roman" w:hAnsi="Times New Roman" w:cs="Times New Roman"/>
        </w:rPr>
        <w:t>. at 290</w:t>
      </w:r>
      <w:r>
        <w:rPr>
          <w:rFonts w:ascii="Times New Roman" w:hAnsi="Times New Roman" w:cs="Times New Roman"/>
        </w:rPr>
        <w:t xml:space="preserve">; </w:t>
      </w:r>
      <w:r w:rsidRPr="007564EC">
        <w:rPr>
          <w:rFonts w:ascii="Times New Roman" w:hAnsi="Times New Roman" w:cs="Times New Roman"/>
          <w:i/>
          <w:iCs/>
        </w:rPr>
        <w:t>see also</w:t>
      </w:r>
      <w:r>
        <w:rPr>
          <w:rFonts w:ascii="Times New Roman" w:hAnsi="Times New Roman" w:cs="Times New Roman"/>
        </w:rPr>
        <w:t xml:space="preserve"> </w:t>
      </w:r>
      <w:r w:rsidRPr="007564EC">
        <w:rPr>
          <w:rFonts w:ascii="Times New Roman" w:hAnsi="Times New Roman" w:cs="Times New Roman"/>
        </w:rPr>
        <w:t xml:space="preserve"> Bertagnolli v. Louderback, 67 P.3d 627, 632 (Wyo.2003),</w:t>
      </w:r>
    </w:p>
  </w:footnote>
  <w:footnote w:id="983">
    <w:p w14:paraId="2F6FFE9A" w14:textId="4229397F" w:rsidR="00336EDF" w:rsidRDefault="00336EDF" w:rsidP="0069259D">
      <w:pPr>
        <w:pStyle w:val="FootnoteText"/>
        <w:jc w:val="both"/>
      </w:pPr>
      <w:r w:rsidRPr="00063708">
        <w:rPr>
          <w:rStyle w:val="FootnoteReference"/>
          <w:rFonts w:ascii="Times New Roman" w:hAnsi="Times New Roman" w:cs="Times New Roman"/>
        </w:rPr>
        <w:footnoteRef/>
      </w:r>
      <w:r>
        <w:t xml:space="preserve"> </w:t>
      </w:r>
      <w:bookmarkStart w:id="1365" w:name="f943"/>
      <w:bookmarkEnd w:id="1365"/>
      <w:r w:rsidRPr="0069259D">
        <w:rPr>
          <w:i/>
          <w:iCs/>
        </w:rPr>
        <w:t>See</w:t>
      </w:r>
      <w:r>
        <w:t xml:space="preserve"> </w:t>
      </w:r>
      <w:r w:rsidRPr="0069259D">
        <w:rPr>
          <w:rFonts w:ascii="Times New Roman" w:hAnsi="Times New Roman" w:cs="Times New Roman"/>
          <w:smallCaps/>
        </w:rPr>
        <w:t>David B. Torrey and Michael C. Duff, Workers’ Compensation Insurance claims in Resolving Insurance Claim Disputes Before Trial, American Bar Association</w:t>
      </w:r>
      <w:r>
        <w:rPr>
          <w:rFonts w:ascii="Times New Roman" w:hAnsi="Times New Roman" w:cs="Times New Roman"/>
          <w:smallCaps/>
        </w:rPr>
        <w:t>,</w:t>
      </w:r>
      <w:r w:rsidRPr="0069259D">
        <w:rPr>
          <w:rFonts w:ascii="Times New Roman" w:hAnsi="Times New Roman" w:cs="Times New Roman"/>
          <w:smallCaps/>
        </w:rPr>
        <w:t xml:space="preserve"> Tort trial &amp; Insurance Practice Section</w:t>
      </w:r>
      <w:r>
        <w:rPr>
          <w:rFonts w:ascii="Times New Roman" w:hAnsi="Times New Roman" w:cs="Times New Roman"/>
          <w:smallCaps/>
        </w:rPr>
        <w:t xml:space="preserve"> 257-300</w:t>
      </w:r>
      <w:r w:rsidRPr="0069259D">
        <w:rPr>
          <w:rFonts w:ascii="Times New Roman" w:hAnsi="Times New Roman" w:cs="Times New Roman"/>
          <w:smallCaps/>
        </w:rPr>
        <w:t xml:space="preserve"> (2018)</w:t>
      </w:r>
    </w:p>
  </w:footnote>
  <w:footnote w:id="984">
    <w:p w14:paraId="1EFCE30B" w14:textId="38602230" w:rsidR="00336EDF" w:rsidRDefault="00336EDF" w:rsidP="00032FA4">
      <w:pPr>
        <w:pStyle w:val="FootnoteText"/>
      </w:pPr>
      <w:r w:rsidRPr="00032FA4">
        <w:rPr>
          <w:rStyle w:val="FootnoteReference"/>
          <w:rFonts w:ascii="Times New Roman" w:hAnsi="Times New Roman" w:cs="Times New Roman"/>
        </w:rPr>
        <w:footnoteRef/>
      </w:r>
      <w:r w:rsidRPr="00032FA4">
        <w:rPr>
          <w:rFonts w:ascii="Times New Roman" w:hAnsi="Times New Roman" w:cs="Times New Roman"/>
        </w:rPr>
        <w:t xml:space="preserve"> </w:t>
      </w:r>
      <w:bookmarkStart w:id="1367" w:name="f944"/>
      <w:bookmarkEnd w:id="1367"/>
      <w:r w:rsidRPr="00032FA4">
        <w:rPr>
          <w:rFonts w:ascii="Times New Roman" w:hAnsi="Times New Roman" w:cs="Times New Roman"/>
          <w:smallCaps/>
        </w:rPr>
        <w:t>Ed and Scott Priz, Worker’s Compensation, Advanced Insurance Management LLC (2010)</w:t>
      </w:r>
    </w:p>
  </w:footnote>
  <w:footnote w:id="985">
    <w:p w14:paraId="0557C1FB" w14:textId="4B8EAEDE" w:rsidR="00336EDF" w:rsidRDefault="00336EDF">
      <w:pPr>
        <w:pStyle w:val="FootnoteText"/>
      </w:pPr>
      <w:r w:rsidRPr="009301D5">
        <w:rPr>
          <w:rStyle w:val="FootnoteReference"/>
          <w:rFonts w:ascii="Times New Roman" w:hAnsi="Times New Roman" w:cs="Times New Roman"/>
        </w:rPr>
        <w:footnoteRef/>
      </w:r>
      <w:r w:rsidRPr="009301D5">
        <w:rPr>
          <w:rFonts w:ascii="Times New Roman" w:hAnsi="Times New Roman" w:cs="Times New Roman"/>
        </w:rPr>
        <w:t xml:space="preserve"> </w:t>
      </w:r>
      <w:bookmarkStart w:id="1369" w:name="f945"/>
      <w:bookmarkEnd w:id="1369"/>
      <w:r>
        <w:fldChar w:fldCharType="begin"/>
      </w:r>
      <w:r>
        <w:instrText xml:space="preserve"> HYPERLINK "https://www.leagle.com/decision/19941230870p2d36011227" </w:instrText>
      </w:r>
      <w:r>
        <w:fldChar w:fldCharType="separate"/>
      </w:r>
      <w:r w:rsidRPr="009301D5">
        <w:rPr>
          <w:rStyle w:val="Hyperlink"/>
          <w:rFonts w:ascii="Times New Roman" w:hAnsi="Times New Roman" w:cs="Times New Roman"/>
        </w:rPr>
        <w:t>870 P.2d 360</w:t>
      </w:r>
      <w:r>
        <w:rPr>
          <w:rStyle w:val="Hyperlink"/>
          <w:rFonts w:ascii="Times New Roman" w:hAnsi="Times New Roman" w:cs="Times New Roman"/>
        </w:rPr>
        <w:fldChar w:fldCharType="end"/>
      </w:r>
      <w:r w:rsidRPr="009301D5">
        <w:rPr>
          <w:rFonts w:ascii="Times New Roman" w:hAnsi="Times New Roman" w:cs="Times New Roman"/>
        </w:rPr>
        <w:t xml:space="preserve"> (Wyo. 1994)</w:t>
      </w:r>
    </w:p>
  </w:footnote>
  <w:footnote w:id="986">
    <w:p w14:paraId="3B17B4AA" w14:textId="6BFF9104" w:rsidR="00336EDF" w:rsidRDefault="00336EDF">
      <w:pPr>
        <w:pStyle w:val="FootnoteText"/>
      </w:pPr>
      <w:r w:rsidRPr="00403B07">
        <w:rPr>
          <w:rStyle w:val="FootnoteReference"/>
          <w:rFonts w:ascii="Times New Roman" w:hAnsi="Times New Roman" w:cs="Times New Roman"/>
        </w:rPr>
        <w:footnoteRef/>
      </w:r>
      <w:r>
        <w:t xml:space="preserve"> </w:t>
      </w:r>
      <w:bookmarkStart w:id="1370" w:name="f946"/>
      <w:bookmarkEnd w:id="1370"/>
      <w:r w:rsidRPr="00403B07">
        <w:rPr>
          <w:rFonts w:ascii="Times New Roman" w:hAnsi="Times New Roman" w:cs="Times New Roman"/>
          <w:i/>
          <w:iCs/>
        </w:rPr>
        <w:t>Id</w:t>
      </w:r>
      <w:r w:rsidRPr="00403B07">
        <w:rPr>
          <w:rFonts w:ascii="Times New Roman" w:hAnsi="Times New Roman" w:cs="Times New Roman"/>
        </w:rPr>
        <w:t>. at 361</w:t>
      </w:r>
    </w:p>
  </w:footnote>
  <w:footnote w:id="987">
    <w:p w14:paraId="3A866C48" w14:textId="5F2D0432" w:rsidR="00336EDF" w:rsidRDefault="00336EDF">
      <w:pPr>
        <w:pStyle w:val="FootnoteText"/>
      </w:pPr>
      <w:r w:rsidRPr="00403B07">
        <w:rPr>
          <w:rStyle w:val="FootnoteReference"/>
          <w:rFonts w:ascii="Times New Roman" w:hAnsi="Times New Roman" w:cs="Times New Roman"/>
        </w:rPr>
        <w:footnoteRef/>
      </w:r>
      <w:r w:rsidRPr="00403B07">
        <w:rPr>
          <w:rStyle w:val="FootnoteReference"/>
          <w:rFonts w:ascii="Times New Roman" w:hAnsi="Times New Roman" w:cs="Times New Roman"/>
        </w:rPr>
        <w:t xml:space="preserve"> </w:t>
      </w:r>
      <w:bookmarkStart w:id="1371" w:name="f947"/>
      <w:bookmarkEnd w:id="1371"/>
      <w:r w:rsidRPr="00403B07">
        <w:rPr>
          <w:rFonts w:ascii="Times New Roman" w:hAnsi="Times New Roman" w:cs="Times New Roman"/>
          <w:i/>
          <w:iCs/>
        </w:rPr>
        <w:t>Id.</w:t>
      </w:r>
    </w:p>
  </w:footnote>
  <w:footnote w:id="988">
    <w:p w14:paraId="6CC0E683" w14:textId="4F974AEA" w:rsidR="00336EDF" w:rsidRDefault="00336EDF">
      <w:pPr>
        <w:pStyle w:val="FootnoteText"/>
      </w:pPr>
      <w:r w:rsidRPr="00403B07">
        <w:rPr>
          <w:rStyle w:val="FootnoteReference"/>
          <w:rFonts w:ascii="Times New Roman" w:hAnsi="Times New Roman" w:cs="Times New Roman"/>
        </w:rPr>
        <w:footnoteRef/>
      </w:r>
      <w:r>
        <w:t xml:space="preserve"> </w:t>
      </w:r>
      <w:bookmarkStart w:id="1372" w:name="f948"/>
      <w:bookmarkEnd w:id="1372"/>
      <w:r w:rsidRPr="00403B07">
        <w:rPr>
          <w:rFonts w:ascii="Times New Roman" w:hAnsi="Times New Roman" w:cs="Times New Roman"/>
          <w:i/>
          <w:iCs/>
        </w:rPr>
        <w:t>Id.</w:t>
      </w:r>
    </w:p>
  </w:footnote>
  <w:footnote w:id="989">
    <w:p w14:paraId="7EED24CB" w14:textId="62314583" w:rsidR="00336EDF" w:rsidRDefault="00336EDF">
      <w:pPr>
        <w:pStyle w:val="FootnoteText"/>
      </w:pPr>
      <w:r w:rsidRPr="00403B07">
        <w:rPr>
          <w:rStyle w:val="FootnoteReference"/>
          <w:rFonts w:ascii="Times New Roman" w:hAnsi="Times New Roman" w:cs="Times New Roman"/>
        </w:rPr>
        <w:footnoteRef/>
      </w:r>
      <w:r>
        <w:t xml:space="preserve"> </w:t>
      </w:r>
      <w:bookmarkStart w:id="1373" w:name="f949"/>
      <w:bookmarkEnd w:id="1373"/>
      <w:r w:rsidRPr="00403B07">
        <w:rPr>
          <w:rFonts w:ascii="Times New Roman" w:hAnsi="Times New Roman" w:cs="Times New Roman"/>
          <w:i/>
          <w:iCs/>
        </w:rPr>
        <w:t>Id.</w:t>
      </w:r>
    </w:p>
  </w:footnote>
  <w:footnote w:id="990">
    <w:p w14:paraId="72FEB017" w14:textId="1334162B" w:rsidR="00336EDF" w:rsidRDefault="00336EDF">
      <w:pPr>
        <w:pStyle w:val="FootnoteText"/>
      </w:pPr>
      <w:r w:rsidRPr="00403B07">
        <w:rPr>
          <w:rStyle w:val="FootnoteReference"/>
          <w:rFonts w:ascii="Times New Roman" w:hAnsi="Times New Roman" w:cs="Times New Roman"/>
        </w:rPr>
        <w:footnoteRef/>
      </w:r>
      <w:r>
        <w:t xml:space="preserve"> </w:t>
      </w:r>
      <w:bookmarkStart w:id="1374" w:name="f950"/>
      <w:bookmarkEnd w:id="1374"/>
      <w:r w:rsidRPr="00403B07">
        <w:rPr>
          <w:rFonts w:ascii="Times New Roman" w:hAnsi="Times New Roman" w:cs="Times New Roman"/>
          <w:i/>
          <w:iCs/>
        </w:rPr>
        <w:t>Id</w:t>
      </w:r>
      <w:r w:rsidRPr="00403B07">
        <w:rPr>
          <w:rFonts w:ascii="Times New Roman" w:hAnsi="Times New Roman" w:cs="Times New Roman"/>
        </w:rPr>
        <w:t>. at 361-362</w:t>
      </w:r>
    </w:p>
  </w:footnote>
  <w:footnote w:id="991">
    <w:p w14:paraId="3995340A" w14:textId="723F002B" w:rsidR="00336EDF" w:rsidRDefault="00336EDF">
      <w:pPr>
        <w:pStyle w:val="FootnoteText"/>
      </w:pPr>
      <w:r w:rsidRPr="00403B07">
        <w:rPr>
          <w:rStyle w:val="FootnoteReference"/>
          <w:rFonts w:ascii="Times New Roman" w:hAnsi="Times New Roman" w:cs="Times New Roman"/>
        </w:rPr>
        <w:footnoteRef/>
      </w:r>
      <w:r>
        <w:t xml:space="preserve"> </w:t>
      </w:r>
      <w:bookmarkStart w:id="1375" w:name="f951"/>
      <w:bookmarkEnd w:id="1375"/>
      <w:r w:rsidRPr="00403B07">
        <w:rPr>
          <w:rFonts w:ascii="Times New Roman" w:hAnsi="Times New Roman" w:cs="Times New Roman"/>
          <w:i/>
          <w:iCs/>
        </w:rPr>
        <w:t>Id</w:t>
      </w:r>
      <w:r w:rsidRPr="00403B07">
        <w:rPr>
          <w:rFonts w:ascii="Times New Roman" w:hAnsi="Times New Roman" w:cs="Times New Roman"/>
        </w:rPr>
        <w:t>. at 362</w:t>
      </w:r>
    </w:p>
  </w:footnote>
  <w:footnote w:id="992">
    <w:p w14:paraId="0A1D818B" w14:textId="206DAB30" w:rsidR="00336EDF" w:rsidRDefault="00336EDF">
      <w:pPr>
        <w:pStyle w:val="FootnoteText"/>
      </w:pPr>
      <w:r w:rsidRPr="00403B07">
        <w:rPr>
          <w:rStyle w:val="FootnoteReference"/>
          <w:rFonts w:ascii="Times New Roman" w:hAnsi="Times New Roman" w:cs="Times New Roman"/>
        </w:rPr>
        <w:footnoteRef/>
      </w:r>
      <w:r>
        <w:t xml:space="preserve"> </w:t>
      </w:r>
      <w:bookmarkStart w:id="1376" w:name="f952"/>
      <w:bookmarkEnd w:id="1376"/>
      <w:r w:rsidRPr="00403B07">
        <w:rPr>
          <w:rFonts w:ascii="Times New Roman" w:hAnsi="Times New Roman" w:cs="Times New Roman"/>
          <w:i/>
          <w:iCs/>
        </w:rPr>
        <w:t>Id.</w:t>
      </w:r>
    </w:p>
  </w:footnote>
  <w:footnote w:id="993">
    <w:p w14:paraId="67F7F58A" w14:textId="4CF9839B" w:rsidR="00336EDF" w:rsidRDefault="00336EDF">
      <w:pPr>
        <w:pStyle w:val="FootnoteText"/>
      </w:pPr>
      <w:r w:rsidRPr="00403B07">
        <w:rPr>
          <w:rStyle w:val="FootnoteReference"/>
          <w:rFonts w:ascii="Times New Roman" w:hAnsi="Times New Roman" w:cs="Times New Roman"/>
        </w:rPr>
        <w:footnoteRef/>
      </w:r>
      <w:r w:rsidRPr="00403B07">
        <w:rPr>
          <w:rFonts w:ascii="Times New Roman" w:hAnsi="Times New Roman" w:cs="Times New Roman"/>
        </w:rPr>
        <w:t xml:space="preserve"> </w:t>
      </w:r>
      <w:bookmarkStart w:id="1377" w:name="f953"/>
      <w:bookmarkEnd w:id="1377"/>
      <w:r w:rsidRPr="00403B07">
        <w:rPr>
          <w:rFonts w:ascii="Times New Roman" w:hAnsi="Times New Roman" w:cs="Times New Roman"/>
          <w:i/>
          <w:iCs/>
        </w:rPr>
        <w:t>Id</w:t>
      </w:r>
      <w:r w:rsidRPr="00403B07">
        <w:rPr>
          <w:rFonts w:ascii="Times New Roman" w:hAnsi="Times New Roman" w:cs="Times New Roman"/>
        </w:rPr>
        <w:t>. at 363</w:t>
      </w:r>
    </w:p>
  </w:footnote>
  <w:footnote w:id="994">
    <w:p w14:paraId="09AE21BA" w14:textId="02EC725B" w:rsidR="00336EDF" w:rsidRPr="00120AED" w:rsidRDefault="00336EDF" w:rsidP="00120AED">
      <w:pPr>
        <w:pStyle w:val="FootnoteText"/>
        <w:jc w:val="both"/>
        <w:rPr>
          <w:rFonts w:ascii="Times New Roman" w:hAnsi="Times New Roman" w:cs="Times New Roman"/>
        </w:rPr>
      </w:pPr>
      <w:r w:rsidRPr="001929BE">
        <w:rPr>
          <w:rStyle w:val="FootnoteReference"/>
          <w:rFonts w:ascii="Times New Roman" w:hAnsi="Times New Roman" w:cs="Times New Roman"/>
        </w:rPr>
        <w:footnoteRef/>
      </w:r>
      <w:r>
        <w:t xml:space="preserve"> </w:t>
      </w:r>
      <w:bookmarkStart w:id="1380" w:name="f954"/>
      <w:bookmarkEnd w:id="1380"/>
      <w:r w:rsidRPr="00120AED">
        <w:rPr>
          <w:rFonts w:ascii="Times New Roman" w:hAnsi="Times New Roman" w:cs="Times New Roman"/>
        </w:rPr>
        <w:t xml:space="preserve">The avoidable consequences doctrine holds that “a plaintiff, after an injury or breach of contract, to make reasonable efforts to alleviate the effects of the injury or breach. • If the defendant can show that the plaintiff failed to mitigate damages, the plaintiff's recovery may be reduced.” </w:t>
      </w:r>
      <w:r w:rsidRPr="00120AED">
        <w:rPr>
          <w:rFonts w:ascii="Times New Roman" w:hAnsi="Times New Roman" w:cs="Times New Roman"/>
          <w:smallCaps/>
        </w:rPr>
        <w:t>Black’s Law Dictionary</w:t>
      </w:r>
      <w:r w:rsidRPr="00120AED">
        <w:rPr>
          <w:rFonts w:ascii="Times New Roman" w:hAnsi="Times New Roman" w:cs="Times New Roman"/>
        </w:rPr>
        <w:t xml:space="preserve"> (11</w:t>
      </w:r>
      <w:r w:rsidRPr="00120AED">
        <w:rPr>
          <w:rFonts w:ascii="Times New Roman" w:hAnsi="Times New Roman" w:cs="Times New Roman"/>
          <w:vertAlign w:val="superscript"/>
        </w:rPr>
        <w:t>th</w:t>
      </w:r>
      <w:r w:rsidRPr="00120AED">
        <w:rPr>
          <w:rFonts w:ascii="Times New Roman" w:hAnsi="Times New Roman" w:cs="Times New Roman"/>
        </w:rPr>
        <w:t xml:space="preserve"> ed. 2019)</w:t>
      </w:r>
    </w:p>
  </w:footnote>
  <w:footnote w:id="995">
    <w:p w14:paraId="62A1C977" w14:textId="6B2204C7" w:rsidR="00336EDF" w:rsidRDefault="00336EDF">
      <w:pPr>
        <w:pStyle w:val="FootnoteText"/>
      </w:pPr>
      <w:r w:rsidRPr="000C0DF7">
        <w:rPr>
          <w:rStyle w:val="FootnoteReference"/>
          <w:rFonts w:ascii="Times New Roman" w:hAnsi="Times New Roman" w:cs="Times New Roman"/>
        </w:rPr>
        <w:footnoteRef/>
      </w:r>
      <w:r>
        <w:t xml:space="preserve"> </w:t>
      </w:r>
      <w:bookmarkStart w:id="1381" w:name="f955"/>
      <w:bookmarkEnd w:id="1381"/>
      <w:r w:rsidRPr="000C0DF7">
        <w:rPr>
          <w:rFonts w:ascii="Times New Roman" w:hAnsi="Times New Roman" w:cs="Times New Roman"/>
        </w:rPr>
        <w:t xml:space="preserve">Matter of Andren, </w:t>
      </w:r>
      <w:hyperlink r:id="rId413" w:history="1">
        <w:r w:rsidRPr="00EB5A23">
          <w:rPr>
            <w:rStyle w:val="Hyperlink"/>
            <w:rFonts w:ascii="Times New Roman" w:hAnsi="Times New Roman" w:cs="Times New Roman"/>
          </w:rPr>
          <w:t>917 P.2d 178</w:t>
        </w:r>
      </w:hyperlink>
      <w:r w:rsidRPr="000C0DF7">
        <w:rPr>
          <w:rFonts w:ascii="Times New Roman" w:hAnsi="Times New Roman" w:cs="Times New Roman"/>
        </w:rPr>
        <w:t xml:space="preserve">, 180 (Wyo. 1996); Kilburn Tire v. Meredith, </w:t>
      </w:r>
      <w:hyperlink r:id="rId414" w:history="1">
        <w:r w:rsidRPr="00EB5A23">
          <w:rPr>
            <w:rStyle w:val="Hyperlink"/>
            <w:rFonts w:ascii="Times New Roman" w:hAnsi="Times New Roman" w:cs="Times New Roman"/>
          </w:rPr>
          <w:t>743 P.2d 874</w:t>
        </w:r>
      </w:hyperlink>
      <w:r w:rsidRPr="000C0DF7">
        <w:rPr>
          <w:rFonts w:ascii="Times New Roman" w:hAnsi="Times New Roman" w:cs="Times New Roman"/>
        </w:rPr>
        <w:t>, 876 (Wyo.1987)</w:t>
      </w:r>
    </w:p>
  </w:footnote>
  <w:footnote w:id="996">
    <w:p w14:paraId="6D38FD8F" w14:textId="23F974AA" w:rsidR="00336EDF" w:rsidRDefault="00336EDF">
      <w:pPr>
        <w:pStyle w:val="FootnoteText"/>
      </w:pPr>
      <w:r w:rsidRPr="000C0DF7">
        <w:rPr>
          <w:rStyle w:val="FootnoteReference"/>
          <w:rFonts w:ascii="Times New Roman" w:hAnsi="Times New Roman" w:cs="Times New Roman"/>
        </w:rPr>
        <w:footnoteRef/>
      </w:r>
      <w:r w:rsidRPr="000C0DF7">
        <w:rPr>
          <w:rFonts w:ascii="Times New Roman" w:hAnsi="Times New Roman" w:cs="Times New Roman"/>
        </w:rPr>
        <w:t xml:space="preserve"> </w:t>
      </w:r>
      <w:bookmarkStart w:id="1382" w:name="f956"/>
      <w:bookmarkEnd w:id="1382"/>
      <w:r>
        <w:rPr>
          <w:rFonts w:ascii="Times New Roman" w:hAnsi="Times New Roman" w:cs="Times New Roman"/>
        </w:rPr>
        <w:t xml:space="preserve">Matter of </w:t>
      </w:r>
      <w:r w:rsidRPr="000C0DF7">
        <w:rPr>
          <w:rFonts w:ascii="Times New Roman" w:hAnsi="Times New Roman" w:cs="Times New Roman"/>
        </w:rPr>
        <w:t>Andren,</w:t>
      </w:r>
      <w:r>
        <w:rPr>
          <w:rFonts w:ascii="Times New Roman" w:hAnsi="Times New Roman" w:cs="Times New Roman"/>
        </w:rPr>
        <w:t xml:space="preserve"> </w:t>
      </w:r>
      <w:r w:rsidRPr="00EB5A23">
        <w:rPr>
          <w:rFonts w:ascii="Times New Roman" w:hAnsi="Times New Roman" w:cs="Times New Roman"/>
          <w:i/>
          <w:iCs/>
        </w:rPr>
        <w:t>supra</w:t>
      </w:r>
      <w:r>
        <w:rPr>
          <w:rFonts w:ascii="Times New Roman" w:hAnsi="Times New Roman" w:cs="Times New Roman"/>
        </w:rPr>
        <w:t>.,</w:t>
      </w:r>
      <w:r w:rsidRPr="000C0DF7">
        <w:rPr>
          <w:rFonts w:ascii="Times New Roman" w:hAnsi="Times New Roman" w:cs="Times New Roman"/>
        </w:rPr>
        <w:t xml:space="preserve"> 917 P.2d </w:t>
      </w:r>
      <w:r>
        <w:rPr>
          <w:rFonts w:ascii="Times New Roman" w:hAnsi="Times New Roman" w:cs="Times New Roman"/>
        </w:rPr>
        <w:t>at 180</w:t>
      </w:r>
    </w:p>
  </w:footnote>
  <w:footnote w:id="997">
    <w:p w14:paraId="07AF6226" w14:textId="1896F5D6" w:rsidR="00336EDF" w:rsidRDefault="00336EDF">
      <w:pPr>
        <w:pStyle w:val="FootnoteText"/>
      </w:pPr>
      <w:r w:rsidRPr="00DC0299">
        <w:rPr>
          <w:rStyle w:val="FootnoteReference"/>
          <w:rFonts w:ascii="Times New Roman" w:hAnsi="Times New Roman" w:cs="Times New Roman"/>
        </w:rPr>
        <w:footnoteRef/>
      </w:r>
      <w:r w:rsidRPr="00DC0299">
        <w:rPr>
          <w:rFonts w:ascii="Times New Roman" w:hAnsi="Times New Roman" w:cs="Times New Roman"/>
        </w:rPr>
        <w:t xml:space="preserve"> </w:t>
      </w:r>
      <w:bookmarkStart w:id="1383" w:name="f957"/>
      <w:bookmarkEnd w:id="1383"/>
      <w:r>
        <w:fldChar w:fldCharType="begin"/>
      </w:r>
      <w:r>
        <w:instrText xml:space="preserve"> HYPERLINK "https://www.leagle.com/decision/inwyco20090421931" </w:instrText>
      </w:r>
      <w:r>
        <w:fldChar w:fldCharType="separate"/>
      </w:r>
      <w:r w:rsidRPr="00EB5A23">
        <w:rPr>
          <w:rStyle w:val="Hyperlink"/>
          <w:rFonts w:ascii="Times New Roman" w:hAnsi="Times New Roman" w:cs="Times New Roman"/>
        </w:rPr>
        <w:t>205 P.3d 1024</w:t>
      </w:r>
      <w:r>
        <w:rPr>
          <w:rStyle w:val="Hyperlink"/>
          <w:rFonts w:ascii="Times New Roman" w:hAnsi="Times New Roman" w:cs="Times New Roman"/>
        </w:rPr>
        <w:fldChar w:fldCharType="end"/>
      </w:r>
      <w:r>
        <w:rPr>
          <w:rFonts w:ascii="Times New Roman" w:hAnsi="Times New Roman" w:cs="Times New Roman"/>
        </w:rPr>
        <w:t xml:space="preserve"> (Wyo. 2009)</w:t>
      </w:r>
    </w:p>
  </w:footnote>
  <w:footnote w:id="998">
    <w:p w14:paraId="74288AC8" w14:textId="51BF8A55" w:rsidR="00336EDF" w:rsidRDefault="00336EDF">
      <w:pPr>
        <w:pStyle w:val="FootnoteText"/>
      </w:pPr>
      <w:r w:rsidRPr="00DC0299">
        <w:rPr>
          <w:rStyle w:val="FootnoteReference"/>
          <w:rFonts w:ascii="Times New Roman" w:hAnsi="Times New Roman" w:cs="Times New Roman"/>
        </w:rPr>
        <w:footnoteRef/>
      </w:r>
      <w:r w:rsidRPr="00DC0299">
        <w:rPr>
          <w:rFonts w:ascii="Times New Roman" w:hAnsi="Times New Roman" w:cs="Times New Roman"/>
        </w:rPr>
        <w:t xml:space="preserve"> </w:t>
      </w:r>
      <w:bookmarkStart w:id="1385" w:name="f958"/>
      <w:bookmarkEnd w:id="1385"/>
      <w:r w:rsidRPr="00DC0299">
        <w:rPr>
          <w:rFonts w:ascii="Times New Roman" w:hAnsi="Times New Roman" w:cs="Times New Roman"/>
          <w:i/>
          <w:iCs/>
        </w:rPr>
        <w:t>Id</w:t>
      </w:r>
      <w:r w:rsidRPr="00DC0299">
        <w:rPr>
          <w:rFonts w:ascii="Times New Roman" w:hAnsi="Times New Roman" w:cs="Times New Roman"/>
        </w:rPr>
        <w:t>. at 1029</w:t>
      </w:r>
    </w:p>
  </w:footnote>
  <w:footnote w:id="999">
    <w:p w14:paraId="5F135911" w14:textId="4938B4E2" w:rsidR="00336EDF" w:rsidRDefault="00336EDF" w:rsidP="00EB5A23">
      <w:pPr>
        <w:pStyle w:val="FootnoteText"/>
        <w:jc w:val="both"/>
      </w:pPr>
      <w:r w:rsidRPr="00F13332">
        <w:rPr>
          <w:rStyle w:val="FootnoteReference"/>
          <w:rFonts w:ascii="Times New Roman" w:hAnsi="Times New Roman" w:cs="Times New Roman"/>
        </w:rPr>
        <w:footnoteRef/>
      </w:r>
      <w:r w:rsidRPr="00F13332">
        <w:rPr>
          <w:rFonts w:ascii="Times New Roman" w:hAnsi="Times New Roman" w:cs="Times New Roman"/>
        </w:rPr>
        <w:t xml:space="preserve"> </w:t>
      </w:r>
      <w:bookmarkStart w:id="1386" w:name="f959"/>
      <w:bookmarkEnd w:id="1386"/>
      <w:r w:rsidRPr="00F13332">
        <w:rPr>
          <w:rFonts w:ascii="Times New Roman" w:hAnsi="Times New Roman" w:cs="Times New Roman"/>
          <w:i/>
          <w:iCs/>
        </w:rPr>
        <w:t>Id</w:t>
      </w:r>
      <w:r w:rsidRPr="00F13332">
        <w:rPr>
          <w:rFonts w:ascii="Times New Roman" w:hAnsi="Times New Roman" w:cs="Times New Roman"/>
        </w:rPr>
        <w:t xml:space="preserve">. at 1033 </w:t>
      </w:r>
      <w:r w:rsidRPr="00EB5A23">
        <w:rPr>
          <w:rFonts w:ascii="Times New Roman" w:hAnsi="Times New Roman" w:cs="Times New Roman"/>
          <w:i/>
          <w:iCs/>
        </w:rPr>
        <w:t xml:space="preserve">quoting </w:t>
      </w:r>
      <w:r w:rsidRPr="00F13332">
        <w:rPr>
          <w:rFonts w:ascii="Times New Roman" w:hAnsi="Times New Roman" w:cs="Times New Roman"/>
        </w:rPr>
        <w:t>Workers' Compensation Div. v. Bergeron, 948 P.2d 1367, 1370 (Wyo.1997)</w:t>
      </w:r>
    </w:p>
  </w:footnote>
  <w:footnote w:id="1000">
    <w:p w14:paraId="62BCF0DB" w14:textId="0AE5EBFB" w:rsidR="00336EDF" w:rsidRDefault="00336EDF" w:rsidP="00EB5A23">
      <w:pPr>
        <w:pStyle w:val="FootnoteText"/>
        <w:jc w:val="both"/>
      </w:pPr>
      <w:r w:rsidRPr="00EB5A23">
        <w:rPr>
          <w:rStyle w:val="FootnoteReference"/>
          <w:rFonts w:ascii="Times New Roman" w:hAnsi="Times New Roman" w:cs="Times New Roman"/>
        </w:rPr>
        <w:footnoteRef/>
      </w:r>
      <w:r w:rsidRPr="00EB5A23">
        <w:rPr>
          <w:rFonts w:ascii="Times New Roman" w:hAnsi="Times New Roman" w:cs="Times New Roman"/>
        </w:rPr>
        <w:t xml:space="preserve"> </w:t>
      </w:r>
      <w:bookmarkStart w:id="1387" w:name="f960"/>
      <w:bookmarkEnd w:id="1387"/>
      <w:r w:rsidRPr="00EB5A23">
        <w:rPr>
          <w:rFonts w:ascii="Times New Roman" w:hAnsi="Times New Roman" w:cs="Times New Roman"/>
        </w:rPr>
        <w:t xml:space="preserve">Matter of Andren, </w:t>
      </w:r>
      <w:r w:rsidRPr="00EB5A23">
        <w:rPr>
          <w:rFonts w:ascii="Times New Roman" w:hAnsi="Times New Roman" w:cs="Times New Roman"/>
          <w:i/>
          <w:iCs/>
        </w:rPr>
        <w:t>supra</w:t>
      </w:r>
      <w:r w:rsidRPr="00EB5A23">
        <w:rPr>
          <w:rFonts w:ascii="Times New Roman" w:hAnsi="Times New Roman" w:cs="Times New Roman"/>
        </w:rPr>
        <w:t xml:space="preserve">., 917 P.2d at 180; Kilburn Tire v. Meredith, </w:t>
      </w:r>
      <w:r w:rsidRPr="00EB5A23">
        <w:rPr>
          <w:rFonts w:ascii="Times New Roman" w:hAnsi="Times New Roman" w:cs="Times New Roman"/>
          <w:i/>
          <w:iCs/>
        </w:rPr>
        <w:t>supra</w:t>
      </w:r>
      <w:r w:rsidRPr="00EB5A23">
        <w:rPr>
          <w:rFonts w:ascii="Times New Roman" w:hAnsi="Times New Roman" w:cs="Times New Roman"/>
        </w:rPr>
        <w:t>., 743 P.2d at 876</w:t>
      </w:r>
      <w:r w:rsidRPr="00F13332">
        <w:t xml:space="preserve"> </w:t>
      </w:r>
    </w:p>
  </w:footnote>
  <w:footnote w:id="1001">
    <w:p w14:paraId="183BB04F" w14:textId="5802679B" w:rsidR="00336EDF" w:rsidRDefault="00336EDF">
      <w:pPr>
        <w:pStyle w:val="FootnoteText"/>
      </w:pPr>
      <w:r w:rsidRPr="004F49FC">
        <w:rPr>
          <w:rStyle w:val="FootnoteReference"/>
          <w:rFonts w:ascii="Times New Roman" w:hAnsi="Times New Roman" w:cs="Times New Roman"/>
        </w:rPr>
        <w:footnoteRef/>
      </w:r>
      <w:r w:rsidRPr="004F49FC">
        <w:rPr>
          <w:rFonts w:ascii="Times New Roman" w:hAnsi="Times New Roman" w:cs="Times New Roman"/>
        </w:rPr>
        <w:t xml:space="preserve"> </w:t>
      </w:r>
      <w:bookmarkStart w:id="1388" w:name="f961"/>
      <w:bookmarkEnd w:id="1388"/>
      <w:r>
        <w:fldChar w:fldCharType="begin"/>
      </w:r>
      <w:r>
        <w:instrText xml:space="preserve"> HYPERLINK "https://www.leagle.com/decision/inwyco20150717e12" </w:instrText>
      </w:r>
      <w:r>
        <w:fldChar w:fldCharType="separate"/>
      </w:r>
      <w:r w:rsidRPr="006A2B67">
        <w:rPr>
          <w:rStyle w:val="Hyperlink"/>
          <w:rFonts w:ascii="Times New Roman" w:hAnsi="Times New Roman" w:cs="Times New Roman"/>
        </w:rPr>
        <w:t>353 P.3d 711</w:t>
      </w:r>
      <w:r>
        <w:rPr>
          <w:rStyle w:val="Hyperlink"/>
          <w:rFonts w:ascii="Times New Roman" w:hAnsi="Times New Roman" w:cs="Times New Roman"/>
        </w:rPr>
        <w:fldChar w:fldCharType="end"/>
      </w:r>
      <w:r w:rsidRPr="004F49FC">
        <w:rPr>
          <w:rFonts w:ascii="Times New Roman" w:hAnsi="Times New Roman" w:cs="Times New Roman"/>
        </w:rPr>
        <w:t xml:space="preserve"> (Wyo. 2015)</w:t>
      </w:r>
    </w:p>
  </w:footnote>
  <w:footnote w:id="1002">
    <w:p w14:paraId="06253F19" w14:textId="3039AEDC" w:rsidR="00336EDF" w:rsidRDefault="00336EDF">
      <w:pPr>
        <w:pStyle w:val="FootnoteText"/>
      </w:pPr>
      <w:r w:rsidRPr="004F49FC">
        <w:rPr>
          <w:rStyle w:val="FootnoteReference"/>
          <w:rFonts w:ascii="Times New Roman" w:hAnsi="Times New Roman" w:cs="Times New Roman"/>
        </w:rPr>
        <w:footnoteRef/>
      </w:r>
      <w:r>
        <w:t xml:space="preserve"> </w:t>
      </w:r>
      <w:bookmarkStart w:id="1389" w:name="f962"/>
      <w:bookmarkEnd w:id="1389"/>
      <w:r w:rsidRPr="004F49FC">
        <w:rPr>
          <w:rFonts w:ascii="Times New Roman" w:hAnsi="Times New Roman" w:cs="Times New Roman"/>
          <w:i/>
          <w:iCs/>
        </w:rPr>
        <w:t>Id</w:t>
      </w:r>
      <w:r w:rsidRPr="004F49FC">
        <w:rPr>
          <w:rFonts w:ascii="Times New Roman" w:hAnsi="Times New Roman" w:cs="Times New Roman"/>
        </w:rPr>
        <w:t>. at 713</w:t>
      </w:r>
    </w:p>
  </w:footnote>
  <w:footnote w:id="1003">
    <w:p w14:paraId="36FBED4E" w14:textId="2B96D50D" w:rsidR="00336EDF" w:rsidRDefault="00336EDF">
      <w:pPr>
        <w:pStyle w:val="FootnoteText"/>
      </w:pPr>
      <w:r w:rsidRPr="004F49FC">
        <w:rPr>
          <w:rStyle w:val="FootnoteReference"/>
          <w:rFonts w:ascii="Times New Roman" w:hAnsi="Times New Roman" w:cs="Times New Roman"/>
        </w:rPr>
        <w:footnoteRef/>
      </w:r>
      <w:r w:rsidRPr="004F49FC">
        <w:rPr>
          <w:rFonts w:ascii="Times New Roman" w:hAnsi="Times New Roman" w:cs="Times New Roman"/>
        </w:rPr>
        <w:t xml:space="preserve"> </w:t>
      </w:r>
      <w:bookmarkStart w:id="1390" w:name="f963"/>
      <w:bookmarkEnd w:id="1390"/>
      <w:r w:rsidRPr="004F49FC">
        <w:rPr>
          <w:rFonts w:ascii="Times New Roman" w:hAnsi="Times New Roman" w:cs="Times New Roman"/>
          <w:i/>
          <w:iCs/>
        </w:rPr>
        <w:t>Id.</w:t>
      </w:r>
    </w:p>
  </w:footnote>
  <w:footnote w:id="1004">
    <w:p w14:paraId="4753BDB5" w14:textId="366FB2E1" w:rsidR="00336EDF" w:rsidRPr="00056C0E" w:rsidRDefault="00336EDF" w:rsidP="00056C0E">
      <w:pPr>
        <w:pStyle w:val="FootnoteText"/>
        <w:jc w:val="both"/>
        <w:rPr>
          <w:rFonts w:ascii="Times New Roman" w:hAnsi="Times New Roman" w:cs="Times New Roman"/>
        </w:rPr>
      </w:pPr>
      <w:r w:rsidRPr="00056C0E">
        <w:rPr>
          <w:rStyle w:val="FootnoteReference"/>
          <w:rFonts w:ascii="Times New Roman" w:hAnsi="Times New Roman" w:cs="Times New Roman"/>
        </w:rPr>
        <w:footnoteRef/>
      </w:r>
      <w:r>
        <w:t xml:space="preserve"> </w:t>
      </w:r>
      <w:bookmarkStart w:id="1391" w:name="f964"/>
      <w:bookmarkEnd w:id="1391"/>
      <w:r w:rsidRPr="00056C0E">
        <w:rPr>
          <w:rFonts w:ascii="Times New Roman" w:hAnsi="Times New Roman" w:cs="Times New Roman"/>
          <w:i/>
          <w:iCs/>
        </w:rPr>
        <w:t>Id</w:t>
      </w:r>
      <w:r w:rsidRPr="00056C0E">
        <w:rPr>
          <w:rFonts w:ascii="Times New Roman" w:hAnsi="Times New Roman" w:cs="Times New Roman"/>
        </w:rPr>
        <w:t xml:space="preserve">. </w:t>
      </w:r>
      <w:r w:rsidRPr="00056C0E">
        <w:rPr>
          <w:rFonts w:ascii="Times New Roman" w:hAnsi="Times New Roman" w:cs="Times New Roman"/>
          <w:i/>
          <w:iCs/>
        </w:rPr>
        <w:t>quoting</w:t>
      </w:r>
      <w:r w:rsidRPr="00056C0E">
        <w:rPr>
          <w:rFonts w:ascii="Times New Roman" w:hAnsi="Times New Roman" w:cs="Times New Roman"/>
        </w:rPr>
        <w:t xml:space="preserve"> Hoffman v. United States, </w:t>
      </w:r>
      <w:hyperlink r:id="rId415" w:history="1">
        <w:r w:rsidRPr="006A2B67">
          <w:rPr>
            <w:rStyle w:val="Hyperlink"/>
            <w:rFonts w:ascii="Times New Roman" w:hAnsi="Times New Roman" w:cs="Times New Roman"/>
          </w:rPr>
          <w:t>341 U.S. 479</w:t>
        </w:r>
      </w:hyperlink>
      <w:r w:rsidRPr="00056C0E">
        <w:rPr>
          <w:rFonts w:ascii="Times New Roman" w:hAnsi="Times New Roman" w:cs="Times New Roman"/>
        </w:rPr>
        <w:t>, 486–87</w:t>
      </w:r>
      <w:r>
        <w:rPr>
          <w:rFonts w:ascii="Times New Roman" w:hAnsi="Times New Roman" w:cs="Times New Roman"/>
        </w:rPr>
        <w:t xml:space="preserve"> </w:t>
      </w:r>
      <w:r w:rsidRPr="00056C0E">
        <w:rPr>
          <w:rFonts w:ascii="Times New Roman" w:hAnsi="Times New Roman" w:cs="Times New Roman"/>
        </w:rPr>
        <w:t xml:space="preserve">(1951); Baker v. Limber, </w:t>
      </w:r>
      <w:hyperlink r:id="rId416" w:history="1">
        <w:r w:rsidRPr="006A2B67">
          <w:rPr>
            <w:rStyle w:val="Hyperlink"/>
            <w:rFonts w:ascii="Times New Roman" w:hAnsi="Times New Roman" w:cs="Times New Roman"/>
          </w:rPr>
          <w:t>647 F.2d 912</w:t>
        </w:r>
      </w:hyperlink>
      <w:r w:rsidRPr="00056C0E">
        <w:rPr>
          <w:rFonts w:ascii="Times New Roman" w:hAnsi="Times New Roman" w:cs="Times New Roman"/>
        </w:rPr>
        <w:t>, 917 (9th Cir.1981)</w:t>
      </w:r>
    </w:p>
  </w:footnote>
  <w:footnote w:id="1005">
    <w:p w14:paraId="4DA893C4" w14:textId="3EA63491" w:rsidR="00336EDF" w:rsidRDefault="00336EDF">
      <w:pPr>
        <w:pStyle w:val="FootnoteText"/>
      </w:pPr>
      <w:r w:rsidRPr="00056C0E">
        <w:rPr>
          <w:rStyle w:val="FootnoteReference"/>
          <w:rFonts w:ascii="Times New Roman" w:hAnsi="Times New Roman" w:cs="Times New Roman"/>
        </w:rPr>
        <w:footnoteRef/>
      </w:r>
      <w:r w:rsidRPr="00056C0E">
        <w:rPr>
          <w:rFonts w:ascii="Times New Roman" w:hAnsi="Times New Roman" w:cs="Times New Roman"/>
        </w:rPr>
        <w:t xml:space="preserve"> </w:t>
      </w:r>
      <w:bookmarkStart w:id="1392" w:name="f965"/>
      <w:bookmarkEnd w:id="1392"/>
      <w:r w:rsidRPr="00056C0E">
        <w:rPr>
          <w:rFonts w:ascii="Times New Roman" w:hAnsi="Times New Roman" w:cs="Times New Roman"/>
        </w:rPr>
        <w:t>Debyah v. Department of Workforce Services, supra., 353 P.3d at 717</w:t>
      </w:r>
    </w:p>
  </w:footnote>
  <w:footnote w:id="1006">
    <w:p w14:paraId="1ECF45CA" w14:textId="6BA2F3B2" w:rsidR="00336EDF" w:rsidRDefault="00336EDF">
      <w:pPr>
        <w:pStyle w:val="FootnoteText"/>
      </w:pPr>
      <w:r w:rsidRPr="006C7287">
        <w:rPr>
          <w:rStyle w:val="FootnoteReference"/>
          <w:rFonts w:ascii="Times New Roman" w:hAnsi="Times New Roman" w:cs="Times New Roman"/>
        </w:rPr>
        <w:footnoteRef/>
      </w:r>
      <w:r>
        <w:t xml:space="preserve"> </w:t>
      </w:r>
      <w:bookmarkStart w:id="1393" w:name="f966"/>
      <w:bookmarkEnd w:id="1393"/>
      <w:r w:rsidRPr="006C7287">
        <w:rPr>
          <w:rFonts w:ascii="Times New Roman" w:hAnsi="Times New Roman" w:cs="Times New Roman"/>
          <w:i/>
          <w:iCs/>
        </w:rPr>
        <w:t>Id</w:t>
      </w:r>
      <w:r w:rsidRPr="006C7287">
        <w:rPr>
          <w:rFonts w:ascii="Times New Roman" w:hAnsi="Times New Roman" w:cs="Times New Roman"/>
        </w:rPr>
        <w:t>. at 718</w:t>
      </w:r>
    </w:p>
  </w:footnote>
  <w:footnote w:id="1007">
    <w:p w14:paraId="74DCCD4F" w14:textId="04E7658C" w:rsidR="00336EDF" w:rsidRDefault="00336EDF">
      <w:pPr>
        <w:pStyle w:val="FootnoteText"/>
      </w:pPr>
      <w:r w:rsidRPr="00334BB9">
        <w:rPr>
          <w:rStyle w:val="FootnoteReference"/>
          <w:rFonts w:ascii="Times New Roman" w:hAnsi="Times New Roman" w:cs="Times New Roman"/>
        </w:rPr>
        <w:footnoteRef/>
      </w:r>
      <w:r w:rsidRPr="00334BB9">
        <w:rPr>
          <w:rFonts w:ascii="Times New Roman" w:hAnsi="Times New Roman" w:cs="Times New Roman"/>
        </w:rPr>
        <w:t xml:space="preserve"> </w:t>
      </w:r>
      <w:bookmarkStart w:id="1394" w:name="f967"/>
      <w:bookmarkEnd w:id="1394"/>
      <w:r w:rsidRPr="00334BB9">
        <w:rPr>
          <w:rFonts w:ascii="Times New Roman" w:hAnsi="Times New Roman" w:cs="Times New Roman"/>
          <w:i/>
          <w:iCs/>
        </w:rPr>
        <w:t>Id.</w:t>
      </w:r>
    </w:p>
  </w:footnote>
  <w:footnote w:id="1008">
    <w:p w14:paraId="311B2161" w14:textId="5A758A0D" w:rsidR="00336EDF" w:rsidRDefault="00336EDF">
      <w:pPr>
        <w:pStyle w:val="FootnoteText"/>
      </w:pPr>
      <w:r w:rsidRPr="009700E1">
        <w:rPr>
          <w:rStyle w:val="FootnoteReference"/>
          <w:rFonts w:ascii="Times New Roman" w:hAnsi="Times New Roman" w:cs="Times New Roman"/>
        </w:rPr>
        <w:footnoteRef/>
      </w:r>
      <w:r>
        <w:t xml:space="preserve"> </w:t>
      </w:r>
      <w:bookmarkStart w:id="1395" w:name="f968"/>
      <w:bookmarkEnd w:id="1395"/>
      <w:r>
        <w:fldChar w:fldCharType="begin"/>
      </w:r>
      <w:r>
        <w:instrText xml:space="preserve"> HYPERLINK "https://www.leagle.com/decision/inwyco20150218e37" </w:instrText>
      </w:r>
      <w:r>
        <w:fldChar w:fldCharType="separate"/>
      </w:r>
      <w:r w:rsidRPr="006A2B67">
        <w:rPr>
          <w:rStyle w:val="Hyperlink"/>
          <w:rFonts w:ascii="Times New Roman" w:hAnsi="Times New Roman" w:cs="Times New Roman"/>
        </w:rPr>
        <w:t>344 P.3d 249</w:t>
      </w:r>
      <w:r>
        <w:rPr>
          <w:rStyle w:val="Hyperlink"/>
          <w:rFonts w:ascii="Times New Roman" w:hAnsi="Times New Roman" w:cs="Times New Roman"/>
        </w:rPr>
        <w:fldChar w:fldCharType="end"/>
      </w:r>
      <w:r>
        <w:rPr>
          <w:rFonts w:ascii="Times New Roman" w:hAnsi="Times New Roman" w:cs="Times New Roman"/>
        </w:rPr>
        <w:t xml:space="preserve"> (Wyo. 2015)</w:t>
      </w:r>
    </w:p>
  </w:footnote>
  <w:footnote w:id="1009">
    <w:p w14:paraId="55DF42C6" w14:textId="19DA2222" w:rsidR="00336EDF" w:rsidRDefault="00336EDF">
      <w:pPr>
        <w:pStyle w:val="FootnoteText"/>
      </w:pPr>
      <w:r w:rsidRPr="005C1A24">
        <w:rPr>
          <w:rStyle w:val="FootnoteReference"/>
          <w:rFonts w:ascii="Times New Roman" w:hAnsi="Times New Roman" w:cs="Times New Roman"/>
        </w:rPr>
        <w:footnoteRef/>
      </w:r>
      <w:r>
        <w:t xml:space="preserve"> </w:t>
      </w:r>
      <w:bookmarkStart w:id="1396" w:name="f969"/>
      <w:bookmarkEnd w:id="1396"/>
      <w:r w:rsidRPr="005C1A24">
        <w:rPr>
          <w:rFonts w:ascii="Times New Roman" w:hAnsi="Times New Roman" w:cs="Times New Roman"/>
          <w:i/>
          <w:iCs/>
        </w:rPr>
        <w:t>Id</w:t>
      </w:r>
      <w:r w:rsidRPr="005C1A24">
        <w:rPr>
          <w:rFonts w:ascii="Times New Roman" w:hAnsi="Times New Roman" w:cs="Times New Roman"/>
        </w:rPr>
        <w:t>. at 254-255</w:t>
      </w:r>
    </w:p>
  </w:footnote>
  <w:footnote w:id="1010">
    <w:p w14:paraId="1139C9BE" w14:textId="784390BB" w:rsidR="00336EDF" w:rsidRDefault="00336EDF">
      <w:pPr>
        <w:pStyle w:val="FootnoteText"/>
      </w:pPr>
      <w:r w:rsidRPr="00920613">
        <w:rPr>
          <w:rStyle w:val="FootnoteReference"/>
          <w:rFonts w:ascii="Times New Roman" w:hAnsi="Times New Roman" w:cs="Times New Roman"/>
        </w:rPr>
        <w:footnoteRef/>
      </w:r>
      <w:r>
        <w:t xml:space="preserve"> </w:t>
      </w:r>
      <w:bookmarkStart w:id="1400" w:name="f970"/>
      <w:bookmarkEnd w:id="1400"/>
      <w:r>
        <w:fldChar w:fldCharType="begin"/>
      </w:r>
      <w:r>
        <w:instrText xml:space="preserve"> HYPERLINK "https://www.leagle.com/decision/19891528776p2d75211520" </w:instrText>
      </w:r>
      <w:r>
        <w:fldChar w:fldCharType="separate"/>
      </w:r>
      <w:r w:rsidRPr="00920613">
        <w:rPr>
          <w:rStyle w:val="Hyperlink"/>
          <w:rFonts w:ascii="Times New Roman" w:hAnsi="Times New Roman" w:cs="Times New Roman"/>
        </w:rPr>
        <w:t>776 P.2d 752</w:t>
      </w:r>
      <w:r>
        <w:rPr>
          <w:rStyle w:val="Hyperlink"/>
          <w:rFonts w:ascii="Times New Roman" w:hAnsi="Times New Roman" w:cs="Times New Roman"/>
        </w:rPr>
        <w:fldChar w:fldCharType="end"/>
      </w:r>
      <w:r w:rsidRPr="00920613">
        <w:rPr>
          <w:rFonts w:ascii="Times New Roman" w:hAnsi="Times New Roman" w:cs="Times New Roman"/>
        </w:rPr>
        <w:t>, 754 (Wyo. 1989)</w:t>
      </w:r>
    </w:p>
  </w:footnote>
  <w:footnote w:id="1011">
    <w:p w14:paraId="06AF90FB" w14:textId="25B7EA81" w:rsidR="00336EDF" w:rsidRDefault="00336EDF">
      <w:pPr>
        <w:pStyle w:val="FootnoteText"/>
      </w:pPr>
      <w:r w:rsidRPr="0044265A">
        <w:rPr>
          <w:rStyle w:val="FootnoteReference"/>
          <w:rFonts w:ascii="Times New Roman" w:hAnsi="Times New Roman" w:cs="Times New Roman"/>
        </w:rPr>
        <w:footnoteRef/>
      </w:r>
      <w:r>
        <w:t xml:space="preserve"> </w:t>
      </w:r>
      <w:bookmarkStart w:id="1402" w:name="f971"/>
      <w:bookmarkEnd w:id="1402"/>
      <w:r w:rsidRPr="0044265A">
        <w:rPr>
          <w:rFonts w:ascii="Times New Roman" w:hAnsi="Times New Roman" w:cs="Times New Roman"/>
          <w:i/>
          <w:iCs/>
        </w:rPr>
        <w:t>Id</w:t>
      </w:r>
      <w:r w:rsidRPr="0044265A">
        <w:rPr>
          <w:rFonts w:ascii="Times New Roman" w:hAnsi="Times New Roman" w:cs="Times New Roman"/>
        </w:rPr>
        <w:t>. at 753</w:t>
      </w:r>
    </w:p>
  </w:footnote>
  <w:footnote w:id="1012">
    <w:p w14:paraId="0C22368A" w14:textId="1196B520" w:rsidR="00336EDF" w:rsidRDefault="00336EDF">
      <w:pPr>
        <w:pStyle w:val="FootnoteText"/>
      </w:pPr>
      <w:r w:rsidRPr="00EC151B">
        <w:rPr>
          <w:rStyle w:val="FootnoteReference"/>
          <w:rFonts w:ascii="Times New Roman" w:hAnsi="Times New Roman" w:cs="Times New Roman"/>
        </w:rPr>
        <w:footnoteRef/>
      </w:r>
      <w:r>
        <w:t xml:space="preserve"> </w:t>
      </w:r>
      <w:bookmarkStart w:id="1403" w:name="f972"/>
      <w:bookmarkEnd w:id="1403"/>
      <w:r w:rsidRPr="00EC151B">
        <w:rPr>
          <w:rFonts w:ascii="Times New Roman" w:hAnsi="Times New Roman" w:cs="Times New Roman"/>
          <w:i/>
          <w:iCs/>
        </w:rPr>
        <w:t>Id.</w:t>
      </w:r>
    </w:p>
  </w:footnote>
  <w:footnote w:id="1013">
    <w:p w14:paraId="1BA5977B" w14:textId="6FBD1492" w:rsidR="00336EDF" w:rsidRDefault="00336EDF">
      <w:pPr>
        <w:pStyle w:val="FootnoteText"/>
      </w:pPr>
      <w:r w:rsidRPr="00EC151B">
        <w:rPr>
          <w:rStyle w:val="FootnoteReference"/>
          <w:rFonts w:ascii="Times New Roman" w:hAnsi="Times New Roman" w:cs="Times New Roman"/>
        </w:rPr>
        <w:footnoteRef/>
      </w:r>
      <w:r>
        <w:t xml:space="preserve"> </w:t>
      </w:r>
      <w:bookmarkStart w:id="1405" w:name="f973"/>
      <w:bookmarkEnd w:id="1405"/>
      <w:r>
        <w:fldChar w:fldCharType="begin"/>
      </w:r>
      <w:r>
        <w:instrText xml:space="preserve"> HYPERLINK "https://www.leagle.com/decision/inwyco20150923g05" </w:instrText>
      </w:r>
      <w:r>
        <w:fldChar w:fldCharType="separate"/>
      </w:r>
      <w:r w:rsidRPr="00D86A07">
        <w:rPr>
          <w:rStyle w:val="Hyperlink"/>
          <w:rFonts w:ascii="Times New Roman" w:hAnsi="Times New Roman" w:cs="Times New Roman"/>
        </w:rPr>
        <w:t>357 P.3d 755</w:t>
      </w:r>
      <w:r>
        <w:rPr>
          <w:rStyle w:val="Hyperlink"/>
          <w:rFonts w:ascii="Times New Roman" w:hAnsi="Times New Roman" w:cs="Times New Roman"/>
        </w:rPr>
        <w:fldChar w:fldCharType="end"/>
      </w:r>
      <w:r>
        <w:rPr>
          <w:rFonts w:ascii="Times New Roman" w:hAnsi="Times New Roman" w:cs="Times New Roman"/>
        </w:rPr>
        <w:t xml:space="preserve"> (Wyo. 2015)</w:t>
      </w:r>
    </w:p>
  </w:footnote>
  <w:footnote w:id="1014">
    <w:p w14:paraId="646C2BE0" w14:textId="2846AFFD" w:rsidR="00336EDF" w:rsidRDefault="00336EDF">
      <w:pPr>
        <w:pStyle w:val="FootnoteText"/>
      </w:pPr>
      <w:r w:rsidRPr="00EC151B">
        <w:rPr>
          <w:rStyle w:val="FootnoteReference"/>
          <w:rFonts w:ascii="Times New Roman" w:hAnsi="Times New Roman" w:cs="Times New Roman"/>
        </w:rPr>
        <w:footnoteRef/>
      </w:r>
      <w:r>
        <w:t xml:space="preserve"> </w:t>
      </w:r>
      <w:bookmarkStart w:id="1406" w:name="f974"/>
      <w:bookmarkEnd w:id="1406"/>
      <w:r w:rsidRPr="00EC151B">
        <w:rPr>
          <w:rFonts w:ascii="Times New Roman" w:hAnsi="Times New Roman" w:cs="Times New Roman"/>
          <w:i/>
          <w:iCs/>
        </w:rPr>
        <w:t>Id</w:t>
      </w:r>
      <w:r w:rsidRPr="00EC151B">
        <w:rPr>
          <w:rFonts w:ascii="Times New Roman" w:hAnsi="Times New Roman" w:cs="Times New Roman"/>
        </w:rPr>
        <w:t>. at 759</w:t>
      </w:r>
    </w:p>
  </w:footnote>
  <w:footnote w:id="1015">
    <w:p w14:paraId="68A12EE0" w14:textId="08C994A1" w:rsidR="00336EDF" w:rsidRDefault="00336EDF">
      <w:pPr>
        <w:pStyle w:val="FootnoteText"/>
      </w:pPr>
      <w:r w:rsidRPr="00B27191">
        <w:rPr>
          <w:rStyle w:val="FootnoteReference"/>
          <w:rFonts w:ascii="Times New Roman" w:hAnsi="Times New Roman" w:cs="Times New Roman"/>
        </w:rPr>
        <w:footnoteRef/>
      </w:r>
      <w:r>
        <w:t xml:space="preserve"> </w:t>
      </w:r>
      <w:bookmarkStart w:id="1407" w:name="f975"/>
      <w:bookmarkEnd w:id="1407"/>
      <w:r w:rsidRPr="00B27191">
        <w:rPr>
          <w:rFonts w:ascii="Times New Roman" w:hAnsi="Times New Roman" w:cs="Times New Roman"/>
          <w:i/>
          <w:iCs/>
        </w:rPr>
        <w:t>Id</w:t>
      </w:r>
      <w:r w:rsidRPr="00B27191">
        <w:rPr>
          <w:rFonts w:ascii="Times New Roman" w:hAnsi="Times New Roman" w:cs="Times New Roman"/>
        </w:rPr>
        <w:t>. at 760</w:t>
      </w:r>
    </w:p>
  </w:footnote>
  <w:footnote w:id="1016">
    <w:p w14:paraId="15CB60DE" w14:textId="2A5A3A55" w:rsidR="00336EDF" w:rsidRDefault="00336EDF">
      <w:pPr>
        <w:pStyle w:val="FootnoteText"/>
      </w:pPr>
      <w:r w:rsidRPr="00B27191">
        <w:rPr>
          <w:rStyle w:val="FootnoteReference"/>
          <w:rFonts w:ascii="Times New Roman" w:hAnsi="Times New Roman" w:cs="Times New Roman"/>
        </w:rPr>
        <w:footnoteRef/>
      </w:r>
      <w:r w:rsidRPr="00B27191">
        <w:rPr>
          <w:rFonts w:ascii="Times New Roman" w:hAnsi="Times New Roman" w:cs="Times New Roman"/>
        </w:rPr>
        <w:t xml:space="preserve"> </w:t>
      </w:r>
      <w:bookmarkStart w:id="1408" w:name="f976"/>
      <w:bookmarkEnd w:id="1408"/>
      <w:r w:rsidRPr="00B27191">
        <w:rPr>
          <w:rFonts w:ascii="Times New Roman" w:hAnsi="Times New Roman" w:cs="Times New Roman"/>
        </w:rPr>
        <w:t xml:space="preserve">Cardwell v. American Linen Supply, </w:t>
      </w:r>
      <w:hyperlink r:id="rId417" w:history="1">
        <w:r w:rsidRPr="00D86A07">
          <w:rPr>
            <w:rStyle w:val="Hyperlink"/>
            <w:rFonts w:ascii="Times New Roman" w:hAnsi="Times New Roman" w:cs="Times New Roman"/>
          </w:rPr>
          <w:t>843 P.2d 596</w:t>
        </w:r>
      </w:hyperlink>
      <w:r w:rsidRPr="00B27191">
        <w:rPr>
          <w:rFonts w:ascii="Times New Roman" w:hAnsi="Times New Roman" w:cs="Times New Roman"/>
        </w:rPr>
        <w:t>, 599–600 (Wyo.1992)</w:t>
      </w:r>
    </w:p>
  </w:footnote>
  <w:footnote w:id="1017">
    <w:p w14:paraId="1A0D51E1" w14:textId="1EA24A80" w:rsidR="00336EDF" w:rsidRDefault="00336EDF">
      <w:pPr>
        <w:pStyle w:val="FootnoteText"/>
      </w:pPr>
      <w:r w:rsidRPr="00B27191">
        <w:rPr>
          <w:rStyle w:val="FootnoteReference"/>
          <w:rFonts w:ascii="Times New Roman" w:hAnsi="Times New Roman" w:cs="Times New Roman"/>
        </w:rPr>
        <w:footnoteRef/>
      </w:r>
      <w:r>
        <w:t xml:space="preserve"> </w:t>
      </w:r>
      <w:bookmarkStart w:id="1409" w:name="f977"/>
      <w:bookmarkStart w:id="1410" w:name="_Hlk13809531"/>
      <w:bookmarkEnd w:id="1409"/>
      <w:r w:rsidRPr="00B27191">
        <w:rPr>
          <w:rFonts w:ascii="Times New Roman" w:hAnsi="Times New Roman" w:cs="Times New Roman"/>
        </w:rPr>
        <w:t xml:space="preserve">King v. Cowboy Dodge, Inc., </w:t>
      </w:r>
      <w:r w:rsidRPr="00D86A07">
        <w:rPr>
          <w:rFonts w:ascii="Times New Roman" w:hAnsi="Times New Roman" w:cs="Times New Roman"/>
          <w:i/>
          <w:iCs/>
        </w:rPr>
        <w:t>supra</w:t>
      </w:r>
      <w:r w:rsidRPr="00B27191">
        <w:rPr>
          <w:rFonts w:ascii="Times New Roman" w:hAnsi="Times New Roman" w:cs="Times New Roman"/>
        </w:rPr>
        <w:t>.</w:t>
      </w:r>
      <w:r>
        <w:rPr>
          <w:rFonts w:ascii="Times New Roman" w:hAnsi="Times New Roman" w:cs="Times New Roman"/>
        </w:rPr>
        <w:t>,</w:t>
      </w:r>
      <w:r w:rsidRPr="00B27191">
        <w:rPr>
          <w:rFonts w:ascii="Times New Roman" w:hAnsi="Times New Roman" w:cs="Times New Roman"/>
        </w:rPr>
        <w:t xml:space="preserve"> 776 P.2d at 760</w:t>
      </w:r>
      <w:bookmarkEnd w:id="1410"/>
      <w:r>
        <w:rPr>
          <w:rFonts w:ascii="Times New Roman" w:hAnsi="Times New Roman" w:cs="Times New Roman"/>
        </w:rPr>
        <w:t xml:space="preserve">; the current Larson’s entry is </w:t>
      </w:r>
      <w:bookmarkStart w:id="1411" w:name="_Hlk13812175"/>
      <w:r>
        <w:rPr>
          <w:rFonts w:ascii="Times New Roman" w:hAnsi="Times New Roman" w:cs="Times New Roman"/>
        </w:rPr>
        <w:t xml:space="preserve">9 </w:t>
      </w:r>
      <w:r w:rsidRPr="00746B73">
        <w:rPr>
          <w:rFonts w:ascii="Times New Roman" w:hAnsi="Times New Roman" w:cs="Times New Roman"/>
          <w:smallCaps/>
        </w:rPr>
        <w:t>Larson's Workers</w:t>
      </w:r>
      <w:r>
        <w:rPr>
          <w:rFonts w:ascii="Times New Roman" w:hAnsi="Times New Roman" w:cs="Times New Roman"/>
          <w:smallCaps/>
        </w:rPr>
        <w:t>’</w:t>
      </w:r>
      <w:r w:rsidRPr="00746B73">
        <w:rPr>
          <w:rFonts w:ascii="Times New Roman" w:hAnsi="Times New Roman" w:cs="Times New Roman"/>
          <w:smallCaps/>
        </w:rPr>
        <w:t xml:space="preserve"> Compensation Law</w:t>
      </w:r>
      <w:r w:rsidRPr="00746B73">
        <w:rPr>
          <w:rFonts w:ascii="Times New Roman" w:hAnsi="Times New Roman" w:cs="Times New Roman"/>
        </w:rPr>
        <w:t xml:space="preserve"> § 1</w:t>
      </w:r>
      <w:r>
        <w:rPr>
          <w:rFonts w:ascii="Times New Roman" w:hAnsi="Times New Roman" w:cs="Times New Roman"/>
        </w:rPr>
        <w:t>04</w:t>
      </w:r>
      <w:r w:rsidRPr="00746B73">
        <w:rPr>
          <w:rFonts w:ascii="Times New Roman" w:hAnsi="Times New Roman" w:cs="Times New Roman"/>
        </w:rPr>
        <w:t>.0</w:t>
      </w:r>
      <w:r>
        <w:rPr>
          <w:rFonts w:ascii="Times New Roman" w:hAnsi="Times New Roman" w:cs="Times New Roman"/>
        </w:rPr>
        <w:t>7 [3]</w:t>
      </w:r>
    </w:p>
    <w:bookmarkEnd w:id="1411"/>
  </w:footnote>
  <w:footnote w:id="1018">
    <w:p w14:paraId="11FB2A80" w14:textId="7FEB17D7" w:rsidR="00336EDF" w:rsidRDefault="00336EDF">
      <w:pPr>
        <w:pStyle w:val="FootnoteText"/>
      </w:pPr>
      <w:r w:rsidRPr="00DC4D49">
        <w:rPr>
          <w:rStyle w:val="FootnoteReference"/>
          <w:rFonts w:ascii="Times New Roman" w:hAnsi="Times New Roman" w:cs="Times New Roman"/>
        </w:rPr>
        <w:footnoteRef/>
      </w:r>
      <w:r>
        <w:t xml:space="preserve"> </w:t>
      </w:r>
      <w:bookmarkStart w:id="1412" w:name="f978"/>
      <w:bookmarkEnd w:id="1412"/>
      <w:r w:rsidRPr="00DC4D49">
        <w:rPr>
          <w:rFonts w:ascii="Times New Roman" w:hAnsi="Times New Roman" w:cs="Times New Roman"/>
          <w:i/>
          <w:iCs/>
        </w:rPr>
        <w:t>Id.</w:t>
      </w:r>
      <w:r w:rsidRPr="00DC4D49">
        <w:rPr>
          <w:rFonts w:ascii="Times New Roman" w:hAnsi="Times New Roman" w:cs="Times New Roman"/>
        </w:rPr>
        <w:t xml:space="preserve"> at 757</w:t>
      </w:r>
    </w:p>
  </w:footnote>
  <w:footnote w:id="1019">
    <w:p w14:paraId="3C6C7A4B" w14:textId="60C4810F" w:rsidR="00336EDF" w:rsidRDefault="00336EDF">
      <w:pPr>
        <w:pStyle w:val="FootnoteText"/>
      </w:pPr>
      <w:r w:rsidRPr="00DC4D49">
        <w:rPr>
          <w:rStyle w:val="FootnoteReference"/>
          <w:rFonts w:ascii="Times New Roman" w:hAnsi="Times New Roman" w:cs="Times New Roman"/>
        </w:rPr>
        <w:footnoteRef/>
      </w:r>
      <w:r w:rsidRPr="00DC4D49">
        <w:rPr>
          <w:rFonts w:ascii="Times New Roman" w:hAnsi="Times New Roman" w:cs="Times New Roman"/>
        </w:rPr>
        <w:t xml:space="preserve"> </w:t>
      </w:r>
      <w:bookmarkStart w:id="1413" w:name="f979"/>
      <w:bookmarkEnd w:id="1413"/>
      <w:r w:rsidRPr="00DC4D49">
        <w:rPr>
          <w:rFonts w:ascii="Times New Roman" w:hAnsi="Times New Roman" w:cs="Times New Roman"/>
          <w:i/>
          <w:iCs/>
        </w:rPr>
        <w:t>Id.</w:t>
      </w:r>
      <w:r w:rsidRPr="00DC4D49">
        <w:rPr>
          <w:rFonts w:ascii="Times New Roman" w:hAnsi="Times New Roman" w:cs="Times New Roman"/>
        </w:rPr>
        <w:t xml:space="preserve"> at 758</w:t>
      </w:r>
    </w:p>
  </w:footnote>
  <w:footnote w:id="1020">
    <w:p w14:paraId="442FCA83" w14:textId="083C95E1" w:rsidR="00336EDF" w:rsidRDefault="00336EDF">
      <w:pPr>
        <w:pStyle w:val="FootnoteText"/>
      </w:pPr>
      <w:r w:rsidRPr="0037423A">
        <w:rPr>
          <w:rStyle w:val="FootnoteReference"/>
          <w:rFonts w:ascii="Times New Roman" w:hAnsi="Times New Roman" w:cs="Times New Roman"/>
        </w:rPr>
        <w:footnoteRef/>
      </w:r>
      <w:r>
        <w:t xml:space="preserve"> </w:t>
      </w:r>
      <w:bookmarkStart w:id="1414" w:name="f980"/>
      <w:bookmarkEnd w:id="1414"/>
      <w:r w:rsidRPr="0037423A">
        <w:rPr>
          <w:rFonts w:ascii="Times New Roman" w:hAnsi="Times New Roman" w:cs="Times New Roman"/>
          <w:i/>
          <w:iCs/>
        </w:rPr>
        <w:t>See supra</w:t>
      </w:r>
      <w:r w:rsidRPr="0037423A">
        <w:rPr>
          <w:rFonts w:ascii="Times New Roman" w:hAnsi="Times New Roman" w:cs="Times New Roman"/>
        </w:rPr>
        <w:t xml:space="preserve">. </w:t>
      </w:r>
    </w:p>
  </w:footnote>
  <w:footnote w:id="1021">
    <w:p w14:paraId="619DAE6C" w14:textId="0055BF5B" w:rsidR="00336EDF" w:rsidRDefault="00336EDF">
      <w:pPr>
        <w:pStyle w:val="FootnoteText"/>
      </w:pPr>
      <w:r w:rsidRPr="00C80BED">
        <w:rPr>
          <w:rStyle w:val="FootnoteReference"/>
          <w:rFonts w:ascii="Times New Roman" w:hAnsi="Times New Roman" w:cs="Times New Roman"/>
        </w:rPr>
        <w:footnoteRef/>
      </w:r>
      <w:r>
        <w:t xml:space="preserve"> </w:t>
      </w:r>
      <w:bookmarkStart w:id="1415" w:name="f981"/>
      <w:bookmarkStart w:id="1416" w:name="_Hlk13811754"/>
      <w:bookmarkEnd w:id="1415"/>
      <w:r w:rsidRPr="00C80BED">
        <w:rPr>
          <w:rFonts w:ascii="Times New Roman" w:hAnsi="Times New Roman" w:cs="Times New Roman"/>
        </w:rPr>
        <w:t xml:space="preserve">King v. Cowboy Dodge, Inc., </w:t>
      </w:r>
      <w:r w:rsidRPr="00C80BED">
        <w:rPr>
          <w:rFonts w:ascii="Times New Roman" w:hAnsi="Times New Roman" w:cs="Times New Roman"/>
          <w:i/>
          <w:iCs/>
        </w:rPr>
        <w:t>supra</w:t>
      </w:r>
      <w:r w:rsidRPr="00C80BED">
        <w:rPr>
          <w:rFonts w:ascii="Times New Roman" w:hAnsi="Times New Roman" w:cs="Times New Roman"/>
        </w:rPr>
        <w:t>.</w:t>
      </w:r>
      <w:r>
        <w:rPr>
          <w:rFonts w:ascii="Times New Roman" w:hAnsi="Times New Roman" w:cs="Times New Roman"/>
        </w:rPr>
        <w:t>,</w:t>
      </w:r>
      <w:r w:rsidRPr="00C80BED">
        <w:rPr>
          <w:rFonts w:ascii="Times New Roman" w:hAnsi="Times New Roman" w:cs="Times New Roman"/>
        </w:rPr>
        <w:t xml:space="preserve"> 776 P.2d at 761</w:t>
      </w:r>
      <w:bookmarkEnd w:id="1416"/>
    </w:p>
  </w:footnote>
  <w:footnote w:id="1022">
    <w:p w14:paraId="44566738" w14:textId="5DCB2650" w:rsidR="00336EDF" w:rsidRDefault="00336EDF">
      <w:pPr>
        <w:pStyle w:val="FootnoteText"/>
      </w:pPr>
      <w:r w:rsidRPr="00B64889">
        <w:rPr>
          <w:rStyle w:val="FootnoteReference"/>
          <w:rFonts w:ascii="Times New Roman" w:hAnsi="Times New Roman" w:cs="Times New Roman"/>
        </w:rPr>
        <w:footnoteRef/>
      </w:r>
      <w:r w:rsidRPr="00B64889">
        <w:rPr>
          <w:rFonts w:ascii="Times New Roman" w:hAnsi="Times New Roman" w:cs="Times New Roman"/>
        </w:rPr>
        <w:t xml:space="preserve"> </w:t>
      </w:r>
      <w:bookmarkStart w:id="1417" w:name="f982"/>
      <w:bookmarkEnd w:id="1417"/>
      <w:r w:rsidRPr="00B64889">
        <w:rPr>
          <w:rFonts w:ascii="Times New Roman" w:hAnsi="Times New Roman" w:cs="Times New Roman"/>
          <w:i/>
          <w:iCs/>
        </w:rPr>
        <w:t>See</w:t>
      </w:r>
      <w:r w:rsidRPr="00B64889">
        <w:rPr>
          <w:rFonts w:ascii="Times New Roman" w:hAnsi="Times New Roman" w:cs="Times New Roman"/>
        </w:rPr>
        <w:t xml:space="preserve"> Kaufman v. Rural Health Development, Inc., 442 P.3d 303, 309 (Wyo. 2019)</w:t>
      </w:r>
    </w:p>
  </w:footnote>
  <w:footnote w:id="1023">
    <w:p w14:paraId="0FC6AD95" w14:textId="147F25F1" w:rsidR="00336EDF" w:rsidRDefault="00336EDF">
      <w:pPr>
        <w:pStyle w:val="FootnoteText"/>
      </w:pPr>
      <w:r w:rsidRPr="001F7A3B">
        <w:rPr>
          <w:rStyle w:val="FootnoteReference"/>
          <w:rFonts w:ascii="Times New Roman" w:hAnsi="Times New Roman" w:cs="Times New Roman"/>
        </w:rPr>
        <w:footnoteRef/>
      </w:r>
      <w:r>
        <w:t xml:space="preserve"> </w:t>
      </w:r>
      <w:bookmarkStart w:id="1418" w:name="f983"/>
      <w:bookmarkEnd w:id="1418"/>
      <w:r w:rsidRPr="001F7A3B">
        <w:rPr>
          <w:rFonts w:ascii="Times New Roman" w:hAnsi="Times New Roman" w:cs="Times New Roman"/>
          <w:i/>
          <w:iCs/>
        </w:rPr>
        <w:t>See</w:t>
      </w:r>
      <w:r w:rsidRPr="001F7A3B">
        <w:rPr>
          <w:rFonts w:ascii="Times New Roman" w:hAnsi="Times New Roman" w:cs="Times New Roman"/>
        </w:rPr>
        <w:t xml:space="preserve"> Copp v. Unified Sch. Dist. No. 501, </w:t>
      </w:r>
      <w:hyperlink r:id="rId418" w:history="1">
        <w:r w:rsidRPr="002A5F62">
          <w:rPr>
            <w:rStyle w:val="Hyperlink"/>
            <w:rFonts w:ascii="Times New Roman" w:hAnsi="Times New Roman" w:cs="Times New Roman"/>
          </w:rPr>
          <w:t>882 F.2d 1547</w:t>
        </w:r>
      </w:hyperlink>
      <w:r w:rsidRPr="001F7A3B">
        <w:rPr>
          <w:rFonts w:ascii="Times New Roman" w:hAnsi="Times New Roman" w:cs="Times New Roman"/>
        </w:rPr>
        <w:t>, 1554 (10th Cir. 1989)</w:t>
      </w:r>
    </w:p>
  </w:footnote>
  <w:footnote w:id="1024">
    <w:p w14:paraId="0FCB524A" w14:textId="749AB1D0" w:rsidR="00336EDF" w:rsidRDefault="00336EDF">
      <w:pPr>
        <w:pStyle w:val="FootnoteText"/>
      </w:pPr>
      <w:r w:rsidRPr="0081228B">
        <w:rPr>
          <w:rStyle w:val="FootnoteReference"/>
          <w:rFonts w:ascii="Times New Roman" w:hAnsi="Times New Roman" w:cs="Times New Roman"/>
        </w:rPr>
        <w:footnoteRef/>
      </w:r>
      <w:r w:rsidRPr="0081228B">
        <w:rPr>
          <w:rFonts w:ascii="Times New Roman" w:hAnsi="Times New Roman" w:cs="Times New Roman"/>
        </w:rPr>
        <w:t xml:space="preserve"> </w:t>
      </w:r>
      <w:bookmarkStart w:id="1419" w:name="f984"/>
      <w:bookmarkStart w:id="1420" w:name="_Hlk13813304"/>
      <w:bookmarkEnd w:id="1419"/>
      <w:r w:rsidRPr="0081228B">
        <w:rPr>
          <w:rFonts w:ascii="Times New Roman" w:hAnsi="Times New Roman" w:cs="Times New Roman"/>
        </w:rPr>
        <w:t xml:space="preserve">King v. Cowboy Dodge, Inc., </w:t>
      </w:r>
      <w:r w:rsidRPr="0081228B">
        <w:rPr>
          <w:rFonts w:ascii="Times New Roman" w:hAnsi="Times New Roman" w:cs="Times New Roman"/>
          <w:i/>
          <w:iCs/>
        </w:rPr>
        <w:t>supra</w:t>
      </w:r>
      <w:r w:rsidRPr="0081228B">
        <w:rPr>
          <w:rFonts w:ascii="Times New Roman" w:hAnsi="Times New Roman" w:cs="Times New Roman"/>
        </w:rPr>
        <w:t>.</w:t>
      </w:r>
      <w:r>
        <w:rPr>
          <w:rFonts w:ascii="Times New Roman" w:hAnsi="Times New Roman" w:cs="Times New Roman"/>
        </w:rPr>
        <w:t>,</w:t>
      </w:r>
      <w:r w:rsidRPr="0081228B">
        <w:rPr>
          <w:rFonts w:ascii="Times New Roman" w:hAnsi="Times New Roman" w:cs="Times New Roman"/>
        </w:rPr>
        <w:t xml:space="preserve"> 776 P.2d at 761</w:t>
      </w:r>
      <w:bookmarkEnd w:id="1420"/>
      <w:r w:rsidRPr="0081228B">
        <w:rPr>
          <w:rFonts w:ascii="Times New Roman" w:hAnsi="Times New Roman" w:cs="Times New Roman"/>
        </w:rPr>
        <w:t>, fn. 10</w:t>
      </w:r>
    </w:p>
  </w:footnote>
  <w:footnote w:id="1025">
    <w:p w14:paraId="16775064" w14:textId="7E8FE69F" w:rsidR="00336EDF" w:rsidRDefault="00336EDF">
      <w:pPr>
        <w:pStyle w:val="FootnoteText"/>
      </w:pPr>
      <w:r w:rsidRPr="002A5F62">
        <w:rPr>
          <w:rStyle w:val="FootnoteReference"/>
          <w:rFonts w:ascii="Times New Roman" w:hAnsi="Times New Roman" w:cs="Times New Roman"/>
        </w:rPr>
        <w:footnoteRef/>
      </w:r>
      <w:r w:rsidRPr="002A5F62">
        <w:rPr>
          <w:rFonts w:ascii="Times New Roman" w:hAnsi="Times New Roman" w:cs="Times New Roman"/>
        </w:rPr>
        <w:t xml:space="preserve"> </w:t>
      </w:r>
      <w:bookmarkStart w:id="1421" w:name="f985"/>
      <w:bookmarkEnd w:id="1421"/>
      <w:r>
        <w:rPr>
          <w:rFonts w:ascii="Times New Roman" w:hAnsi="Times New Roman" w:cs="Times New Roman"/>
        </w:rPr>
        <w:t xml:space="preserve">9 </w:t>
      </w:r>
      <w:r w:rsidRPr="00746B73">
        <w:rPr>
          <w:rFonts w:ascii="Times New Roman" w:hAnsi="Times New Roman" w:cs="Times New Roman"/>
          <w:smallCaps/>
        </w:rPr>
        <w:t>Larson's Workers</w:t>
      </w:r>
      <w:r>
        <w:rPr>
          <w:rFonts w:ascii="Times New Roman" w:hAnsi="Times New Roman" w:cs="Times New Roman"/>
          <w:smallCaps/>
        </w:rPr>
        <w:t>’</w:t>
      </w:r>
      <w:r w:rsidRPr="00746B73">
        <w:rPr>
          <w:rFonts w:ascii="Times New Roman" w:hAnsi="Times New Roman" w:cs="Times New Roman"/>
          <w:smallCaps/>
        </w:rPr>
        <w:t xml:space="preserve"> Compensation Law</w:t>
      </w:r>
      <w:r w:rsidRPr="00746B73">
        <w:rPr>
          <w:rFonts w:ascii="Times New Roman" w:hAnsi="Times New Roman" w:cs="Times New Roman"/>
        </w:rPr>
        <w:t xml:space="preserve"> § 1</w:t>
      </w:r>
      <w:r>
        <w:rPr>
          <w:rFonts w:ascii="Times New Roman" w:hAnsi="Times New Roman" w:cs="Times New Roman"/>
        </w:rPr>
        <w:t>04</w:t>
      </w:r>
      <w:r w:rsidRPr="00746B73">
        <w:rPr>
          <w:rFonts w:ascii="Times New Roman" w:hAnsi="Times New Roman" w:cs="Times New Roman"/>
        </w:rPr>
        <w:t>.0</w:t>
      </w:r>
      <w:r>
        <w:rPr>
          <w:rFonts w:ascii="Times New Roman" w:hAnsi="Times New Roman" w:cs="Times New Roman"/>
        </w:rPr>
        <w:t>7 [3]</w:t>
      </w:r>
    </w:p>
  </w:footnote>
  <w:footnote w:id="1026">
    <w:p w14:paraId="0A8430A0" w14:textId="06D4C2A9" w:rsidR="00336EDF" w:rsidRDefault="00336EDF">
      <w:pPr>
        <w:pStyle w:val="FootnoteText"/>
      </w:pPr>
      <w:r w:rsidRPr="002A5F62">
        <w:rPr>
          <w:rStyle w:val="FootnoteReference"/>
          <w:rFonts w:ascii="Times New Roman" w:hAnsi="Times New Roman" w:cs="Times New Roman"/>
        </w:rPr>
        <w:footnoteRef/>
      </w:r>
      <w:r w:rsidRPr="002A5F62">
        <w:rPr>
          <w:rFonts w:ascii="Times New Roman" w:hAnsi="Times New Roman" w:cs="Times New Roman"/>
        </w:rPr>
        <w:t xml:space="preserve"> </w:t>
      </w:r>
      <w:bookmarkStart w:id="1422" w:name="f986"/>
      <w:bookmarkEnd w:id="1422"/>
      <w:r w:rsidRPr="002A5F62">
        <w:rPr>
          <w:rFonts w:ascii="Times New Roman" w:hAnsi="Times New Roman" w:cs="Times New Roman"/>
          <w:i/>
          <w:iCs/>
        </w:rPr>
        <w:t xml:space="preserve">See </w:t>
      </w:r>
      <w:r w:rsidRPr="002A5F62">
        <w:rPr>
          <w:rFonts w:ascii="Times New Roman" w:hAnsi="Times New Roman" w:cs="Times New Roman"/>
        </w:rPr>
        <w:t>Riddle v. Wal-Mart Stores, Inc.</w:t>
      </w:r>
      <w:r>
        <w:rPr>
          <w:rFonts w:ascii="Times New Roman" w:hAnsi="Times New Roman" w:cs="Times New Roman"/>
        </w:rPr>
        <w:t xml:space="preserve">, </w:t>
      </w:r>
      <w:hyperlink r:id="rId419" w:history="1">
        <w:r w:rsidRPr="002A5F62">
          <w:rPr>
            <w:rStyle w:val="Hyperlink"/>
            <w:rFonts w:ascii="Times New Roman" w:hAnsi="Times New Roman" w:cs="Times New Roman"/>
          </w:rPr>
          <w:t>998 P.2d 114</w:t>
        </w:r>
      </w:hyperlink>
      <w:r w:rsidRPr="002A5F62">
        <w:rPr>
          <w:rFonts w:ascii="Times New Roman" w:hAnsi="Times New Roman" w:cs="Times New Roman"/>
        </w:rPr>
        <w:t xml:space="preserve"> (</w:t>
      </w:r>
      <w:r>
        <w:rPr>
          <w:rFonts w:ascii="Times New Roman" w:hAnsi="Times New Roman" w:cs="Times New Roman"/>
        </w:rPr>
        <w:t xml:space="preserve">Kan. </w:t>
      </w:r>
      <w:r w:rsidRPr="002A5F62">
        <w:rPr>
          <w:rFonts w:ascii="Times New Roman" w:hAnsi="Times New Roman" w:cs="Times New Roman"/>
        </w:rPr>
        <w:t>2000).</w:t>
      </w:r>
    </w:p>
  </w:footnote>
  <w:footnote w:id="1027">
    <w:p w14:paraId="687D5145" w14:textId="11BE8DC2" w:rsidR="00336EDF" w:rsidRDefault="00336EDF">
      <w:pPr>
        <w:pStyle w:val="FootnoteText"/>
      </w:pPr>
      <w:r w:rsidRPr="00A75826">
        <w:rPr>
          <w:rStyle w:val="FootnoteReference"/>
          <w:rFonts w:ascii="Times New Roman" w:hAnsi="Times New Roman" w:cs="Times New Roman"/>
        </w:rPr>
        <w:footnoteRef/>
      </w:r>
      <w:r w:rsidRPr="00A75826">
        <w:rPr>
          <w:rFonts w:ascii="Times New Roman" w:hAnsi="Times New Roman" w:cs="Times New Roman"/>
        </w:rPr>
        <w:t xml:space="preserve"> </w:t>
      </w:r>
      <w:bookmarkStart w:id="1423" w:name="f987"/>
      <w:bookmarkEnd w:id="1423"/>
      <w:r w:rsidRPr="0081228B">
        <w:rPr>
          <w:rFonts w:ascii="Times New Roman" w:hAnsi="Times New Roman" w:cs="Times New Roman"/>
        </w:rPr>
        <w:t xml:space="preserve">King v. Cowboy Dodge, Inc., </w:t>
      </w:r>
      <w:r w:rsidRPr="0081228B">
        <w:rPr>
          <w:rFonts w:ascii="Times New Roman" w:hAnsi="Times New Roman" w:cs="Times New Roman"/>
          <w:i/>
          <w:iCs/>
        </w:rPr>
        <w:t>supra</w:t>
      </w:r>
      <w:r w:rsidRPr="0081228B">
        <w:rPr>
          <w:rFonts w:ascii="Times New Roman" w:hAnsi="Times New Roman" w:cs="Times New Roman"/>
        </w:rPr>
        <w:t>.</w:t>
      </w:r>
      <w:r>
        <w:rPr>
          <w:rFonts w:ascii="Times New Roman" w:hAnsi="Times New Roman" w:cs="Times New Roman"/>
        </w:rPr>
        <w:t>,</w:t>
      </w:r>
      <w:r w:rsidRPr="0081228B">
        <w:rPr>
          <w:rFonts w:ascii="Times New Roman" w:hAnsi="Times New Roman" w:cs="Times New Roman"/>
        </w:rPr>
        <w:t xml:space="preserve"> 776 P.2d at 76</w:t>
      </w:r>
      <w:r>
        <w:rPr>
          <w:rFonts w:ascii="Times New Roman" w:hAnsi="Times New Roman" w:cs="Times New Roman"/>
        </w:rPr>
        <w:t>2</w:t>
      </w:r>
    </w:p>
  </w:footnote>
  <w:footnote w:id="1028">
    <w:p w14:paraId="3264A542" w14:textId="50D123AC" w:rsidR="00336EDF" w:rsidRDefault="00336EDF">
      <w:pPr>
        <w:pStyle w:val="FootnoteText"/>
      </w:pPr>
      <w:r w:rsidRPr="00B26EC2">
        <w:rPr>
          <w:rStyle w:val="FootnoteReference"/>
          <w:rFonts w:ascii="Times New Roman" w:hAnsi="Times New Roman" w:cs="Times New Roman"/>
        </w:rPr>
        <w:footnoteRef/>
      </w:r>
      <w:r w:rsidRPr="00B26EC2">
        <w:rPr>
          <w:rFonts w:ascii="Times New Roman" w:hAnsi="Times New Roman" w:cs="Times New Roman"/>
        </w:rPr>
        <w:t xml:space="preserve"> </w:t>
      </w:r>
      <w:bookmarkStart w:id="1424" w:name="f988"/>
      <w:bookmarkEnd w:id="1424"/>
      <w:r w:rsidRPr="00B26EC2">
        <w:rPr>
          <w:rFonts w:ascii="Times New Roman" w:hAnsi="Times New Roman" w:cs="Times New Roman"/>
          <w:i/>
          <w:iCs/>
        </w:rPr>
        <w:t>Id</w:t>
      </w:r>
      <w:r w:rsidRPr="00B26EC2">
        <w:rPr>
          <w:rFonts w:ascii="Times New Roman" w:hAnsi="Times New Roman" w:cs="Times New Roman"/>
        </w:rPr>
        <w:t>. at 759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62253C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75506"/>
    <w:multiLevelType w:val="multilevel"/>
    <w:tmpl w:val="8E62EF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w:hAnsi="Times New Roman" w:cs="Times New Roman" w:hint="default"/>
        <w:b/>
        <w:color w:val="auto"/>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04F02C37"/>
    <w:multiLevelType w:val="hybridMultilevel"/>
    <w:tmpl w:val="34D8B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E0723"/>
    <w:multiLevelType w:val="hybridMultilevel"/>
    <w:tmpl w:val="3E466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72C25"/>
    <w:multiLevelType w:val="hybridMultilevel"/>
    <w:tmpl w:val="B18CBFB2"/>
    <w:lvl w:ilvl="0" w:tplc="C4B4D5E0">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CD2204"/>
    <w:multiLevelType w:val="hybridMultilevel"/>
    <w:tmpl w:val="6D64F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A4B02"/>
    <w:multiLevelType w:val="hybridMultilevel"/>
    <w:tmpl w:val="D45A1CA0"/>
    <w:lvl w:ilvl="0" w:tplc="24B81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6285E"/>
    <w:multiLevelType w:val="hybridMultilevel"/>
    <w:tmpl w:val="D0A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33C1"/>
    <w:multiLevelType w:val="hybridMultilevel"/>
    <w:tmpl w:val="3EC46B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360" w:firstLine="10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D83E19"/>
    <w:multiLevelType w:val="hybridMultilevel"/>
    <w:tmpl w:val="B18CBFB2"/>
    <w:lvl w:ilvl="0" w:tplc="C4B4D5E0">
      <w:start w:val="1"/>
      <w:numFmt w:val="decimal"/>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6549E3"/>
    <w:multiLevelType w:val="hybridMultilevel"/>
    <w:tmpl w:val="36C8FC3E"/>
    <w:lvl w:ilvl="0" w:tplc="6D3C0C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781764"/>
    <w:multiLevelType w:val="hybridMultilevel"/>
    <w:tmpl w:val="B186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95ED7"/>
    <w:multiLevelType w:val="hybridMultilevel"/>
    <w:tmpl w:val="E346A634"/>
    <w:lvl w:ilvl="0" w:tplc="04090001">
      <w:start w:val="1"/>
      <w:numFmt w:val="bullet"/>
      <w:lvlText w:val=""/>
      <w:lvlJc w:val="left"/>
      <w:pPr>
        <w:ind w:left="1092" w:hanging="372"/>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B36073"/>
    <w:multiLevelType w:val="hybridMultilevel"/>
    <w:tmpl w:val="EEF4A8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94E2164C">
      <w:start w:val="1"/>
      <w:numFmt w:val="bullet"/>
      <w:lvlText w:val=""/>
      <w:lvlJc w:val="left"/>
      <w:pPr>
        <w:ind w:left="360" w:firstLine="10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B57902"/>
    <w:multiLevelType w:val="hybridMultilevel"/>
    <w:tmpl w:val="7146E54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94E2164C">
      <w:start w:val="1"/>
      <w:numFmt w:val="bullet"/>
      <w:lvlText w:val=""/>
      <w:lvlJc w:val="left"/>
      <w:pPr>
        <w:ind w:left="360" w:firstLine="108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5430EB"/>
    <w:multiLevelType w:val="hybridMultilevel"/>
    <w:tmpl w:val="E4063A88"/>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51E47138"/>
    <w:multiLevelType w:val="hybridMultilevel"/>
    <w:tmpl w:val="8B662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CC2229"/>
    <w:multiLevelType w:val="hybridMultilevel"/>
    <w:tmpl w:val="58226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A31E5F"/>
    <w:multiLevelType w:val="hybridMultilevel"/>
    <w:tmpl w:val="2CBA220C"/>
    <w:lvl w:ilvl="0" w:tplc="F1A845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2EA5393"/>
    <w:multiLevelType w:val="hybridMultilevel"/>
    <w:tmpl w:val="18D2A816"/>
    <w:lvl w:ilvl="0" w:tplc="778807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187AAB"/>
    <w:multiLevelType w:val="hybridMultilevel"/>
    <w:tmpl w:val="A2341BF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60" w:firstLine="1080"/>
      </w:pPr>
      <w:rPr>
        <w:rFonts w:ascii="Courier New" w:hAnsi="Courier New" w:cs="Courier New"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89F3AE1"/>
    <w:multiLevelType w:val="hybridMultilevel"/>
    <w:tmpl w:val="3698C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853BE4"/>
    <w:multiLevelType w:val="multilevel"/>
    <w:tmpl w:val="7A4AE3EC"/>
    <w:styleLink w:val="Style1"/>
    <w:lvl w:ilvl="0">
      <w:start w:val="1"/>
      <w:numFmt w:val="decimal"/>
      <w:lvlText w:val="%1."/>
      <w:lvlJc w:val="left"/>
      <w:pPr>
        <w:ind w:left="360" w:hanging="360"/>
      </w:pPr>
      <w:rPr>
        <w:rFonts w:hint="default"/>
      </w:rPr>
    </w:lvl>
    <w:lvl w:ilvl="1">
      <w:start w:val="1"/>
      <w:numFmt w:val="decimal"/>
      <w:lvlText w:val="%2.1"/>
      <w:lvlJc w:val="left"/>
      <w:pPr>
        <w:ind w:left="792" w:hanging="432"/>
      </w:pPr>
      <w:rPr>
        <w:rFonts w:hint="default"/>
      </w:rPr>
    </w:lvl>
    <w:lvl w:ilvl="2">
      <w:start w:val="1"/>
      <w:numFmt w:val="decimal"/>
      <w:lvlText w:val="%3."/>
      <w:lvlJc w:val="left"/>
      <w:pPr>
        <w:ind w:left="1224" w:hanging="504"/>
      </w:pPr>
      <w:rPr>
        <w:rFonts w:hint="default"/>
      </w:rPr>
    </w:lvl>
    <w:lvl w:ilvl="3">
      <w:start w:val="1"/>
      <w:numFmt w:val="upperLetter"/>
      <w:lvlText w:val="%4."/>
      <w:lvlJc w:val="left"/>
      <w:pPr>
        <w:ind w:left="1728" w:hanging="648"/>
      </w:pPr>
      <w:rPr>
        <w:rFonts w:hint="default"/>
      </w:rPr>
    </w:lvl>
    <w:lvl w:ilvl="4">
      <w:start w:val="1"/>
      <w:numFmt w:val="lowerRoman"/>
      <w:lvlText w:val="%5."/>
      <w:lvlJc w:val="right"/>
      <w:pPr>
        <w:ind w:left="2232" w:hanging="792"/>
      </w:pPr>
      <w:rPr>
        <w:rFonts w:hint="default"/>
      </w:rPr>
    </w:lvl>
    <w:lvl w:ilvl="5">
      <w:start w:val="1"/>
      <w:numFmt w:val="lowerRoman"/>
      <w:lvlText w:val="%6."/>
      <w:lvlJc w:val="right"/>
      <w:pPr>
        <w:ind w:left="2736" w:hanging="936"/>
      </w:pPr>
      <w:rPr>
        <w:rFonts w:hint="default"/>
      </w:rPr>
    </w:lvl>
    <w:lvl w:ilvl="6">
      <w:start w:val="1"/>
      <w:numFmt w:val="lowerLetter"/>
      <w:lvlText w:val="%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9A44F8"/>
    <w:multiLevelType w:val="hybridMultilevel"/>
    <w:tmpl w:val="4EC8D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
    <w:lvlOverride w:ilvl="0">
      <w:startOverride w:val="2"/>
    </w:lvlOverride>
  </w:num>
  <w:num w:numId="4">
    <w:abstractNumId w:val="3"/>
  </w:num>
  <w:num w:numId="5">
    <w:abstractNumId w:val="0"/>
  </w:num>
  <w:num w:numId="6">
    <w:abstractNumId w:val="5"/>
  </w:num>
  <w:num w:numId="7">
    <w:abstractNumId w:val="19"/>
  </w:num>
  <w:num w:numId="8">
    <w:abstractNumId w:val="21"/>
  </w:num>
  <w:num w:numId="9">
    <w:abstractNumId w:val="10"/>
  </w:num>
  <w:num w:numId="10">
    <w:abstractNumId w:val="4"/>
  </w:num>
  <w:num w:numId="11">
    <w:abstractNumId w:val="9"/>
  </w:num>
  <w:num w:numId="12">
    <w:abstractNumId w:val="15"/>
  </w:num>
  <w:num w:numId="13">
    <w:abstractNumId w:val="17"/>
  </w:num>
  <w:num w:numId="14">
    <w:abstractNumId w:val="23"/>
  </w:num>
  <w:num w:numId="15">
    <w:abstractNumId w:val="14"/>
  </w:num>
  <w:num w:numId="16">
    <w:abstractNumId w:val="12"/>
  </w:num>
  <w:num w:numId="17">
    <w:abstractNumId w:val="2"/>
  </w:num>
  <w:num w:numId="18">
    <w:abstractNumId w:val="1"/>
  </w:num>
  <w:num w:numId="19">
    <w:abstractNumId w:val="1"/>
  </w:num>
  <w:num w:numId="20">
    <w:abstractNumId w:val="1"/>
  </w:num>
  <w:num w:numId="21">
    <w:abstractNumId w:val="1"/>
  </w:num>
  <w:num w:numId="22">
    <w:abstractNumId w:val="6"/>
  </w:num>
  <w:num w:numId="23">
    <w:abstractNumId w:val="18"/>
  </w:num>
  <w:num w:numId="24">
    <w:abstractNumId w:val="7"/>
  </w:num>
  <w:num w:numId="25">
    <w:abstractNumId w:val="11"/>
  </w:num>
  <w:num w:numId="26">
    <w:abstractNumId w:val="16"/>
  </w:num>
  <w:num w:numId="27">
    <w:abstractNumId w:val="13"/>
  </w:num>
  <w:num w:numId="28">
    <w:abstractNumId w:val="8"/>
  </w:num>
  <w:num w:numId="2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6D"/>
    <w:rsid w:val="000003D1"/>
    <w:rsid w:val="00000400"/>
    <w:rsid w:val="000020CC"/>
    <w:rsid w:val="00002495"/>
    <w:rsid w:val="00002773"/>
    <w:rsid w:val="00003288"/>
    <w:rsid w:val="00004238"/>
    <w:rsid w:val="000042A4"/>
    <w:rsid w:val="000044AF"/>
    <w:rsid w:val="00005690"/>
    <w:rsid w:val="00005DA5"/>
    <w:rsid w:val="00006CD3"/>
    <w:rsid w:val="00006D82"/>
    <w:rsid w:val="000073B8"/>
    <w:rsid w:val="0001073E"/>
    <w:rsid w:val="00010981"/>
    <w:rsid w:val="00013687"/>
    <w:rsid w:val="000137D8"/>
    <w:rsid w:val="0001513A"/>
    <w:rsid w:val="0001589A"/>
    <w:rsid w:val="00015BEC"/>
    <w:rsid w:val="000166F2"/>
    <w:rsid w:val="000172AB"/>
    <w:rsid w:val="000173C7"/>
    <w:rsid w:val="00017447"/>
    <w:rsid w:val="000203C2"/>
    <w:rsid w:val="00021032"/>
    <w:rsid w:val="00021DF5"/>
    <w:rsid w:val="00021EF4"/>
    <w:rsid w:val="0002254F"/>
    <w:rsid w:val="00023303"/>
    <w:rsid w:val="0002331A"/>
    <w:rsid w:val="00023620"/>
    <w:rsid w:val="00023645"/>
    <w:rsid w:val="00024707"/>
    <w:rsid w:val="0002477D"/>
    <w:rsid w:val="000254C8"/>
    <w:rsid w:val="0002582C"/>
    <w:rsid w:val="000259F1"/>
    <w:rsid w:val="00026762"/>
    <w:rsid w:val="000267E8"/>
    <w:rsid w:val="00026A41"/>
    <w:rsid w:val="0002714E"/>
    <w:rsid w:val="00032FA4"/>
    <w:rsid w:val="00034F99"/>
    <w:rsid w:val="0003544F"/>
    <w:rsid w:val="00036080"/>
    <w:rsid w:val="000361AE"/>
    <w:rsid w:val="00036DAB"/>
    <w:rsid w:val="0004004C"/>
    <w:rsid w:val="000409B3"/>
    <w:rsid w:val="00040A1F"/>
    <w:rsid w:val="00041BB0"/>
    <w:rsid w:val="00041D0E"/>
    <w:rsid w:val="000424E0"/>
    <w:rsid w:val="00043861"/>
    <w:rsid w:val="00044250"/>
    <w:rsid w:val="000458FD"/>
    <w:rsid w:val="00045CA8"/>
    <w:rsid w:val="000469AB"/>
    <w:rsid w:val="00047130"/>
    <w:rsid w:val="0004786B"/>
    <w:rsid w:val="00050901"/>
    <w:rsid w:val="00050E85"/>
    <w:rsid w:val="000526A8"/>
    <w:rsid w:val="000528CA"/>
    <w:rsid w:val="00052CF8"/>
    <w:rsid w:val="000545DA"/>
    <w:rsid w:val="000547E5"/>
    <w:rsid w:val="00054C8C"/>
    <w:rsid w:val="00056C0E"/>
    <w:rsid w:val="00061D57"/>
    <w:rsid w:val="000623D0"/>
    <w:rsid w:val="00063435"/>
    <w:rsid w:val="00063689"/>
    <w:rsid w:val="00063708"/>
    <w:rsid w:val="0006408E"/>
    <w:rsid w:val="00064AA3"/>
    <w:rsid w:val="00064BA2"/>
    <w:rsid w:val="00066A97"/>
    <w:rsid w:val="000676A0"/>
    <w:rsid w:val="00070B92"/>
    <w:rsid w:val="00071087"/>
    <w:rsid w:val="000712E3"/>
    <w:rsid w:val="00072428"/>
    <w:rsid w:val="00073E88"/>
    <w:rsid w:val="00075352"/>
    <w:rsid w:val="0007565C"/>
    <w:rsid w:val="00077C31"/>
    <w:rsid w:val="00077D04"/>
    <w:rsid w:val="000801C3"/>
    <w:rsid w:val="000806C2"/>
    <w:rsid w:val="00080C70"/>
    <w:rsid w:val="0008136C"/>
    <w:rsid w:val="00081377"/>
    <w:rsid w:val="00082BCE"/>
    <w:rsid w:val="00082D22"/>
    <w:rsid w:val="00082D65"/>
    <w:rsid w:val="0008338F"/>
    <w:rsid w:val="000846C9"/>
    <w:rsid w:val="0008474B"/>
    <w:rsid w:val="0008587E"/>
    <w:rsid w:val="000860F3"/>
    <w:rsid w:val="0008793C"/>
    <w:rsid w:val="00087F12"/>
    <w:rsid w:val="000902EA"/>
    <w:rsid w:val="00090E73"/>
    <w:rsid w:val="00091076"/>
    <w:rsid w:val="00093D5E"/>
    <w:rsid w:val="00094B5A"/>
    <w:rsid w:val="00095016"/>
    <w:rsid w:val="00095A2B"/>
    <w:rsid w:val="00095FA5"/>
    <w:rsid w:val="000961A6"/>
    <w:rsid w:val="0009710E"/>
    <w:rsid w:val="00097D47"/>
    <w:rsid w:val="000A07F0"/>
    <w:rsid w:val="000A0E2C"/>
    <w:rsid w:val="000A1816"/>
    <w:rsid w:val="000A1EE1"/>
    <w:rsid w:val="000A2006"/>
    <w:rsid w:val="000A3933"/>
    <w:rsid w:val="000A4567"/>
    <w:rsid w:val="000A4F03"/>
    <w:rsid w:val="000A55C2"/>
    <w:rsid w:val="000A6A26"/>
    <w:rsid w:val="000A7546"/>
    <w:rsid w:val="000B00B2"/>
    <w:rsid w:val="000B2204"/>
    <w:rsid w:val="000B36C3"/>
    <w:rsid w:val="000B37E2"/>
    <w:rsid w:val="000B3A77"/>
    <w:rsid w:val="000B4880"/>
    <w:rsid w:val="000B4DB9"/>
    <w:rsid w:val="000B4E6E"/>
    <w:rsid w:val="000B5242"/>
    <w:rsid w:val="000B6075"/>
    <w:rsid w:val="000B718C"/>
    <w:rsid w:val="000B7386"/>
    <w:rsid w:val="000B7444"/>
    <w:rsid w:val="000B78CB"/>
    <w:rsid w:val="000C05AB"/>
    <w:rsid w:val="000C05E9"/>
    <w:rsid w:val="000C0DF7"/>
    <w:rsid w:val="000C11F3"/>
    <w:rsid w:val="000C1A69"/>
    <w:rsid w:val="000C2C7F"/>
    <w:rsid w:val="000C2E99"/>
    <w:rsid w:val="000C37F0"/>
    <w:rsid w:val="000C3842"/>
    <w:rsid w:val="000C3B97"/>
    <w:rsid w:val="000C4902"/>
    <w:rsid w:val="000C4C28"/>
    <w:rsid w:val="000C53E4"/>
    <w:rsid w:val="000C5D3C"/>
    <w:rsid w:val="000C7057"/>
    <w:rsid w:val="000C7114"/>
    <w:rsid w:val="000C7EF6"/>
    <w:rsid w:val="000D005C"/>
    <w:rsid w:val="000D0BB5"/>
    <w:rsid w:val="000D3379"/>
    <w:rsid w:val="000D523C"/>
    <w:rsid w:val="000D578F"/>
    <w:rsid w:val="000D79AC"/>
    <w:rsid w:val="000D7F3D"/>
    <w:rsid w:val="000E075B"/>
    <w:rsid w:val="000E1636"/>
    <w:rsid w:val="000E236E"/>
    <w:rsid w:val="000E298E"/>
    <w:rsid w:val="000E29EB"/>
    <w:rsid w:val="000E4E42"/>
    <w:rsid w:val="000E598C"/>
    <w:rsid w:val="000E5A6A"/>
    <w:rsid w:val="000E66C0"/>
    <w:rsid w:val="000E6BFD"/>
    <w:rsid w:val="000E6FC8"/>
    <w:rsid w:val="000E6FE8"/>
    <w:rsid w:val="000E6FF5"/>
    <w:rsid w:val="000F015B"/>
    <w:rsid w:val="000F0239"/>
    <w:rsid w:val="000F06DC"/>
    <w:rsid w:val="000F0A19"/>
    <w:rsid w:val="000F0B35"/>
    <w:rsid w:val="000F0D21"/>
    <w:rsid w:val="000F584A"/>
    <w:rsid w:val="000F5C38"/>
    <w:rsid w:val="000F605C"/>
    <w:rsid w:val="000F7261"/>
    <w:rsid w:val="000F755A"/>
    <w:rsid w:val="000F779F"/>
    <w:rsid w:val="000F792D"/>
    <w:rsid w:val="000F7EF7"/>
    <w:rsid w:val="0010038E"/>
    <w:rsid w:val="0010197A"/>
    <w:rsid w:val="00102FEF"/>
    <w:rsid w:val="00104253"/>
    <w:rsid w:val="00104F1A"/>
    <w:rsid w:val="00105220"/>
    <w:rsid w:val="00106A48"/>
    <w:rsid w:val="00106ECE"/>
    <w:rsid w:val="001102AD"/>
    <w:rsid w:val="001116DE"/>
    <w:rsid w:val="00111CA0"/>
    <w:rsid w:val="001120B7"/>
    <w:rsid w:val="00112C9C"/>
    <w:rsid w:val="00112DC6"/>
    <w:rsid w:val="00113DC2"/>
    <w:rsid w:val="00114754"/>
    <w:rsid w:val="00115189"/>
    <w:rsid w:val="00115E44"/>
    <w:rsid w:val="001161F2"/>
    <w:rsid w:val="00116409"/>
    <w:rsid w:val="001169BE"/>
    <w:rsid w:val="0011735F"/>
    <w:rsid w:val="00120772"/>
    <w:rsid w:val="00120AED"/>
    <w:rsid w:val="00120BFE"/>
    <w:rsid w:val="00120C85"/>
    <w:rsid w:val="001222C8"/>
    <w:rsid w:val="00125118"/>
    <w:rsid w:val="00126784"/>
    <w:rsid w:val="00126940"/>
    <w:rsid w:val="0013058D"/>
    <w:rsid w:val="00130DD2"/>
    <w:rsid w:val="00133173"/>
    <w:rsid w:val="00133E6D"/>
    <w:rsid w:val="00134437"/>
    <w:rsid w:val="00134CDC"/>
    <w:rsid w:val="00135D9E"/>
    <w:rsid w:val="00136A36"/>
    <w:rsid w:val="00137810"/>
    <w:rsid w:val="001413F8"/>
    <w:rsid w:val="00142C9A"/>
    <w:rsid w:val="001437DB"/>
    <w:rsid w:val="00143B9B"/>
    <w:rsid w:val="00143BD2"/>
    <w:rsid w:val="001445BC"/>
    <w:rsid w:val="001468F0"/>
    <w:rsid w:val="00146E20"/>
    <w:rsid w:val="001474E7"/>
    <w:rsid w:val="00151E18"/>
    <w:rsid w:val="00152B5C"/>
    <w:rsid w:val="00152D64"/>
    <w:rsid w:val="00153921"/>
    <w:rsid w:val="00153E8D"/>
    <w:rsid w:val="00155D15"/>
    <w:rsid w:val="00155D2B"/>
    <w:rsid w:val="00155FAB"/>
    <w:rsid w:val="00156333"/>
    <w:rsid w:val="001568CB"/>
    <w:rsid w:val="001569CD"/>
    <w:rsid w:val="00160C60"/>
    <w:rsid w:val="00161291"/>
    <w:rsid w:val="00161C22"/>
    <w:rsid w:val="001626D0"/>
    <w:rsid w:val="00163F2F"/>
    <w:rsid w:val="00163F50"/>
    <w:rsid w:val="001659C1"/>
    <w:rsid w:val="00165F08"/>
    <w:rsid w:val="0016651A"/>
    <w:rsid w:val="00166803"/>
    <w:rsid w:val="00167123"/>
    <w:rsid w:val="0016768D"/>
    <w:rsid w:val="00167A22"/>
    <w:rsid w:val="00170C61"/>
    <w:rsid w:val="0017123E"/>
    <w:rsid w:val="0017408A"/>
    <w:rsid w:val="00174962"/>
    <w:rsid w:val="00175E74"/>
    <w:rsid w:val="00175FDB"/>
    <w:rsid w:val="00176BE0"/>
    <w:rsid w:val="0017703D"/>
    <w:rsid w:val="00177606"/>
    <w:rsid w:val="00177FF1"/>
    <w:rsid w:val="00180734"/>
    <w:rsid w:val="00180B06"/>
    <w:rsid w:val="001810E2"/>
    <w:rsid w:val="00181855"/>
    <w:rsid w:val="00181977"/>
    <w:rsid w:val="00182ED5"/>
    <w:rsid w:val="00183802"/>
    <w:rsid w:val="001843E2"/>
    <w:rsid w:val="00185A8B"/>
    <w:rsid w:val="00185DED"/>
    <w:rsid w:val="00186996"/>
    <w:rsid w:val="00186CE5"/>
    <w:rsid w:val="001911B1"/>
    <w:rsid w:val="00191416"/>
    <w:rsid w:val="00191F75"/>
    <w:rsid w:val="0019240C"/>
    <w:rsid w:val="001929BE"/>
    <w:rsid w:val="00192D8B"/>
    <w:rsid w:val="0019326D"/>
    <w:rsid w:val="001933FA"/>
    <w:rsid w:val="00193857"/>
    <w:rsid w:val="00193B02"/>
    <w:rsid w:val="00193E55"/>
    <w:rsid w:val="00194692"/>
    <w:rsid w:val="00194A5F"/>
    <w:rsid w:val="00194FAB"/>
    <w:rsid w:val="0019557C"/>
    <w:rsid w:val="00195968"/>
    <w:rsid w:val="00195F44"/>
    <w:rsid w:val="00196071"/>
    <w:rsid w:val="001970C8"/>
    <w:rsid w:val="001A054B"/>
    <w:rsid w:val="001A08D2"/>
    <w:rsid w:val="001A0DF6"/>
    <w:rsid w:val="001A2150"/>
    <w:rsid w:val="001A39F0"/>
    <w:rsid w:val="001A41DC"/>
    <w:rsid w:val="001A4864"/>
    <w:rsid w:val="001A4D31"/>
    <w:rsid w:val="001A58CC"/>
    <w:rsid w:val="001A618E"/>
    <w:rsid w:val="001A64E4"/>
    <w:rsid w:val="001A6BCF"/>
    <w:rsid w:val="001A7294"/>
    <w:rsid w:val="001B06AF"/>
    <w:rsid w:val="001B0C52"/>
    <w:rsid w:val="001B11B2"/>
    <w:rsid w:val="001B1ADB"/>
    <w:rsid w:val="001B2271"/>
    <w:rsid w:val="001B2D17"/>
    <w:rsid w:val="001B36ED"/>
    <w:rsid w:val="001B417B"/>
    <w:rsid w:val="001B41BE"/>
    <w:rsid w:val="001B5D07"/>
    <w:rsid w:val="001B70CB"/>
    <w:rsid w:val="001C0210"/>
    <w:rsid w:val="001C0447"/>
    <w:rsid w:val="001C08D9"/>
    <w:rsid w:val="001C1D89"/>
    <w:rsid w:val="001C3017"/>
    <w:rsid w:val="001C3299"/>
    <w:rsid w:val="001C531F"/>
    <w:rsid w:val="001C6B4D"/>
    <w:rsid w:val="001C6E28"/>
    <w:rsid w:val="001C7123"/>
    <w:rsid w:val="001C76B2"/>
    <w:rsid w:val="001D004E"/>
    <w:rsid w:val="001D0509"/>
    <w:rsid w:val="001D0CFA"/>
    <w:rsid w:val="001D24E7"/>
    <w:rsid w:val="001D282C"/>
    <w:rsid w:val="001D32EC"/>
    <w:rsid w:val="001D3A7F"/>
    <w:rsid w:val="001D516F"/>
    <w:rsid w:val="001D6546"/>
    <w:rsid w:val="001D67C2"/>
    <w:rsid w:val="001D7088"/>
    <w:rsid w:val="001D72A6"/>
    <w:rsid w:val="001D7C47"/>
    <w:rsid w:val="001E1063"/>
    <w:rsid w:val="001E144C"/>
    <w:rsid w:val="001E1698"/>
    <w:rsid w:val="001E1736"/>
    <w:rsid w:val="001E1C3C"/>
    <w:rsid w:val="001E26D6"/>
    <w:rsid w:val="001E27A7"/>
    <w:rsid w:val="001E2CEF"/>
    <w:rsid w:val="001E2E9D"/>
    <w:rsid w:val="001E3FC9"/>
    <w:rsid w:val="001E50CD"/>
    <w:rsid w:val="001E515B"/>
    <w:rsid w:val="001E66FC"/>
    <w:rsid w:val="001E672E"/>
    <w:rsid w:val="001F02A9"/>
    <w:rsid w:val="001F0F78"/>
    <w:rsid w:val="001F2584"/>
    <w:rsid w:val="001F3142"/>
    <w:rsid w:val="001F3748"/>
    <w:rsid w:val="001F3DE8"/>
    <w:rsid w:val="001F42A8"/>
    <w:rsid w:val="001F5EA1"/>
    <w:rsid w:val="001F7A3B"/>
    <w:rsid w:val="001F7C82"/>
    <w:rsid w:val="00200716"/>
    <w:rsid w:val="00200CA6"/>
    <w:rsid w:val="0020316F"/>
    <w:rsid w:val="00203C71"/>
    <w:rsid w:val="002057DA"/>
    <w:rsid w:val="00205857"/>
    <w:rsid w:val="0020594A"/>
    <w:rsid w:val="00206D05"/>
    <w:rsid w:val="00207B01"/>
    <w:rsid w:val="002105D8"/>
    <w:rsid w:val="00210742"/>
    <w:rsid w:val="00212C96"/>
    <w:rsid w:val="002131AC"/>
    <w:rsid w:val="0021420E"/>
    <w:rsid w:val="002149DD"/>
    <w:rsid w:val="00222134"/>
    <w:rsid w:val="00223B11"/>
    <w:rsid w:val="00224411"/>
    <w:rsid w:val="002260B5"/>
    <w:rsid w:val="00227C21"/>
    <w:rsid w:val="00227DDF"/>
    <w:rsid w:val="00230F04"/>
    <w:rsid w:val="002315AB"/>
    <w:rsid w:val="00231623"/>
    <w:rsid w:val="00234678"/>
    <w:rsid w:val="00234C23"/>
    <w:rsid w:val="00236124"/>
    <w:rsid w:val="0023637D"/>
    <w:rsid w:val="002404B7"/>
    <w:rsid w:val="00240A35"/>
    <w:rsid w:val="00241B16"/>
    <w:rsid w:val="0024205B"/>
    <w:rsid w:val="00242A9B"/>
    <w:rsid w:val="00243554"/>
    <w:rsid w:val="0024385D"/>
    <w:rsid w:val="00244C22"/>
    <w:rsid w:val="00245206"/>
    <w:rsid w:val="002457F9"/>
    <w:rsid w:val="00245B31"/>
    <w:rsid w:val="00247B04"/>
    <w:rsid w:val="00247C5C"/>
    <w:rsid w:val="0025052E"/>
    <w:rsid w:val="0025451C"/>
    <w:rsid w:val="002575CA"/>
    <w:rsid w:val="0025783C"/>
    <w:rsid w:val="00257EEF"/>
    <w:rsid w:val="00260B27"/>
    <w:rsid w:val="00261BDF"/>
    <w:rsid w:val="002628DB"/>
    <w:rsid w:val="00262982"/>
    <w:rsid w:val="00262FB4"/>
    <w:rsid w:val="00264AE3"/>
    <w:rsid w:val="00264B94"/>
    <w:rsid w:val="00266079"/>
    <w:rsid w:val="00267155"/>
    <w:rsid w:val="00270BB7"/>
    <w:rsid w:val="00270D9E"/>
    <w:rsid w:val="0027122B"/>
    <w:rsid w:val="00271B4D"/>
    <w:rsid w:val="0027449D"/>
    <w:rsid w:val="0027499C"/>
    <w:rsid w:val="00276622"/>
    <w:rsid w:val="002767F9"/>
    <w:rsid w:val="002774B3"/>
    <w:rsid w:val="00281013"/>
    <w:rsid w:val="0028201D"/>
    <w:rsid w:val="002828C2"/>
    <w:rsid w:val="00283735"/>
    <w:rsid w:val="002859BE"/>
    <w:rsid w:val="00286C69"/>
    <w:rsid w:val="0028788C"/>
    <w:rsid w:val="00290407"/>
    <w:rsid w:val="00290DA1"/>
    <w:rsid w:val="00291126"/>
    <w:rsid w:val="00291CA6"/>
    <w:rsid w:val="002925C9"/>
    <w:rsid w:val="00294728"/>
    <w:rsid w:val="00297177"/>
    <w:rsid w:val="002979AF"/>
    <w:rsid w:val="002A00FA"/>
    <w:rsid w:val="002A09BF"/>
    <w:rsid w:val="002A0DF4"/>
    <w:rsid w:val="002A1497"/>
    <w:rsid w:val="002A1B5E"/>
    <w:rsid w:val="002A4E34"/>
    <w:rsid w:val="002A5B66"/>
    <w:rsid w:val="002A5F62"/>
    <w:rsid w:val="002A7EA4"/>
    <w:rsid w:val="002B025E"/>
    <w:rsid w:val="002B0322"/>
    <w:rsid w:val="002B08C2"/>
    <w:rsid w:val="002B15FF"/>
    <w:rsid w:val="002B243D"/>
    <w:rsid w:val="002B27E8"/>
    <w:rsid w:val="002B2926"/>
    <w:rsid w:val="002B3640"/>
    <w:rsid w:val="002B406F"/>
    <w:rsid w:val="002B609A"/>
    <w:rsid w:val="002B621D"/>
    <w:rsid w:val="002B63B7"/>
    <w:rsid w:val="002B6EFC"/>
    <w:rsid w:val="002B6F5A"/>
    <w:rsid w:val="002B79AB"/>
    <w:rsid w:val="002B7C25"/>
    <w:rsid w:val="002C1230"/>
    <w:rsid w:val="002C1F78"/>
    <w:rsid w:val="002C25F2"/>
    <w:rsid w:val="002C26D3"/>
    <w:rsid w:val="002C3EB5"/>
    <w:rsid w:val="002C4352"/>
    <w:rsid w:val="002C4D40"/>
    <w:rsid w:val="002C5026"/>
    <w:rsid w:val="002C5528"/>
    <w:rsid w:val="002C61DC"/>
    <w:rsid w:val="002C7166"/>
    <w:rsid w:val="002C72F7"/>
    <w:rsid w:val="002D12CB"/>
    <w:rsid w:val="002D1642"/>
    <w:rsid w:val="002D19E9"/>
    <w:rsid w:val="002D24E0"/>
    <w:rsid w:val="002D3D71"/>
    <w:rsid w:val="002D417E"/>
    <w:rsid w:val="002D6689"/>
    <w:rsid w:val="002D6C98"/>
    <w:rsid w:val="002D6DF8"/>
    <w:rsid w:val="002D7C9F"/>
    <w:rsid w:val="002D7D92"/>
    <w:rsid w:val="002E0BAA"/>
    <w:rsid w:val="002E10CD"/>
    <w:rsid w:val="002E26DB"/>
    <w:rsid w:val="002E2AAB"/>
    <w:rsid w:val="002E2AE7"/>
    <w:rsid w:val="002E39B1"/>
    <w:rsid w:val="002E4E77"/>
    <w:rsid w:val="002E5E8C"/>
    <w:rsid w:val="002E7176"/>
    <w:rsid w:val="002E75AB"/>
    <w:rsid w:val="002E7A4E"/>
    <w:rsid w:val="002F09AC"/>
    <w:rsid w:val="002F1785"/>
    <w:rsid w:val="002F1A3A"/>
    <w:rsid w:val="002F1A48"/>
    <w:rsid w:val="002F5FBB"/>
    <w:rsid w:val="002F641C"/>
    <w:rsid w:val="002F7A11"/>
    <w:rsid w:val="0030145F"/>
    <w:rsid w:val="003016DE"/>
    <w:rsid w:val="00301EA9"/>
    <w:rsid w:val="00301F7B"/>
    <w:rsid w:val="00303571"/>
    <w:rsid w:val="0030371D"/>
    <w:rsid w:val="0030432D"/>
    <w:rsid w:val="003046AD"/>
    <w:rsid w:val="00304875"/>
    <w:rsid w:val="00304E97"/>
    <w:rsid w:val="0030565C"/>
    <w:rsid w:val="003069BF"/>
    <w:rsid w:val="003114E9"/>
    <w:rsid w:val="00311520"/>
    <w:rsid w:val="0031230D"/>
    <w:rsid w:val="00313054"/>
    <w:rsid w:val="00314035"/>
    <w:rsid w:val="0031508D"/>
    <w:rsid w:val="0031570C"/>
    <w:rsid w:val="003157AD"/>
    <w:rsid w:val="00315A5F"/>
    <w:rsid w:val="003162E1"/>
    <w:rsid w:val="00317496"/>
    <w:rsid w:val="00317C32"/>
    <w:rsid w:val="00320134"/>
    <w:rsid w:val="00320CFE"/>
    <w:rsid w:val="00321982"/>
    <w:rsid w:val="00322FDA"/>
    <w:rsid w:val="003231BA"/>
    <w:rsid w:val="00324100"/>
    <w:rsid w:val="0032496B"/>
    <w:rsid w:val="00325815"/>
    <w:rsid w:val="00325921"/>
    <w:rsid w:val="00325EC8"/>
    <w:rsid w:val="003264D4"/>
    <w:rsid w:val="0033414D"/>
    <w:rsid w:val="00334BB9"/>
    <w:rsid w:val="00335671"/>
    <w:rsid w:val="00336147"/>
    <w:rsid w:val="00336412"/>
    <w:rsid w:val="00336EDF"/>
    <w:rsid w:val="00337244"/>
    <w:rsid w:val="003374E2"/>
    <w:rsid w:val="003375C7"/>
    <w:rsid w:val="00337653"/>
    <w:rsid w:val="00341377"/>
    <w:rsid w:val="00341AD0"/>
    <w:rsid w:val="003440DB"/>
    <w:rsid w:val="003455C0"/>
    <w:rsid w:val="00345894"/>
    <w:rsid w:val="00346DD5"/>
    <w:rsid w:val="0034757C"/>
    <w:rsid w:val="00350CBA"/>
    <w:rsid w:val="003511BF"/>
    <w:rsid w:val="00354EDA"/>
    <w:rsid w:val="003569FF"/>
    <w:rsid w:val="00356ADC"/>
    <w:rsid w:val="00356B02"/>
    <w:rsid w:val="00357031"/>
    <w:rsid w:val="00360D4B"/>
    <w:rsid w:val="00361ED6"/>
    <w:rsid w:val="00362CD4"/>
    <w:rsid w:val="003633E9"/>
    <w:rsid w:val="003638DD"/>
    <w:rsid w:val="00364FDC"/>
    <w:rsid w:val="00365ABF"/>
    <w:rsid w:val="00365D9D"/>
    <w:rsid w:val="00366D6D"/>
    <w:rsid w:val="003702D4"/>
    <w:rsid w:val="0037125F"/>
    <w:rsid w:val="00371F25"/>
    <w:rsid w:val="003722D4"/>
    <w:rsid w:val="00373963"/>
    <w:rsid w:val="0037423A"/>
    <w:rsid w:val="00375C71"/>
    <w:rsid w:val="00375F0C"/>
    <w:rsid w:val="00375FE3"/>
    <w:rsid w:val="0037609E"/>
    <w:rsid w:val="00376D80"/>
    <w:rsid w:val="00382E28"/>
    <w:rsid w:val="00383085"/>
    <w:rsid w:val="003834BB"/>
    <w:rsid w:val="003838B0"/>
    <w:rsid w:val="00384920"/>
    <w:rsid w:val="00386669"/>
    <w:rsid w:val="003866AE"/>
    <w:rsid w:val="003868CC"/>
    <w:rsid w:val="003870C3"/>
    <w:rsid w:val="00387915"/>
    <w:rsid w:val="00390213"/>
    <w:rsid w:val="00391E23"/>
    <w:rsid w:val="003920BC"/>
    <w:rsid w:val="00392705"/>
    <w:rsid w:val="003929F6"/>
    <w:rsid w:val="00392A78"/>
    <w:rsid w:val="003931CA"/>
    <w:rsid w:val="003937A6"/>
    <w:rsid w:val="00394FBF"/>
    <w:rsid w:val="00395410"/>
    <w:rsid w:val="00395BDA"/>
    <w:rsid w:val="00396229"/>
    <w:rsid w:val="00396AE6"/>
    <w:rsid w:val="003975DA"/>
    <w:rsid w:val="00397C55"/>
    <w:rsid w:val="003A01BE"/>
    <w:rsid w:val="003A0E31"/>
    <w:rsid w:val="003A16E5"/>
    <w:rsid w:val="003A173B"/>
    <w:rsid w:val="003A27BF"/>
    <w:rsid w:val="003A27F9"/>
    <w:rsid w:val="003A2C1A"/>
    <w:rsid w:val="003A37AA"/>
    <w:rsid w:val="003A3D8E"/>
    <w:rsid w:val="003A51BF"/>
    <w:rsid w:val="003A6A8B"/>
    <w:rsid w:val="003A6FE6"/>
    <w:rsid w:val="003B0233"/>
    <w:rsid w:val="003B05CA"/>
    <w:rsid w:val="003B0882"/>
    <w:rsid w:val="003B0A24"/>
    <w:rsid w:val="003B133D"/>
    <w:rsid w:val="003B135E"/>
    <w:rsid w:val="003B144F"/>
    <w:rsid w:val="003B1627"/>
    <w:rsid w:val="003B1B96"/>
    <w:rsid w:val="003B27A5"/>
    <w:rsid w:val="003B42A0"/>
    <w:rsid w:val="003B4B58"/>
    <w:rsid w:val="003C00FB"/>
    <w:rsid w:val="003C073B"/>
    <w:rsid w:val="003C1F88"/>
    <w:rsid w:val="003C275A"/>
    <w:rsid w:val="003C2E22"/>
    <w:rsid w:val="003C3AC2"/>
    <w:rsid w:val="003C4184"/>
    <w:rsid w:val="003C4925"/>
    <w:rsid w:val="003C57ED"/>
    <w:rsid w:val="003C5903"/>
    <w:rsid w:val="003C5B06"/>
    <w:rsid w:val="003C5F02"/>
    <w:rsid w:val="003C7C75"/>
    <w:rsid w:val="003D0AEE"/>
    <w:rsid w:val="003D2F20"/>
    <w:rsid w:val="003D38AE"/>
    <w:rsid w:val="003D7AEA"/>
    <w:rsid w:val="003D7E8D"/>
    <w:rsid w:val="003D7EA9"/>
    <w:rsid w:val="003D7EC4"/>
    <w:rsid w:val="003E01EF"/>
    <w:rsid w:val="003E02D8"/>
    <w:rsid w:val="003E07DB"/>
    <w:rsid w:val="003E08C3"/>
    <w:rsid w:val="003E1E7A"/>
    <w:rsid w:val="003E2389"/>
    <w:rsid w:val="003E298B"/>
    <w:rsid w:val="003E4111"/>
    <w:rsid w:val="003E4C89"/>
    <w:rsid w:val="003E501D"/>
    <w:rsid w:val="003E6463"/>
    <w:rsid w:val="003E6510"/>
    <w:rsid w:val="003E6679"/>
    <w:rsid w:val="003E6E31"/>
    <w:rsid w:val="003F1FA0"/>
    <w:rsid w:val="003F2F4B"/>
    <w:rsid w:val="003F546D"/>
    <w:rsid w:val="003F68BD"/>
    <w:rsid w:val="00400F5B"/>
    <w:rsid w:val="0040368D"/>
    <w:rsid w:val="00403B07"/>
    <w:rsid w:val="004042CE"/>
    <w:rsid w:val="00406203"/>
    <w:rsid w:val="00406249"/>
    <w:rsid w:val="00407163"/>
    <w:rsid w:val="00410CF0"/>
    <w:rsid w:val="00411A49"/>
    <w:rsid w:val="00412814"/>
    <w:rsid w:val="00413BBE"/>
    <w:rsid w:val="004146EE"/>
    <w:rsid w:val="00414B58"/>
    <w:rsid w:val="0041664A"/>
    <w:rsid w:val="004167C4"/>
    <w:rsid w:val="0041684E"/>
    <w:rsid w:val="00416C05"/>
    <w:rsid w:val="0041739A"/>
    <w:rsid w:val="00417920"/>
    <w:rsid w:val="00417A3F"/>
    <w:rsid w:val="00417C7C"/>
    <w:rsid w:val="00420690"/>
    <w:rsid w:val="00420A60"/>
    <w:rsid w:val="00421091"/>
    <w:rsid w:val="00421467"/>
    <w:rsid w:val="004221D0"/>
    <w:rsid w:val="00422594"/>
    <w:rsid w:val="004226D3"/>
    <w:rsid w:val="004227AB"/>
    <w:rsid w:val="00425F0D"/>
    <w:rsid w:val="00431484"/>
    <w:rsid w:val="00433436"/>
    <w:rsid w:val="00433BDA"/>
    <w:rsid w:val="00433DDF"/>
    <w:rsid w:val="00434EDB"/>
    <w:rsid w:val="00436FB3"/>
    <w:rsid w:val="004376A9"/>
    <w:rsid w:val="004414A3"/>
    <w:rsid w:val="0044265A"/>
    <w:rsid w:val="004437FD"/>
    <w:rsid w:val="00443D1E"/>
    <w:rsid w:val="00444911"/>
    <w:rsid w:val="00444E48"/>
    <w:rsid w:val="004454CC"/>
    <w:rsid w:val="004475F1"/>
    <w:rsid w:val="00447E32"/>
    <w:rsid w:val="00450108"/>
    <w:rsid w:val="00450FFE"/>
    <w:rsid w:val="00451E57"/>
    <w:rsid w:val="00451F14"/>
    <w:rsid w:val="00452767"/>
    <w:rsid w:val="004536C1"/>
    <w:rsid w:val="00453AE5"/>
    <w:rsid w:val="004552E7"/>
    <w:rsid w:val="00456490"/>
    <w:rsid w:val="0045712B"/>
    <w:rsid w:val="00457D0B"/>
    <w:rsid w:val="004607A1"/>
    <w:rsid w:val="0046119D"/>
    <w:rsid w:val="00461297"/>
    <w:rsid w:val="004612EF"/>
    <w:rsid w:val="00461403"/>
    <w:rsid w:val="00461BAE"/>
    <w:rsid w:val="00462524"/>
    <w:rsid w:val="00463213"/>
    <w:rsid w:val="004636DF"/>
    <w:rsid w:val="0046414A"/>
    <w:rsid w:val="00464633"/>
    <w:rsid w:val="00465A24"/>
    <w:rsid w:val="00466FFB"/>
    <w:rsid w:val="00470252"/>
    <w:rsid w:val="00471B5B"/>
    <w:rsid w:val="00471EB9"/>
    <w:rsid w:val="0047220B"/>
    <w:rsid w:val="0047237E"/>
    <w:rsid w:val="00472B61"/>
    <w:rsid w:val="00474AC2"/>
    <w:rsid w:val="00474D89"/>
    <w:rsid w:val="004753D7"/>
    <w:rsid w:val="00477392"/>
    <w:rsid w:val="00477822"/>
    <w:rsid w:val="00477C62"/>
    <w:rsid w:val="00480950"/>
    <w:rsid w:val="004818D5"/>
    <w:rsid w:val="00481EC6"/>
    <w:rsid w:val="0048218E"/>
    <w:rsid w:val="00482F78"/>
    <w:rsid w:val="004833B7"/>
    <w:rsid w:val="004840AB"/>
    <w:rsid w:val="00484260"/>
    <w:rsid w:val="004845C4"/>
    <w:rsid w:val="00485112"/>
    <w:rsid w:val="00485CBF"/>
    <w:rsid w:val="004872FB"/>
    <w:rsid w:val="0048753B"/>
    <w:rsid w:val="004879AB"/>
    <w:rsid w:val="00487B30"/>
    <w:rsid w:val="00490095"/>
    <w:rsid w:val="00491568"/>
    <w:rsid w:val="00491757"/>
    <w:rsid w:val="00492E52"/>
    <w:rsid w:val="004931BC"/>
    <w:rsid w:val="004932EC"/>
    <w:rsid w:val="00493CB8"/>
    <w:rsid w:val="004949EE"/>
    <w:rsid w:val="004957EC"/>
    <w:rsid w:val="0049738C"/>
    <w:rsid w:val="00497C12"/>
    <w:rsid w:val="004A015B"/>
    <w:rsid w:val="004A0195"/>
    <w:rsid w:val="004A03D3"/>
    <w:rsid w:val="004A04C8"/>
    <w:rsid w:val="004A1319"/>
    <w:rsid w:val="004A1941"/>
    <w:rsid w:val="004A2BEF"/>
    <w:rsid w:val="004A3596"/>
    <w:rsid w:val="004A5DC9"/>
    <w:rsid w:val="004A62A6"/>
    <w:rsid w:val="004A684B"/>
    <w:rsid w:val="004A6C68"/>
    <w:rsid w:val="004A7323"/>
    <w:rsid w:val="004A7649"/>
    <w:rsid w:val="004A7F3F"/>
    <w:rsid w:val="004B03BB"/>
    <w:rsid w:val="004B0449"/>
    <w:rsid w:val="004B2D58"/>
    <w:rsid w:val="004B2D72"/>
    <w:rsid w:val="004B3823"/>
    <w:rsid w:val="004B3D99"/>
    <w:rsid w:val="004B5ABA"/>
    <w:rsid w:val="004B6334"/>
    <w:rsid w:val="004B77E0"/>
    <w:rsid w:val="004B7DCD"/>
    <w:rsid w:val="004C1C1E"/>
    <w:rsid w:val="004C1C76"/>
    <w:rsid w:val="004C34C9"/>
    <w:rsid w:val="004C48FE"/>
    <w:rsid w:val="004C5EA5"/>
    <w:rsid w:val="004C6BE9"/>
    <w:rsid w:val="004C6EA5"/>
    <w:rsid w:val="004C735B"/>
    <w:rsid w:val="004D1638"/>
    <w:rsid w:val="004D1AB5"/>
    <w:rsid w:val="004D20B5"/>
    <w:rsid w:val="004D2E91"/>
    <w:rsid w:val="004D50A7"/>
    <w:rsid w:val="004D5A86"/>
    <w:rsid w:val="004D758C"/>
    <w:rsid w:val="004E107B"/>
    <w:rsid w:val="004E253C"/>
    <w:rsid w:val="004E2EAD"/>
    <w:rsid w:val="004E370D"/>
    <w:rsid w:val="004E3955"/>
    <w:rsid w:val="004E4A88"/>
    <w:rsid w:val="004E4D08"/>
    <w:rsid w:val="004E5AE5"/>
    <w:rsid w:val="004E763C"/>
    <w:rsid w:val="004F1119"/>
    <w:rsid w:val="004F1845"/>
    <w:rsid w:val="004F28ED"/>
    <w:rsid w:val="004F49FC"/>
    <w:rsid w:val="004F50AD"/>
    <w:rsid w:val="004F5E2C"/>
    <w:rsid w:val="0050014C"/>
    <w:rsid w:val="005027C2"/>
    <w:rsid w:val="00502BA0"/>
    <w:rsid w:val="00502D6C"/>
    <w:rsid w:val="00502ECF"/>
    <w:rsid w:val="005048C8"/>
    <w:rsid w:val="00504A0A"/>
    <w:rsid w:val="00507671"/>
    <w:rsid w:val="0051023A"/>
    <w:rsid w:val="00511932"/>
    <w:rsid w:val="00513A09"/>
    <w:rsid w:val="00514625"/>
    <w:rsid w:val="005146BB"/>
    <w:rsid w:val="00515E2D"/>
    <w:rsid w:val="00517B98"/>
    <w:rsid w:val="00520044"/>
    <w:rsid w:val="00521D0A"/>
    <w:rsid w:val="005235C0"/>
    <w:rsid w:val="00523C0C"/>
    <w:rsid w:val="00524FCF"/>
    <w:rsid w:val="00526394"/>
    <w:rsid w:val="005364E2"/>
    <w:rsid w:val="0053731C"/>
    <w:rsid w:val="00537787"/>
    <w:rsid w:val="00537C09"/>
    <w:rsid w:val="00537E4A"/>
    <w:rsid w:val="005408B5"/>
    <w:rsid w:val="00542F72"/>
    <w:rsid w:val="0054392B"/>
    <w:rsid w:val="005440E1"/>
    <w:rsid w:val="00544843"/>
    <w:rsid w:val="0054527E"/>
    <w:rsid w:val="00545AA1"/>
    <w:rsid w:val="00545CF7"/>
    <w:rsid w:val="00545D12"/>
    <w:rsid w:val="00545F29"/>
    <w:rsid w:val="0054718C"/>
    <w:rsid w:val="00547E10"/>
    <w:rsid w:val="00550491"/>
    <w:rsid w:val="0055212F"/>
    <w:rsid w:val="0055279F"/>
    <w:rsid w:val="00553888"/>
    <w:rsid w:val="00553A98"/>
    <w:rsid w:val="00553C48"/>
    <w:rsid w:val="00553F78"/>
    <w:rsid w:val="0055502C"/>
    <w:rsid w:val="005555AD"/>
    <w:rsid w:val="00556217"/>
    <w:rsid w:val="005577CD"/>
    <w:rsid w:val="00560432"/>
    <w:rsid w:val="005613BD"/>
    <w:rsid w:val="0056160D"/>
    <w:rsid w:val="0056211A"/>
    <w:rsid w:val="005622CE"/>
    <w:rsid w:val="005631C6"/>
    <w:rsid w:val="00565784"/>
    <w:rsid w:val="0056584D"/>
    <w:rsid w:val="005661F6"/>
    <w:rsid w:val="00566846"/>
    <w:rsid w:val="00567AC6"/>
    <w:rsid w:val="005701F9"/>
    <w:rsid w:val="00570629"/>
    <w:rsid w:val="00570B2A"/>
    <w:rsid w:val="005717A4"/>
    <w:rsid w:val="005726AC"/>
    <w:rsid w:val="005732A7"/>
    <w:rsid w:val="00573826"/>
    <w:rsid w:val="005745AE"/>
    <w:rsid w:val="00574CD7"/>
    <w:rsid w:val="005760D3"/>
    <w:rsid w:val="005763E0"/>
    <w:rsid w:val="00580653"/>
    <w:rsid w:val="00581D75"/>
    <w:rsid w:val="00582378"/>
    <w:rsid w:val="005824BD"/>
    <w:rsid w:val="0058280B"/>
    <w:rsid w:val="005855A6"/>
    <w:rsid w:val="00585D85"/>
    <w:rsid w:val="00587001"/>
    <w:rsid w:val="00587FDD"/>
    <w:rsid w:val="00592925"/>
    <w:rsid w:val="00593869"/>
    <w:rsid w:val="005939F9"/>
    <w:rsid w:val="005948EB"/>
    <w:rsid w:val="00594B2D"/>
    <w:rsid w:val="00595EB9"/>
    <w:rsid w:val="00596008"/>
    <w:rsid w:val="00596CB0"/>
    <w:rsid w:val="00597475"/>
    <w:rsid w:val="00597C1B"/>
    <w:rsid w:val="00597C95"/>
    <w:rsid w:val="00597EDF"/>
    <w:rsid w:val="005A1ECB"/>
    <w:rsid w:val="005A3437"/>
    <w:rsid w:val="005A36DD"/>
    <w:rsid w:val="005A6D99"/>
    <w:rsid w:val="005A71D2"/>
    <w:rsid w:val="005A764B"/>
    <w:rsid w:val="005A7BAE"/>
    <w:rsid w:val="005B28BC"/>
    <w:rsid w:val="005B2B7E"/>
    <w:rsid w:val="005B36C3"/>
    <w:rsid w:val="005B79E5"/>
    <w:rsid w:val="005C0489"/>
    <w:rsid w:val="005C123F"/>
    <w:rsid w:val="005C13A9"/>
    <w:rsid w:val="005C1A24"/>
    <w:rsid w:val="005C2DB2"/>
    <w:rsid w:val="005C488E"/>
    <w:rsid w:val="005C5242"/>
    <w:rsid w:val="005C578A"/>
    <w:rsid w:val="005C755C"/>
    <w:rsid w:val="005C761B"/>
    <w:rsid w:val="005D4B49"/>
    <w:rsid w:val="005D5E31"/>
    <w:rsid w:val="005D64EB"/>
    <w:rsid w:val="005D6D4A"/>
    <w:rsid w:val="005D7C43"/>
    <w:rsid w:val="005E009E"/>
    <w:rsid w:val="005E0DCE"/>
    <w:rsid w:val="005E0E03"/>
    <w:rsid w:val="005E14F7"/>
    <w:rsid w:val="005E1530"/>
    <w:rsid w:val="005E2576"/>
    <w:rsid w:val="005E2C6D"/>
    <w:rsid w:val="005E34D0"/>
    <w:rsid w:val="005E396D"/>
    <w:rsid w:val="005E3B8E"/>
    <w:rsid w:val="005E4570"/>
    <w:rsid w:val="005E51FB"/>
    <w:rsid w:val="005E5285"/>
    <w:rsid w:val="005E69E2"/>
    <w:rsid w:val="005E6A2D"/>
    <w:rsid w:val="005E708B"/>
    <w:rsid w:val="005F2864"/>
    <w:rsid w:val="005F3636"/>
    <w:rsid w:val="005F366B"/>
    <w:rsid w:val="005F4298"/>
    <w:rsid w:val="005F4318"/>
    <w:rsid w:val="005F45A6"/>
    <w:rsid w:val="005F4853"/>
    <w:rsid w:val="005F5253"/>
    <w:rsid w:val="005F6958"/>
    <w:rsid w:val="005F6C14"/>
    <w:rsid w:val="005F6F15"/>
    <w:rsid w:val="005F7859"/>
    <w:rsid w:val="00603DB6"/>
    <w:rsid w:val="006046D9"/>
    <w:rsid w:val="00605E5A"/>
    <w:rsid w:val="006075AC"/>
    <w:rsid w:val="0060772C"/>
    <w:rsid w:val="006125F6"/>
    <w:rsid w:val="00612A2E"/>
    <w:rsid w:val="0061450A"/>
    <w:rsid w:val="00614C70"/>
    <w:rsid w:val="00616327"/>
    <w:rsid w:val="006176A7"/>
    <w:rsid w:val="00617864"/>
    <w:rsid w:val="00620B44"/>
    <w:rsid w:val="0062130D"/>
    <w:rsid w:val="00621405"/>
    <w:rsid w:val="00621418"/>
    <w:rsid w:val="00622A46"/>
    <w:rsid w:val="00623284"/>
    <w:rsid w:val="00623667"/>
    <w:rsid w:val="00623DE8"/>
    <w:rsid w:val="006256AD"/>
    <w:rsid w:val="00625AF5"/>
    <w:rsid w:val="00625C5A"/>
    <w:rsid w:val="0062650E"/>
    <w:rsid w:val="0062668C"/>
    <w:rsid w:val="00626707"/>
    <w:rsid w:val="00626CA0"/>
    <w:rsid w:val="00626CD7"/>
    <w:rsid w:val="00627328"/>
    <w:rsid w:val="00627F3D"/>
    <w:rsid w:val="006300F8"/>
    <w:rsid w:val="00630369"/>
    <w:rsid w:val="006344BE"/>
    <w:rsid w:val="006351ED"/>
    <w:rsid w:val="006353B2"/>
    <w:rsid w:val="0063653D"/>
    <w:rsid w:val="00637EDF"/>
    <w:rsid w:val="00640850"/>
    <w:rsid w:val="00640DBB"/>
    <w:rsid w:val="00641113"/>
    <w:rsid w:val="006414B9"/>
    <w:rsid w:val="00642624"/>
    <w:rsid w:val="00642ABA"/>
    <w:rsid w:val="0064554E"/>
    <w:rsid w:val="006455F0"/>
    <w:rsid w:val="00646135"/>
    <w:rsid w:val="00646C3C"/>
    <w:rsid w:val="00650600"/>
    <w:rsid w:val="00653894"/>
    <w:rsid w:val="00653F1A"/>
    <w:rsid w:val="006563D7"/>
    <w:rsid w:val="0065714A"/>
    <w:rsid w:val="00657A7E"/>
    <w:rsid w:val="0066074F"/>
    <w:rsid w:val="006615E3"/>
    <w:rsid w:val="00661756"/>
    <w:rsid w:val="0066362C"/>
    <w:rsid w:val="00664FC8"/>
    <w:rsid w:val="006657D8"/>
    <w:rsid w:val="00665EBC"/>
    <w:rsid w:val="00666211"/>
    <w:rsid w:val="00666305"/>
    <w:rsid w:val="006674A0"/>
    <w:rsid w:val="00670005"/>
    <w:rsid w:val="00671B7D"/>
    <w:rsid w:val="00672224"/>
    <w:rsid w:val="006727DC"/>
    <w:rsid w:val="00673804"/>
    <w:rsid w:val="00674CB0"/>
    <w:rsid w:val="006757E5"/>
    <w:rsid w:val="00677251"/>
    <w:rsid w:val="006779D4"/>
    <w:rsid w:val="00680E0B"/>
    <w:rsid w:val="00680EC0"/>
    <w:rsid w:val="00680F1C"/>
    <w:rsid w:val="00681FDF"/>
    <w:rsid w:val="00682FE8"/>
    <w:rsid w:val="006839CB"/>
    <w:rsid w:val="00683B02"/>
    <w:rsid w:val="00685560"/>
    <w:rsid w:val="00685585"/>
    <w:rsid w:val="00686127"/>
    <w:rsid w:val="0068767A"/>
    <w:rsid w:val="0069011D"/>
    <w:rsid w:val="0069259D"/>
    <w:rsid w:val="00693BFF"/>
    <w:rsid w:val="0069427A"/>
    <w:rsid w:val="00694B52"/>
    <w:rsid w:val="00695715"/>
    <w:rsid w:val="00695963"/>
    <w:rsid w:val="006966B1"/>
    <w:rsid w:val="00696D25"/>
    <w:rsid w:val="00697430"/>
    <w:rsid w:val="0069760D"/>
    <w:rsid w:val="00697B5E"/>
    <w:rsid w:val="006A1342"/>
    <w:rsid w:val="006A1BD3"/>
    <w:rsid w:val="006A2B67"/>
    <w:rsid w:val="006A3226"/>
    <w:rsid w:val="006A3748"/>
    <w:rsid w:val="006A4F16"/>
    <w:rsid w:val="006A68CE"/>
    <w:rsid w:val="006A7EFA"/>
    <w:rsid w:val="006B0442"/>
    <w:rsid w:val="006B11BA"/>
    <w:rsid w:val="006B1474"/>
    <w:rsid w:val="006B1484"/>
    <w:rsid w:val="006B2167"/>
    <w:rsid w:val="006B39AA"/>
    <w:rsid w:val="006B3B14"/>
    <w:rsid w:val="006B3F49"/>
    <w:rsid w:val="006B42BB"/>
    <w:rsid w:val="006B50E5"/>
    <w:rsid w:val="006B50FC"/>
    <w:rsid w:val="006B5502"/>
    <w:rsid w:val="006B625C"/>
    <w:rsid w:val="006B75DA"/>
    <w:rsid w:val="006C1452"/>
    <w:rsid w:val="006C196D"/>
    <w:rsid w:val="006C3240"/>
    <w:rsid w:val="006C4967"/>
    <w:rsid w:val="006C4B02"/>
    <w:rsid w:val="006C4DDB"/>
    <w:rsid w:val="006C6835"/>
    <w:rsid w:val="006C6DB2"/>
    <w:rsid w:val="006C7287"/>
    <w:rsid w:val="006C739F"/>
    <w:rsid w:val="006D0503"/>
    <w:rsid w:val="006D1773"/>
    <w:rsid w:val="006D1C39"/>
    <w:rsid w:val="006D1C6E"/>
    <w:rsid w:val="006D2E0D"/>
    <w:rsid w:val="006D302F"/>
    <w:rsid w:val="006D3885"/>
    <w:rsid w:val="006D3E92"/>
    <w:rsid w:val="006D4F34"/>
    <w:rsid w:val="006D65DC"/>
    <w:rsid w:val="006D66CD"/>
    <w:rsid w:val="006D6EAD"/>
    <w:rsid w:val="006D6EAF"/>
    <w:rsid w:val="006D73FD"/>
    <w:rsid w:val="006E0E44"/>
    <w:rsid w:val="006E1198"/>
    <w:rsid w:val="006E24D1"/>
    <w:rsid w:val="006E26A2"/>
    <w:rsid w:val="006E2D47"/>
    <w:rsid w:val="006E3278"/>
    <w:rsid w:val="006E440F"/>
    <w:rsid w:val="006E48BA"/>
    <w:rsid w:val="006E4ABB"/>
    <w:rsid w:val="006E5447"/>
    <w:rsid w:val="006F16B5"/>
    <w:rsid w:val="006F235B"/>
    <w:rsid w:val="006F3551"/>
    <w:rsid w:val="006F3A1A"/>
    <w:rsid w:val="006F4E1F"/>
    <w:rsid w:val="006F525D"/>
    <w:rsid w:val="006F52B6"/>
    <w:rsid w:val="006F698A"/>
    <w:rsid w:val="006F73E2"/>
    <w:rsid w:val="006F7472"/>
    <w:rsid w:val="006F77CF"/>
    <w:rsid w:val="006F7AEC"/>
    <w:rsid w:val="0070037A"/>
    <w:rsid w:val="00700934"/>
    <w:rsid w:val="007013C5"/>
    <w:rsid w:val="007017FB"/>
    <w:rsid w:val="00702522"/>
    <w:rsid w:val="007026CF"/>
    <w:rsid w:val="0070346B"/>
    <w:rsid w:val="007037BC"/>
    <w:rsid w:val="007043DE"/>
    <w:rsid w:val="00704A59"/>
    <w:rsid w:val="007050BE"/>
    <w:rsid w:val="0070537B"/>
    <w:rsid w:val="00706069"/>
    <w:rsid w:val="007062AE"/>
    <w:rsid w:val="00706442"/>
    <w:rsid w:val="0070778C"/>
    <w:rsid w:val="00707D6A"/>
    <w:rsid w:val="00707FA9"/>
    <w:rsid w:val="00710290"/>
    <w:rsid w:val="00710580"/>
    <w:rsid w:val="00710ED3"/>
    <w:rsid w:val="007115D3"/>
    <w:rsid w:val="00711E28"/>
    <w:rsid w:val="007123BC"/>
    <w:rsid w:val="00712F31"/>
    <w:rsid w:val="00713961"/>
    <w:rsid w:val="0071403D"/>
    <w:rsid w:val="00714497"/>
    <w:rsid w:val="00714BDC"/>
    <w:rsid w:val="007155EE"/>
    <w:rsid w:val="00715B14"/>
    <w:rsid w:val="0071669E"/>
    <w:rsid w:val="00716EAC"/>
    <w:rsid w:val="00721248"/>
    <w:rsid w:val="00722E68"/>
    <w:rsid w:val="00722F73"/>
    <w:rsid w:val="0072306D"/>
    <w:rsid w:val="00723906"/>
    <w:rsid w:val="00724980"/>
    <w:rsid w:val="00725133"/>
    <w:rsid w:val="00725A02"/>
    <w:rsid w:val="0072733B"/>
    <w:rsid w:val="0072752D"/>
    <w:rsid w:val="0073017A"/>
    <w:rsid w:val="007303C2"/>
    <w:rsid w:val="00730925"/>
    <w:rsid w:val="007309AE"/>
    <w:rsid w:val="0073175C"/>
    <w:rsid w:val="007329EC"/>
    <w:rsid w:val="00733382"/>
    <w:rsid w:val="00733FE9"/>
    <w:rsid w:val="00735B67"/>
    <w:rsid w:val="00735DCF"/>
    <w:rsid w:val="0073714D"/>
    <w:rsid w:val="00740B44"/>
    <w:rsid w:val="00740BA6"/>
    <w:rsid w:val="00741340"/>
    <w:rsid w:val="00741CDA"/>
    <w:rsid w:val="00742D4D"/>
    <w:rsid w:val="00743775"/>
    <w:rsid w:val="00744044"/>
    <w:rsid w:val="0074505E"/>
    <w:rsid w:val="007462EC"/>
    <w:rsid w:val="00746B73"/>
    <w:rsid w:val="00747195"/>
    <w:rsid w:val="007471EE"/>
    <w:rsid w:val="007476BC"/>
    <w:rsid w:val="007478CD"/>
    <w:rsid w:val="00747B7E"/>
    <w:rsid w:val="00751E91"/>
    <w:rsid w:val="00751ECF"/>
    <w:rsid w:val="00753B3F"/>
    <w:rsid w:val="007564EC"/>
    <w:rsid w:val="0075704E"/>
    <w:rsid w:val="007608D1"/>
    <w:rsid w:val="007614F2"/>
    <w:rsid w:val="007625CE"/>
    <w:rsid w:val="00763645"/>
    <w:rsid w:val="00763F80"/>
    <w:rsid w:val="0076540D"/>
    <w:rsid w:val="00766B7C"/>
    <w:rsid w:val="00767421"/>
    <w:rsid w:val="00767A0C"/>
    <w:rsid w:val="00770B74"/>
    <w:rsid w:val="00771773"/>
    <w:rsid w:val="00771C73"/>
    <w:rsid w:val="00772642"/>
    <w:rsid w:val="0077294D"/>
    <w:rsid w:val="00772BC8"/>
    <w:rsid w:val="007732F4"/>
    <w:rsid w:val="00773428"/>
    <w:rsid w:val="00773446"/>
    <w:rsid w:val="00776492"/>
    <w:rsid w:val="00776686"/>
    <w:rsid w:val="00776A82"/>
    <w:rsid w:val="00776B46"/>
    <w:rsid w:val="007770CF"/>
    <w:rsid w:val="00780755"/>
    <w:rsid w:val="00780F47"/>
    <w:rsid w:val="007811A7"/>
    <w:rsid w:val="00781351"/>
    <w:rsid w:val="007816F6"/>
    <w:rsid w:val="00781AF9"/>
    <w:rsid w:val="007831AE"/>
    <w:rsid w:val="00783F8B"/>
    <w:rsid w:val="00786101"/>
    <w:rsid w:val="007912A4"/>
    <w:rsid w:val="00791519"/>
    <w:rsid w:val="00792B36"/>
    <w:rsid w:val="00792E39"/>
    <w:rsid w:val="00792F27"/>
    <w:rsid w:val="007934D0"/>
    <w:rsid w:val="00794B0B"/>
    <w:rsid w:val="00794FBE"/>
    <w:rsid w:val="0079584A"/>
    <w:rsid w:val="0079629F"/>
    <w:rsid w:val="007977E5"/>
    <w:rsid w:val="007A3C72"/>
    <w:rsid w:val="007B002A"/>
    <w:rsid w:val="007B2A2C"/>
    <w:rsid w:val="007B5292"/>
    <w:rsid w:val="007B5887"/>
    <w:rsid w:val="007B64D8"/>
    <w:rsid w:val="007B66B4"/>
    <w:rsid w:val="007B78C9"/>
    <w:rsid w:val="007C09D0"/>
    <w:rsid w:val="007C1B9A"/>
    <w:rsid w:val="007C2C01"/>
    <w:rsid w:val="007C2CB5"/>
    <w:rsid w:val="007C3EE0"/>
    <w:rsid w:val="007C4C12"/>
    <w:rsid w:val="007C6142"/>
    <w:rsid w:val="007C779E"/>
    <w:rsid w:val="007D06E8"/>
    <w:rsid w:val="007D0840"/>
    <w:rsid w:val="007D11AE"/>
    <w:rsid w:val="007D1628"/>
    <w:rsid w:val="007D19A4"/>
    <w:rsid w:val="007D1B7F"/>
    <w:rsid w:val="007D2704"/>
    <w:rsid w:val="007D3671"/>
    <w:rsid w:val="007D3AEC"/>
    <w:rsid w:val="007D3CFD"/>
    <w:rsid w:val="007D5125"/>
    <w:rsid w:val="007D5592"/>
    <w:rsid w:val="007D59AD"/>
    <w:rsid w:val="007D6C79"/>
    <w:rsid w:val="007D70E2"/>
    <w:rsid w:val="007D7A9A"/>
    <w:rsid w:val="007E031C"/>
    <w:rsid w:val="007E0B22"/>
    <w:rsid w:val="007E196B"/>
    <w:rsid w:val="007E2E8D"/>
    <w:rsid w:val="007E2EA2"/>
    <w:rsid w:val="007E34E1"/>
    <w:rsid w:val="007E3F99"/>
    <w:rsid w:val="007E46A5"/>
    <w:rsid w:val="007E490E"/>
    <w:rsid w:val="007E4C9A"/>
    <w:rsid w:val="007E4E2E"/>
    <w:rsid w:val="007E5096"/>
    <w:rsid w:val="007E6860"/>
    <w:rsid w:val="007E79C9"/>
    <w:rsid w:val="007F0868"/>
    <w:rsid w:val="007F0AF4"/>
    <w:rsid w:val="007F1365"/>
    <w:rsid w:val="007F1812"/>
    <w:rsid w:val="007F3A2B"/>
    <w:rsid w:val="007F3CB3"/>
    <w:rsid w:val="007F5810"/>
    <w:rsid w:val="007F7011"/>
    <w:rsid w:val="007F7070"/>
    <w:rsid w:val="007F7FFA"/>
    <w:rsid w:val="00800930"/>
    <w:rsid w:val="00800A66"/>
    <w:rsid w:val="00800E4C"/>
    <w:rsid w:val="00800E69"/>
    <w:rsid w:val="00802208"/>
    <w:rsid w:val="0080376D"/>
    <w:rsid w:val="00803C57"/>
    <w:rsid w:val="00807BE9"/>
    <w:rsid w:val="008101A3"/>
    <w:rsid w:val="00811A94"/>
    <w:rsid w:val="0081228B"/>
    <w:rsid w:val="00812B59"/>
    <w:rsid w:val="00812C1A"/>
    <w:rsid w:val="00814CED"/>
    <w:rsid w:val="008150FA"/>
    <w:rsid w:val="0081603F"/>
    <w:rsid w:val="00816E4A"/>
    <w:rsid w:val="00817E30"/>
    <w:rsid w:val="00817ECC"/>
    <w:rsid w:val="008205F1"/>
    <w:rsid w:val="00820B40"/>
    <w:rsid w:val="008217D0"/>
    <w:rsid w:val="00822004"/>
    <w:rsid w:val="00822DB6"/>
    <w:rsid w:val="00824F98"/>
    <w:rsid w:val="0082531F"/>
    <w:rsid w:val="0082584C"/>
    <w:rsid w:val="00826BA8"/>
    <w:rsid w:val="0083160B"/>
    <w:rsid w:val="00831CA5"/>
    <w:rsid w:val="008320B0"/>
    <w:rsid w:val="008329F5"/>
    <w:rsid w:val="00832E66"/>
    <w:rsid w:val="008337F0"/>
    <w:rsid w:val="00836445"/>
    <w:rsid w:val="00840279"/>
    <w:rsid w:val="0084320C"/>
    <w:rsid w:val="0084372F"/>
    <w:rsid w:val="00845051"/>
    <w:rsid w:val="008452DD"/>
    <w:rsid w:val="0084589A"/>
    <w:rsid w:val="00846728"/>
    <w:rsid w:val="00846A9D"/>
    <w:rsid w:val="008476B3"/>
    <w:rsid w:val="008519C2"/>
    <w:rsid w:val="00852155"/>
    <w:rsid w:val="00854D66"/>
    <w:rsid w:val="00855014"/>
    <w:rsid w:val="00855242"/>
    <w:rsid w:val="00855B68"/>
    <w:rsid w:val="00860372"/>
    <w:rsid w:val="008609B8"/>
    <w:rsid w:val="00860F11"/>
    <w:rsid w:val="008613B1"/>
    <w:rsid w:val="00862688"/>
    <w:rsid w:val="00862A74"/>
    <w:rsid w:val="00862EF1"/>
    <w:rsid w:val="00863380"/>
    <w:rsid w:val="00863C10"/>
    <w:rsid w:val="00865468"/>
    <w:rsid w:val="00865B21"/>
    <w:rsid w:val="00865CCB"/>
    <w:rsid w:val="00866700"/>
    <w:rsid w:val="00870FE5"/>
    <w:rsid w:val="00871067"/>
    <w:rsid w:val="008721A8"/>
    <w:rsid w:val="00873945"/>
    <w:rsid w:val="008754F3"/>
    <w:rsid w:val="00876FC2"/>
    <w:rsid w:val="00877E38"/>
    <w:rsid w:val="00880196"/>
    <w:rsid w:val="00880430"/>
    <w:rsid w:val="00880F5A"/>
    <w:rsid w:val="008818D4"/>
    <w:rsid w:val="00884D0E"/>
    <w:rsid w:val="0088629B"/>
    <w:rsid w:val="00886EC1"/>
    <w:rsid w:val="008871FC"/>
    <w:rsid w:val="008873D8"/>
    <w:rsid w:val="00887A47"/>
    <w:rsid w:val="008900C9"/>
    <w:rsid w:val="008907CD"/>
    <w:rsid w:val="00891274"/>
    <w:rsid w:val="008915DB"/>
    <w:rsid w:val="00891954"/>
    <w:rsid w:val="00891D73"/>
    <w:rsid w:val="00891F7C"/>
    <w:rsid w:val="00892583"/>
    <w:rsid w:val="00895066"/>
    <w:rsid w:val="00895181"/>
    <w:rsid w:val="008971A6"/>
    <w:rsid w:val="008A10ED"/>
    <w:rsid w:val="008A2D7F"/>
    <w:rsid w:val="008A328F"/>
    <w:rsid w:val="008A410E"/>
    <w:rsid w:val="008A62E3"/>
    <w:rsid w:val="008A687A"/>
    <w:rsid w:val="008A6A81"/>
    <w:rsid w:val="008A6B54"/>
    <w:rsid w:val="008A788C"/>
    <w:rsid w:val="008B002D"/>
    <w:rsid w:val="008B2131"/>
    <w:rsid w:val="008B2572"/>
    <w:rsid w:val="008B29D7"/>
    <w:rsid w:val="008B2D82"/>
    <w:rsid w:val="008B3190"/>
    <w:rsid w:val="008B479F"/>
    <w:rsid w:val="008B6103"/>
    <w:rsid w:val="008B6845"/>
    <w:rsid w:val="008C01AB"/>
    <w:rsid w:val="008C12F4"/>
    <w:rsid w:val="008C2C0E"/>
    <w:rsid w:val="008C40A7"/>
    <w:rsid w:val="008C4362"/>
    <w:rsid w:val="008C5453"/>
    <w:rsid w:val="008C6A1D"/>
    <w:rsid w:val="008C7079"/>
    <w:rsid w:val="008C7CFF"/>
    <w:rsid w:val="008D04BE"/>
    <w:rsid w:val="008D0E08"/>
    <w:rsid w:val="008D1FF8"/>
    <w:rsid w:val="008D2F81"/>
    <w:rsid w:val="008D344E"/>
    <w:rsid w:val="008D359B"/>
    <w:rsid w:val="008D4162"/>
    <w:rsid w:val="008D45BD"/>
    <w:rsid w:val="008D64B8"/>
    <w:rsid w:val="008D6694"/>
    <w:rsid w:val="008E0F9A"/>
    <w:rsid w:val="008E11CD"/>
    <w:rsid w:val="008E14E3"/>
    <w:rsid w:val="008E276E"/>
    <w:rsid w:val="008E4ABF"/>
    <w:rsid w:val="008E53E1"/>
    <w:rsid w:val="008E6342"/>
    <w:rsid w:val="008E6A46"/>
    <w:rsid w:val="008F14BD"/>
    <w:rsid w:val="008F15BD"/>
    <w:rsid w:val="008F241B"/>
    <w:rsid w:val="008F2AA8"/>
    <w:rsid w:val="008F3153"/>
    <w:rsid w:val="008F3259"/>
    <w:rsid w:val="008F3F8A"/>
    <w:rsid w:val="008F4673"/>
    <w:rsid w:val="008F5436"/>
    <w:rsid w:val="008F5698"/>
    <w:rsid w:val="008F70E5"/>
    <w:rsid w:val="008F7F35"/>
    <w:rsid w:val="00900E11"/>
    <w:rsid w:val="00901EDF"/>
    <w:rsid w:val="0090272C"/>
    <w:rsid w:val="00904A81"/>
    <w:rsid w:val="00905552"/>
    <w:rsid w:val="00905617"/>
    <w:rsid w:val="00905EBA"/>
    <w:rsid w:val="00906B0B"/>
    <w:rsid w:val="00906C71"/>
    <w:rsid w:val="00907AB9"/>
    <w:rsid w:val="00907D09"/>
    <w:rsid w:val="009103F8"/>
    <w:rsid w:val="009109A5"/>
    <w:rsid w:val="00910BB7"/>
    <w:rsid w:val="00911682"/>
    <w:rsid w:val="00912B72"/>
    <w:rsid w:val="00912DC1"/>
    <w:rsid w:val="009138B3"/>
    <w:rsid w:val="0091525C"/>
    <w:rsid w:val="00915C4E"/>
    <w:rsid w:val="009166A6"/>
    <w:rsid w:val="00917657"/>
    <w:rsid w:val="00920262"/>
    <w:rsid w:val="00920613"/>
    <w:rsid w:val="009207B3"/>
    <w:rsid w:val="00920D16"/>
    <w:rsid w:val="00922A3D"/>
    <w:rsid w:val="00922BFD"/>
    <w:rsid w:val="00922F10"/>
    <w:rsid w:val="009238E1"/>
    <w:rsid w:val="009240A3"/>
    <w:rsid w:val="009245CA"/>
    <w:rsid w:val="009253B2"/>
    <w:rsid w:val="00925BE4"/>
    <w:rsid w:val="00926960"/>
    <w:rsid w:val="009301D5"/>
    <w:rsid w:val="0093189B"/>
    <w:rsid w:val="00931C72"/>
    <w:rsid w:val="00931CB9"/>
    <w:rsid w:val="009331FC"/>
    <w:rsid w:val="0093370E"/>
    <w:rsid w:val="0093454A"/>
    <w:rsid w:val="00935B3A"/>
    <w:rsid w:val="00936F6B"/>
    <w:rsid w:val="00937FAF"/>
    <w:rsid w:val="00940E79"/>
    <w:rsid w:val="0094157E"/>
    <w:rsid w:val="009415C1"/>
    <w:rsid w:val="009420EF"/>
    <w:rsid w:val="009426B1"/>
    <w:rsid w:val="0094323B"/>
    <w:rsid w:val="009439CC"/>
    <w:rsid w:val="00943DE7"/>
    <w:rsid w:val="00944B8D"/>
    <w:rsid w:val="00946240"/>
    <w:rsid w:val="00951829"/>
    <w:rsid w:val="00952DB0"/>
    <w:rsid w:val="009531A0"/>
    <w:rsid w:val="0095323D"/>
    <w:rsid w:val="00954ECF"/>
    <w:rsid w:val="00955034"/>
    <w:rsid w:val="0095549B"/>
    <w:rsid w:val="0095690F"/>
    <w:rsid w:val="0096113C"/>
    <w:rsid w:val="00961282"/>
    <w:rsid w:val="00961422"/>
    <w:rsid w:val="009637ED"/>
    <w:rsid w:val="00963A1A"/>
    <w:rsid w:val="00964221"/>
    <w:rsid w:val="00964272"/>
    <w:rsid w:val="00964F02"/>
    <w:rsid w:val="00965D22"/>
    <w:rsid w:val="00965F07"/>
    <w:rsid w:val="00966F8F"/>
    <w:rsid w:val="009674AA"/>
    <w:rsid w:val="009700E1"/>
    <w:rsid w:val="00972812"/>
    <w:rsid w:val="0097327E"/>
    <w:rsid w:val="00974B86"/>
    <w:rsid w:val="00976B16"/>
    <w:rsid w:val="00977DF4"/>
    <w:rsid w:val="00981200"/>
    <w:rsid w:val="00982057"/>
    <w:rsid w:val="00984763"/>
    <w:rsid w:val="00984933"/>
    <w:rsid w:val="0098494E"/>
    <w:rsid w:val="00984E15"/>
    <w:rsid w:val="00985E5E"/>
    <w:rsid w:val="00986587"/>
    <w:rsid w:val="009876EB"/>
    <w:rsid w:val="00990D54"/>
    <w:rsid w:val="009917B9"/>
    <w:rsid w:val="00991828"/>
    <w:rsid w:val="00992A90"/>
    <w:rsid w:val="00992B13"/>
    <w:rsid w:val="009932D8"/>
    <w:rsid w:val="009933E0"/>
    <w:rsid w:val="00993BFC"/>
    <w:rsid w:val="009974B2"/>
    <w:rsid w:val="00997D75"/>
    <w:rsid w:val="00997E51"/>
    <w:rsid w:val="009A0767"/>
    <w:rsid w:val="009A2D59"/>
    <w:rsid w:val="009A401E"/>
    <w:rsid w:val="009A4C75"/>
    <w:rsid w:val="009A5529"/>
    <w:rsid w:val="009A57DC"/>
    <w:rsid w:val="009A586D"/>
    <w:rsid w:val="009A5960"/>
    <w:rsid w:val="009A6433"/>
    <w:rsid w:val="009A699C"/>
    <w:rsid w:val="009A6B88"/>
    <w:rsid w:val="009B07CF"/>
    <w:rsid w:val="009B0B45"/>
    <w:rsid w:val="009B1C8E"/>
    <w:rsid w:val="009B3249"/>
    <w:rsid w:val="009B3C89"/>
    <w:rsid w:val="009B41FA"/>
    <w:rsid w:val="009B4A59"/>
    <w:rsid w:val="009B4CC6"/>
    <w:rsid w:val="009B61AB"/>
    <w:rsid w:val="009B645C"/>
    <w:rsid w:val="009B65EC"/>
    <w:rsid w:val="009B6607"/>
    <w:rsid w:val="009B6ADA"/>
    <w:rsid w:val="009B6F0C"/>
    <w:rsid w:val="009C04A7"/>
    <w:rsid w:val="009C08AF"/>
    <w:rsid w:val="009C0CAC"/>
    <w:rsid w:val="009C0E6D"/>
    <w:rsid w:val="009C3385"/>
    <w:rsid w:val="009C4DD9"/>
    <w:rsid w:val="009C55A9"/>
    <w:rsid w:val="009C59A0"/>
    <w:rsid w:val="009C620F"/>
    <w:rsid w:val="009C70A2"/>
    <w:rsid w:val="009C7CC6"/>
    <w:rsid w:val="009D0D2E"/>
    <w:rsid w:val="009D132C"/>
    <w:rsid w:val="009D1F43"/>
    <w:rsid w:val="009D28B7"/>
    <w:rsid w:val="009D31B4"/>
    <w:rsid w:val="009D4D25"/>
    <w:rsid w:val="009D58C5"/>
    <w:rsid w:val="009D5AB3"/>
    <w:rsid w:val="009D630C"/>
    <w:rsid w:val="009D6ED6"/>
    <w:rsid w:val="009E08C4"/>
    <w:rsid w:val="009E2C19"/>
    <w:rsid w:val="009E359B"/>
    <w:rsid w:val="009E416D"/>
    <w:rsid w:val="009E5771"/>
    <w:rsid w:val="009E7314"/>
    <w:rsid w:val="009F1036"/>
    <w:rsid w:val="009F1C2E"/>
    <w:rsid w:val="009F227F"/>
    <w:rsid w:val="009F39B8"/>
    <w:rsid w:val="009F3A73"/>
    <w:rsid w:val="009F470A"/>
    <w:rsid w:val="009F4CF0"/>
    <w:rsid w:val="009F4D9B"/>
    <w:rsid w:val="009F528A"/>
    <w:rsid w:val="00A014E8"/>
    <w:rsid w:val="00A01F3A"/>
    <w:rsid w:val="00A022B7"/>
    <w:rsid w:val="00A03349"/>
    <w:rsid w:val="00A0443B"/>
    <w:rsid w:val="00A051D3"/>
    <w:rsid w:val="00A06667"/>
    <w:rsid w:val="00A06B42"/>
    <w:rsid w:val="00A06D0D"/>
    <w:rsid w:val="00A11A37"/>
    <w:rsid w:val="00A11EF8"/>
    <w:rsid w:val="00A12C7B"/>
    <w:rsid w:val="00A131C3"/>
    <w:rsid w:val="00A138F1"/>
    <w:rsid w:val="00A14A54"/>
    <w:rsid w:val="00A15274"/>
    <w:rsid w:val="00A15316"/>
    <w:rsid w:val="00A15350"/>
    <w:rsid w:val="00A1543A"/>
    <w:rsid w:val="00A17264"/>
    <w:rsid w:val="00A173A0"/>
    <w:rsid w:val="00A21EC3"/>
    <w:rsid w:val="00A221FB"/>
    <w:rsid w:val="00A222EB"/>
    <w:rsid w:val="00A230CD"/>
    <w:rsid w:val="00A233BE"/>
    <w:rsid w:val="00A244A2"/>
    <w:rsid w:val="00A24BC2"/>
    <w:rsid w:val="00A25156"/>
    <w:rsid w:val="00A27B30"/>
    <w:rsid w:val="00A30712"/>
    <w:rsid w:val="00A30C77"/>
    <w:rsid w:val="00A31F71"/>
    <w:rsid w:val="00A328A9"/>
    <w:rsid w:val="00A32FAF"/>
    <w:rsid w:val="00A330D8"/>
    <w:rsid w:val="00A33F3D"/>
    <w:rsid w:val="00A33F66"/>
    <w:rsid w:val="00A344D2"/>
    <w:rsid w:val="00A34B4A"/>
    <w:rsid w:val="00A34CC3"/>
    <w:rsid w:val="00A351F4"/>
    <w:rsid w:val="00A35C49"/>
    <w:rsid w:val="00A36614"/>
    <w:rsid w:val="00A36D99"/>
    <w:rsid w:val="00A37862"/>
    <w:rsid w:val="00A37894"/>
    <w:rsid w:val="00A3799A"/>
    <w:rsid w:val="00A37A8E"/>
    <w:rsid w:val="00A42CB9"/>
    <w:rsid w:val="00A43F4D"/>
    <w:rsid w:val="00A4407F"/>
    <w:rsid w:val="00A44DD7"/>
    <w:rsid w:val="00A4628F"/>
    <w:rsid w:val="00A468B8"/>
    <w:rsid w:val="00A47175"/>
    <w:rsid w:val="00A47D9A"/>
    <w:rsid w:val="00A506FF"/>
    <w:rsid w:val="00A5376F"/>
    <w:rsid w:val="00A540A6"/>
    <w:rsid w:val="00A542BD"/>
    <w:rsid w:val="00A544E1"/>
    <w:rsid w:val="00A54710"/>
    <w:rsid w:val="00A54782"/>
    <w:rsid w:val="00A5506A"/>
    <w:rsid w:val="00A55FCD"/>
    <w:rsid w:val="00A569A5"/>
    <w:rsid w:val="00A56CDD"/>
    <w:rsid w:val="00A57F97"/>
    <w:rsid w:val="00A60967"/>
    <w:rsid w:val="00A61D86"/>
    <w:rsid w:val="00A62DDE"/>
    <w:rsid w:val="00A6550D"/>
    <w:rsid w:val="00A657C5"/>
    <w:rsid w:val="00A65F89"/>
    <w:rsid w:val="00A710FA"/>
    <w:rsid w:val="00A71DE6"/>
    <w:rsid w:val="00A74437"/>
    <w:rsid w:val="00A75209"/>
    <w:rsid w:val="00A75826"/>
    <w:rsid w:val="00A75A86"/>
    <w:rsid w:val="00A7700F"/>
    <w:rsid w:val="00A80AF8"/>
    <w:rsid w:val="00A80B4D"/>
    <w:rsid w:val="00A81449"/>
    <w:rsid w:val="00A81CA5"/>
    <w:rsid w:val="00A8233A"/>
    <w:rsid w:val="00A82AFD"/>
    <w:rsid w:val="00A83283"/>
    <w:rsid w:val="00A8356C"/>
    <w:rsid w:val="00A871DB"/>
    <w:rsid w:val="00A876FA"/>
    <w:rsid w:val="00A90745"/>
    <w:rsid w:val="00A91561"/>
    <w:rsid w:val="00A9240F"/>
    <w:rsid w:val="00A928BA"/>
    <w:rsid w:val="00A93D05"/>
    <w:rsid w:val="00A93F7B"/>
    <w:rsid w:val="00A95078"/>
    <w:rsid w:val="00A95D27"/>
    <w:rsid w:val="00A968A8"/>
    <w:rsid w:val="00A97E21"/>
    <w:rsid w:val="00AA0824"/>
    <w:rsid w:val="00AA2B79"/>
    <w:rsid w:val="00AA3732"/>
    <w:rsid w:val="00AA3A52"/>
    <w:rsid w:val="00AA3AC1"/>
    <w:rsid w:val="00AA64F6"/>
    <w:rsid w:val="00AA6E8D"/>
    <w:rsid w:val="00AB183F"/>
    <w:rsid w:val="00AB2073"/>
    <w:rsid w:val="00AB506C"/>
    <w:rsid w:val="00AB5863"/>
    <w:rsid w:val="00AB5EDF"/>
    <w:rsid w:val="00AB6A9D"/>
    <w:rsid w:val="00AB7585"/>
    <w:rsid w:val="00AC0DFE"/>
    <w:rsid w:val="00AC40FD"/>
    <w:rsid w:val="00AC665F"/>
    <w:rsid w:val="00AC7743"/>
    <w:rsid w:val="00AC78F1"/>
    <w:rsid w:val="00AC7F28"/>
    <w:rsid w:val="00AD1851"/>
    <w:rsid w:val="00AD1953"/>
    <w:rsid w:val="00AD19E1"/>
    <w:rsid w:val="00AD20D6"/>
    <w:rsid w:val="00AD38D0"/>
    <w:rsid w:val="00AD3CBB"/>
    <w:rsid w:val="00AD4C19"/>
    <w:rsid w:val="00AD5078"/>
    <w:rsid w:val="00AD5AC8"/>
    <w:rsid w:val="00AD6815"/>
    <w:rsid w:val="00AE0EC9"/>
    <w:rsid w:val="00AE1CC7"/>
    <w:rsid w:val="00AE1D9B"/>
    <w:rsid w:val="00AE2AB8"/>
    <w:rsid w:val="00AE3745"/>
    <w:rsid w:val="00AE48C1"/>
    <w:rsid w:val="00AE6727"/>
    <w:rsid w:val="00AE6A13"/>
    <w:rsid w:val="00AE6B1E"/>
    <w:rsid w:val="00AE6B87"/>
    <w:rsid w:val="00AE70C1"/>
    <w:rsid w:val="00AF2EF6"/>
    <w:rsid w:val="00AF305A"/>
    <w:rsid w:val="00AF6714"/>
    <w:rsid w:val="00B001C7"/>
    <w:rsid w:val="00B006D4"/>
    <w:rsid w:val="00B01919"/>
    <w:rsid w:val="00B01E9C"/>
    <w:rsid w:val="00B02C35"/>
    <w:rsid w:val="00B02D7B"/>
    <w:rsid w:val="00B02DD3"/>
    <w:rsid w:val="00B03A6E"/>
    <w:rsid w:val="00B04EA3"/>
    <w:rsid w:val="00B04EBB"/>
    <w:rsid w:val="00B052DA"/>
    <w:rsid w:val="00B054FA"/>
    <w:rsid w:val="00B055E8"/>
    <w:rsid w:val="00B05AA2"/>
    <w:rsid w:val="00B0605F"/>
    <w:rsid w:val="00B061B5"/>
    <w:rsid w:val="00B0660F"/>
    <w:rsid w:val="00B06642"/>
    <w:rsid w:val="00B106A3"/>
    <w:rsid w:val="00B11AF4"/>
    <w:rsid w:val="00B123B3"/>
    <w:rsid w:val="00B13332"/>
    <w:rsid w:val="00B14009"/>
    <w:rsid w:val="00B15075"/>
    <w:rsid w:val="00B16CC7"/>
    <w:rsid w:val="00B17347"/>
    <w:rsid w:val="00B17348"/>
    <w:rsid w:val="00B17FF0"/>
    <w:rsid w:val="00B20237"/>
    <w:rsid w:val="00B2050F"/>
    <w:rsid w:val="00B21330"/>
    <w:rsid w:val="00B2299B"/>
    <w:rsid w:val="00B23892"/>
    <w:rsid w:val="00B23F41"/>
    <w:rsid w:val="00B26A4D"/>
    <w:rsid w:val="00B26EC2"/>
    <w:rsid w:val="00B26F0E"/>
    <w:rsid w:val="00B27191"/>
    <w:rsid w:val="00B27DE9"/>
    <w:rsid w:val="00B27EA5"/>
    <w:rsid w:val="00B3072A"/>
    <w:rsid w:val="00B31C40"/>
    <w:rsid w:val="00B325F8"/>
    <w:rsid w:val="00B335FA"/>
    <w:rsid w:val="00B33720"/>
    <w:rsid w:val="00B33922"/>
    <w:rsid w:val="00B33A4A"/>
    <w:rsid w:val="00B354F3"/>
    <w:rsid w:val="00B356C4"/>
    <w:rsid w:val="00B3597D"/>
    <w:rsid w:val="00B37732"/>
    <w:rsid w:val="00B401C1"/>
    <w:rsid w:val="00B40DAB"/>
    <w:rsid w:val="00B43478"/>
    <w:rsid w:val="00B4356A"/>
    <w:rsid w:val="00B4358F"/>
    <w:rsid w:val="00B451D5"/>
    <w:rsid w:val="00B45DFD"/>
    <w:rsid w:val="00B463F0"/>
    <w:rsid w:val="00B464CC"/>
    <w:rsid w:val="00B47119"/>
    <w:rsid w:val="00B476DC"/>
    <w:rsid w:val="00B50C8C"/>
    <w:rsid w:val="00B523FC"/>
    <w:rsid w:val="00B52568"/>
    <w:rsid w:val="00B527D4"/>
    <w:rsid w:val="00B529D2"/>
    <w:rsid w:val="00B540C7"/>
    <w:rsid w:val="00B54FED"/>
    <w:rsid w:val="00B564D9"/>
    <w:rsid w:val="00B571F7"/>
    <w:rsid w:val="00B600D7"/>
    <w:rsid w:val="00B636C8"/>
    <w:rsid w:val="00B63D31"/>
    <w:rsid w:val="00B6457B"/>
    <w:rsid w:val="00B64889"/>
    <w:rsid w:val="00B65807"/>
    <w:rsid w:val="00B6785B"/>
    <w:rsid w:val="00B678E0"/>
    <w:rsid w:val="00B67E83"/>
    <w:rsid w:val="00B7099A"/>
    <w:rsid w:val="00B70C15"/>
    <w:rsid w:val="00B70EF1"/>
    <w:rsid w:val="00B735E9"/>
    <w:rsid w:val="00B73F38"/>
    <w:rsid w:val="00B74B43"/>
    <w:rsid w:val="00B74F85"/>
    <w:rsid w:val="00B75C3E"/>
    <w:rsid w:val="00B7611A"/>
    <w:rsid w:val="00B761E3"/>
    <w:rsid w:val="00B779E8"/>
    <w:rsid w:val="00B80E01"/>
    <w:rsid w:val="00B81026"/>
    <w:rsid w:val="00B811F2"/>
    <w:rsid w:val="00B81E91"/>
    <w:rsid w:val="00B83C69"/>
    <w:rsid w:val="00B8426D"/>
    <w:rsid w:val="00B844D5"/>
    <w:rsid w:val="00B84A73"/>
    <w:rsid w:val="00B84DAE"/>
    <w:rsid w:val="00B8523A"/>
    <w:rsid w:val="00B864ED"/>
    <w:rsid w:val="00B86742"/>
    <w:rsid w:val="00B8681A"/>
    <w:rsid w:val="00B8743C"/>
    <w:rsid w:val="00B87905"/>
    <w:rsid w:val="00B900DA"/>
    <w:rsid w:val="00B91D9F"/>
    <w:rsid w:val="00B93977"/>
    <w:rsid w:val="00B941E7"/>
    <w:rsid w:val="00B942E3"/>
    <w:rsid w:val="00B94D7F"/>
    <w:rsid w:val="00B94FDA"/>
    <w:rsid w:val="00B970EA"/>
    <w:rsid w:val="00B97D45"/>
    <w:rsid w:val="00BA0010"/>
    <w:rsid w:val="00BA0835"/>
    <w:rsid w:val="00BA31D2"/>
    <w:rsid w:val="00BA4007"/>
    <w:rsid w:val="00BA47B8"/>
    <w:rsid w:val="00BA53F0"/>
    <w:rsid w:val="00BA65C0"/>
    <w:rsid w:val="00BA7085"/>
    <w:rsid w:val="00BB0161"/>
    <w:rsid w:val="00BB047D"/>
    <w:rsid w:val="00BB057A"/>
    <w:rsid w:val="00BB3862"/>
    <w:rsid w:val="00BB519D"/>
    <w:rsid w:val="00BB5430"/>
    <w:rsid w:val="00BB71EF"/>
    <w:rsid w:val="00BB7AED"/>
    <w:rsid w:val="00BB7BE2"/>
    <w:rsid w:val="00BC0324"/>
    <w:rsid w:val="00BC174B"/>
    <w:rsid w:val="00BC2511"/>
    <w:rsid w:val="00BC35DF"/>
    <w:rsid w:val="00BC44E1"/>
    <w:rsid w:val="00BC57E2"/>
    <w:rsid w:val="00BC5964"/>
    <w:rsid w:val="00BC59C3"/>
    <w:rsid w:val="00BC5A6B"/>
    <w:rsid w:val="00BC5B6E"/>
    <w:rsid w:val="00BC5C5B"/>
    <w:rsid w:val="00BC6273"/>
    <w:rsid w:val="00BD0B1F"/>
    <w:rsid w:val="00BD1C32"/>
    <w:rsid w:val="00BD2B7F"/>
    <w:rsid w:val="00BD429B"/>
    <w:rsid w:val="00BD4B49"/>
    <w:rsid w:val="00BD525A"/>
    <w:rsid w:val="00BD56B2"/>
    <w:rsid w:val="00BD5C88"/>
    <w:rsid w:val="00BD651B"/>
    <w:rsid w:val="00BD6D5E"/>
    <w:rsid w:val="00BD6DB5"/>
    <w:rsid w:val="00BD6E88"/>
    <w:rsid w:val="00BD6F81"/>
    <w:rsid w:val="00BD7A70"/>
    <w:rsid w:val="00BE071C"/>
    <w:rsid w:val="00BE1F0F"/>
    <w:rsid w:val="00BE2065"/>
    <w:rsid w:val="00BE237A"/>
    <w:rsid w:val="00BE4086"/>
    <w:rsid w:val="00BE42ED"/>
    <w:rsid w:val="00BE57CF"/>
    <w:rsid w:val="00BE5C13"/>
    <w:rsid w:val="00BE6DB7"/>
    <w:rsid w:val="00BF00ED"/>
    <w:rsid w:val="00BF02A0"/>
    <w:rsid w:val="00BF05F3"/>
    <w:rsid w:val="00BF4BC0"/>
    <w:rsid w:val="00BF53A3"/>
    <w:rsid w:val="00BF579A"/>
    <w:rsid w:val="00BF57BD"/>
    <w:rsid w:val="00BF58B4"/>
    <w:rsid w:val="00BF5D6B"/>
    <w:rsid w:val="00BF627D"/>
    <w:rsid w:val="00BF640E"/>
    <w:rsid w:val="00BF7485"/>
    <w:rsid w:val="00BF7A28"/>
    <w:rsid w:val="00BF7EF1"/>
    <w:rsid w:val="00C006D0"/>
    <w:rsid w:val="00C01736"/>
    <w:rsid w:val="00C020EF"/>
    <w:rsid w:val="00C02540"/>
    <w:rsid w:val="00C02F76"/>
    <w:rsid w:val="00C0606A"/>
    <w:rsid w:val="00C11D95"/>
    <w:rsid w:val="00C137D9"/>
    <w:rsid w:val="00C13DAF"/>
    <w:rsid w:val="00C1444B"/>
    <w:rsid w:val="00C15726"/>
    <w:rsid w:val="00C1577D"/>
    <w:rsid w:val="00C1611B"/>
    <w:rsid w:val="00C16422"/>
    <w:rsid w:val="00C172E7"/>
    <w:rsid w:val="00C17D72"/>
    <w:rsid w:val="00C20F09"/>
    <w:rsid w:val="00C234DE"/>
    <w:rsid w:val="00C23E60"/>
    <w:rsid w:val="00C25DE9"/>
    <w:rsid w:val="00C26146"/>
    <w:rsid w:val="00C266AC"/>
    <w:rsid w:val="00C267A3"/>
    <w:rsid w:val="00C27C7D"/>
    <w:rsid w:val="00C300C4"/>
    <w:rsid w:val="00C30DD6"/>
    <w:rsid w:val="00C30FE2"/>
    <w:rsid w:val="00C330C0"/>
    <w:rsid w:val="00C3322A"/>
    <w:rsid w:val="00C34B49"/>
    <w:rsid w:val="00C34F2E"/>
    <w:rsid w:val="00C35314"/>
    <w:rsid w:val="00C3704A"/>
    <w:rsid w:val="00C375CB"/>
    <w:rsid w:val="00C37F97"/>
    <w:rsid w:val="00C402E8"/>
    <w:rsid w:val="00C4105A"/>
    <w:rsid w:val="00C41876"/>
    <w:rsid w:val="00C435A6"/>
    <w:rsid w:val="00C43828"/>
    <w:rsid w:val="00C43B3E"/>
    <w:rsid w:val="00C457FD"/>
    <w:rsid w:val="00C459D7"/>
    <w:rsid w:val="00C46251"/>
    <w:rsid w:val="00C46277"/>
    <w:rsid w:val="00C469D5"/>
    <w:rsid w:val="00C4753C"/>
    <w:rsid w:val="00C50442"/>
    <w:rsid w:val="00C51B37"/>
    <w:rsid w:val="00C52279"/>
    <w:rsid w:val="00C52CF4"/>
    <w:rsid w:val="00C533A1"/>
    <w:rsid w:val="00C55E0D"/>
    <w:rsid w:val="00C60722"/>
    <w:rsid w:val="00C607CC"/>
    <w:rsid w:val="00C60B12"/>
    <w:rsid w:val="00C62532"/>
    <w:rsid w:val="00C62828"/>
    <w:rsid w:val="00C632DB"/>
    <w:rsid w:val="00C63660"/>
    <w:rsid w:val="00C64EC9"/>
    <w:rsid w:val="00C66362"/>
    <w:rsid w:val="00C666CD"/>
    <w:rsid w:val="00C67635"/>
    <w:rsid w:val="00C67A52"/>
    <w:rsid w:val="00C67CB8"/>
    <w:rsid w:val="00C701C1"/>
    <w:rsid w:val="00C7149D"/>
    <w:rsid w:val="00C7235F"/>
    <w:rsid w:val="00C735CF"/>
    <w:rsid w:val="00C73794"/>
    <w:rsid w:val="00C73FBE"/>
    <w:rsid w:val="00C80BED"/>
    <w:rsid w:val="00C815E9"/>
    <w:rsid w:val="00C82864"/>
    <w:rsid w:val="00C82F4E"/>
    <w:rsid w:val="00C838AE"/>
    <w:rsid w:val="00C83A4D"/>
    <w:rsid w:val="00C846B4"/>
    <w:rsid w:val="00C857E6"/>
    <w:rsid w:val="00C868D1"/>
    <w:rsid w:val="00C8703E"/>
    <w:rsid w:val="00C87253"/>
    <w:rsid w:val="00C90457"/>
    <w:rsid w:val="00C907C1"/>
    <w:rsid w:val="00C912F1"/>
    <w:rsid w:val="00C91711"/>
    <w:rsid w:val="00C91D1F"/>
    <w:rsid w:val="00C92284"/>
    <w:rsid w:val="00C92ED5"/>
    <w:rsid w:val="00C94292"/>
    <w:rsid w:val="00C94675"/>
    <w:rsid w:val="00C949EF"/>
    <w:rsid w:val="00C94B70"/>
    <w:rsid w:val="00C95BBE"/>
    <w:rsid w:val="00C9645D"/>
    <w:rsid w:val="00C973B1"/>
    <w:rsid w:val="00CA0BAE"/>
    <w:rsid w:val="00CA1037"/>
    <w:rsid w:val="00CA11D7"/>
    <w:rsid w:val="00CA21BA"/>
    <w:rsid w:val="00CA2CDD"/>
    <w:rsid w:val="00CA2EF5"/>
    <w:rsid w:val="00CA6167"/>
    <w:rsid w:val="00CA6C8C"/>
    <w:rsid w:val="00CA718A"/>
    <w:rsid w:val="00CA757B"/>
    <w:rsid w:val="00CA7993"/>
    <w:rsid w:val="00CB05D2"/>
    <w:rsid w:val="00CB2CB7"/>
    <w:rsid w:val="00CB3361"/>
    <w:rsid w:val="00CB4127"/>
    <w:rsid w:val="00CB5A0B"/>
    <w:rsid w:val="00CB648F"/>
    <w:rsid w:val="00CB67B7"/>
    <w:rsid w:val="00CC0B68"/>
    <w:rsid w:val="00CC116B"/>
    <w:rsid w:val="00CC17B4"/>
    <w:rsid w:val="00CC36E6"/>
    <w:rsid w:val="00CC46B2"/>
    <w:rsid w:val="00CC4BF0"/>
    <w:rsid w:val="00CC5320"/>
    <w:rsid w:val="00CC5C1B"/>
    <w:rsid w:val="00CC626E"/>
    <w:rsid w:val="00CC6889"/>
    <w:rsid w:val="00CD24D7"/>
    <w:rsid w:val="00CD2C88"/>
    <w:rsid w:val="00CD3276"/>
    <w:rsid w:val="00CD4148"/>
    <w:rsid w:val="00CD532D"/>
    <w:rsid w:val="00CD5E97"/>
    <w:rsid w:val="00CD61A5"/>
    <w:rsid w:val="00CD7F41"/>
    <w:rsid w:val="00CE0296"/>
    <w:rsid w:val="00CE0AC5"/>
    <w:rsid w:val="00CE1A49"/>
    <w:rsid w:val="00CE2F4A"/>
    <w:rsid w:val="00CE3678"/>
    <w:rsid w:val="00CE4516"/>
    <w:rsid w:val="00CE58FA"/>
    <w:rsid w:val="00CE62DC"/>
    <w:rsid w:val="00CE6E93"/>
    <w:rsid w:val="00CE7A98"/>
    <w:rsid w:val="00CE7DF0"/>
    <w:rsid w:val="00CF0652"/>
    <w:rsid w:val="00CF0B81"/>
    <w:rsid w:val="00CF207B"/>
    <w:rsid w:val="00CF2591"/>
    <w:rsid w:val="00CF28E3"/>
    <w:rsid w:val="00CF3DE2"/>
    <w:rsid w:val="00CF4B80"/>
    <w:rsid w:val="00CF645C"/>
    <w:rsid w:val="00D01E8F"/>
    <w:rsid w:val="00D02E09"/>
    <w:rsid w:val="00D0300D"/>
    <w:rsid w:val="00D0388C"/>
    <w:rsid w:val="00D0503E"/>
    <w:rsid w:val="00D052AF"/>
    <w:rsid w:val="00D05A13"/>
    <w:rsid w:val="00D05EDC"/>
    <w:rsid w:val="00D06581"/>
    <w:rsid w:val="00D06DFA"/>
    <w:rsid w:val="00D07CDC"/>
    <w:rsid w:val="00D1042F"/>
    <w:rsid w:val="00D10591"/>
    <w:rsid w:val="00D10827"/>
    <w:rsid w:val="00D116BF"/>
    <w:rsid w:val="00D116FC"/>
    <w:rsid w:val="00D118A0"/>
    <w:rsid w:val="00D126E6"/>
    <w:rsid w:val="00D12948"/>
    <w:rsid w:val="00D13316"/>
    <w:rsid w:val="00D134B8"/>
    <w:rsid w:val="00D14912"/>
    <w:rsid w:val="00D153CD"/>
    <w:rsid w:val="00D15466"/>
    <w:rsid w:val="00D156E8"/>
    <w:rsid w:val="00D15B20"/>
    <w:rsid w:val="00D1607F"/>
    <w:rsid w:val="00D163C5"/>
    <w:rsid w:val="00D17B57"/>
    <w:rsid w:val="00D206D1"/>
    <w:rsid w:val="00D22387"/>
    <w:rsid w:val="00D235F7"/>
    <w:rsid w:val="00D24572"/>
    <w:rsid w:val="00D258EE"/>
    <w:rsid w:val="00D26912"/>
    <w:rsid w:val="00D26FF7"/>
    <w:rsid w:val="00D27547"/>
    <w:rsid w:val="00D312EC"/>
    <w:rsid w:val="00D31814"/>
    <w:rsid w:val="00D31DD3"/>
    <w:rsid w:val="00D32C6E"/>
    <w:rsid w:val="00D34827"/>
    <w:rsid w:val="00D35ADC"/>
    <w:rsid w:val="00D35B59"/>
    <w:rsid w:val="00D363AF"/>
    <w:rsid w:val="00D364E4"/>
    <w:rsid w:val="00D36597"/>
    <w:rsid w:val="00D3695B"/>
    <w:rsid w:val="00D40CBB"/>
    <w:rsid w:val="00D413E9"/>
    <w:rsid w:val="00D416AE"/>
    <w:rsid w:val="00D41C46"/>
    <w:rsid w:val="00D4408D"/>
    <w:rsid w:val="00D44672"/>
    <w:rsid w:val="00D44BE4"/>
    <w:rsid w:val="00D44CBE"/>
    <w:rsid w:val="00D45EBD"/>
    <w:rsid w:val="00D46703"/>
    <w:rsid w:val="00D4775A"/>
    <w:rsid w:val="00D50187"/>
    <w:rsid w:val="00D50911"/>
    <w:rsid w:val="00D50DB3"/>
    <w:rsid w:val="00D511A2"/>
    <w:rsid w:val="00D52E15"/>
    <w:rsid w:val="00D52EA6"/>
    <w:rsid w:val="00D54578"/>
    <w:rsid w:val="00D54726"/>
    <w:rsid w:val="00D55E22"/>
    <w:rsid w:val="00D560ED"/>
    <w:rsid w:val="00D573CB"/>
    <w:rsid w:val="00D57F28"/>
    <w:rsid w:val="00D60C63"/>
    <w:rsid w:val="00D614A1"/>
    <w:rsid w:val="00D62D52"/>
    <w:rsid w:val="00D6465D"/>
    <w:rsid w:val="00D6482A"/>
    <w:rsid w:val="00D64A75"/>
    <w:rsid w:val="00D64E8B"/>
    <w:rsid w:val="00D66374"/>
    <w:rsid w:val="00D701FD"/>
    <w:rsid w:val="00D71B46"/>
    <w:rsid w:val="00D73A62"/>
    <w:rsid w:val="00D747BC"/>
    <w:rsid w:val="00D74C51"/>
    <w:rsid w:val="00D74D46"/>
    <w:rsid w:val="00D77560"/>
    <w:rsid w:val="00D779AA"/>
    <w:rsid w:val="00D80399"/>
    <w:rsid w:val="00D803E1"/>
    <w:rsid w:val="00D80E8C"/>
    <w:rsid w:val="00D82294"/>
    <w:rsid w:val="00D86135"/>
    <w:rsid w:val="00D86A07"/>
    <w:rsid w:val="00D86D5A"/>
    <w:rsid w:val="00D871B6"/>
    <w:rsid w:val="00D87F66"/>
    <w:rsid w:val="00D924D4"/>
    <w:rsid w:val="00D937BF"/>
    <w:rsid w:val="00D93B5A"/>
    <w:rsid w:val="00D94D25"/>
    <w:rsid w:val="00D95901"/>
    <w:rsid w:val="00D95BA1"/>
    <w:rsid w:val="00D95F8A"/>
    <w:rsid w:val="00D9676A"/>
    <w:rsid w:val="00D97610"/>
    <w:rsid w:val="00D977E3"/>
    <w:rsid w:val="00DA09E7"/>
    <w:rsid w:val="00DA21B9"/>
    <w:rsid w:val="00DA2F3E"/>
    <w:rsid w:val="00DA4641"/>
    <w:rsid w:val="00DA4713"/>
    <w:rsid w:val="00DA54FA"/>
    <w:rsid w:val="00DA62A3"/>
    <w:rsid w:val="00DA65ED"/>
    <w:rsid w:val="00DA6A01"/>
    <w:rsid w:val="00DA745A"/>
    <w:rsid w:val="00DA7B4E"/>
    <w:rsid w:val="00DA7C19"/>
    <w:rsid w:val="00DA7EF3"/>
    <w:rsid w:val="00DB12D6"/>
    <w:rsid w:val="00DB34F8"/>
    <w:rsid w:val="00DB3E55"/>
    <w:rsid w:val="00DB6097"/>
    <w:rsid w:val="00DB64E1"/>
    <w:rsid w:val="00DB680F"/>
    <w:rsid w:val="00DB6B4F"/>
    <w:rsid w:val="00DB7477"/>
    <w:rsid w:val="00DB7BAC"/>
    <w:rsid w:val="00DC0299"/>
    <w:rsid w:val="00DC05B3"/>
    <w:rsid w:val="00DC157E"/>
    <w:rsid w:val="00DC1E25"/>
    <w:rsid w:val="00DC204C"/>
    <w:rsid w:val="00DC290F"/>
    <w:rsid w:val="00DC359D"/>
    <w:rsid w:val="00DC433D"/>
    <w:rsid w:val="00DC486D"/>
    <w:rsid w:val="00DC4D49"/>
    <w:rsid w:val="00DC53CA"/>
    <w:rsid w:val="00DC5F22"/>
    <w:rsid w:val="00DC6383"/>
    <w:rsid w:val="00DC6989"/>
    <w:rsid w:val="00DC6AF4"/>
    <w:rsid w:val="00DD00C2"/>
    <w:rsid w:val="00DD063C"/>
    <w:rsid w:val="00DD0ED8"/>
    <w:rsid w:val="00DD14BA"/>
    <w:rsid w:val="00DD1692"/>
    <w:rsid w:val="00DD216D"/>
    <w:rsid w:val="00DD2CA8"/>
    <w:rsid w:val="00DD38DB"/>
    <w:rsid w:val="00DD3923"/>
    <w:rsid w:val="00DD4180"/>
    <w:rsid w:val="00DD494D"/>
    <w:rsid w:val="00DD4CDC"/>
    <w:rsid w:val="00DD68A0"/>
    <w:rsid w:val="00DD6C55"/>
    <w:rsid w:val="00DD727D"/>
    <w:rsid w:val="00DE0F6B"/>
    <w:rsid w:val="00DE2841"/>
    <w:rsid w:val="00DE32E5"/>
    <w:rsid w:val="00DE333A"/>
    <w:rsid w:val="00DE3AB2"/>
    <w:rsid w:val="00DE459E"/>
    <w:rsid w:val="00DE46BB"/>
    <w:rsid w:val="00DE7758"/>
    <w:rsid w:val="00DF128E"/>
    <w:rsid w:val="00DF212E"/>
    <w:rsid w:val="00DF240A"/>
    <w:rsid w:val="00DF52AF"/>
    <w:rsid w:val="00DF544D"/>
    <w:rsid w:val="00DF5C60"/>
    <w:rsid w:val="00E0056B"/>
    <w:rsid w:val="00E0064A"/>
    <w:rsid w:val="00E00BBD"/>
    <w:rsid w:val="00E01190"/>
    <w:rsid w:val="00E01762"/>
    <w:rsid w:val="00E02A83"/>
    <w:rsid w:val="00E03987"/>
    <w:rsid w:val="00E046BC"/>
    <w:rsid w:val="00E0570C"/>
    <w:rsid w:val="00E05771"/>
    <w:rsid w:val="00E05B11"/>
    <w:rsid w:val="00E05D8A"/>
    <w:rsid w:val="00E078BD"/>
    <w:rsid w:val="00E114D4"/>
    <w:rsid w:val="00E12BDC"/>
    <w:rsid w:val="00E12C4D"/>
    <w:rsid w:val="00E12E58"/>
    <w:rsid w:val="00E1414D"/>
    <w:rsid w:val="00E17E92"/>
    <w:rsid w:val="00E20994"/>
    <w:rsid w:val="00E214B1"/>
    <w:rsid w:val="00E215EB"/>
    <w:rsid w:val="00E2240B"/>
    <w:rsid w:val="00E229E0"/>
    <w:rsid w:val="00E22B8E"/>
    <w:rsid w:val="00E23549"/>
    <w:rsid w:val="00E249BF"/>
    <w:rsid w:val="00E24C4F"/>
    <w:rsid w:val="00E25374"/>
    <w:rsid w:val="00E253FC"/>
    <w:rsid w:val="00E25D2F"/>
    <w:rsid w:val="00E26950"/>
    <w:rsid w:val="00E269B5"/>
    <w:rsid w:val="00E26CA1"/>
    <w:rsid w:val="00E278E3"/>
    <w:rsid w:val="00E3008F"/>
    <w:rsid w:val="00E30123"/>
    <w:rsid w:val="00E305E7"/>
    <w:rsid w:val="00E3159B"/>
    <w:rsid w:val="00E31C33"/>
    <w:rsid w:val="00E36113"/>
    <w:rsid w:val="00E36454"/>
    <w:rsid w:val="00E3771E"/>
    <w:rsid w:val="00E37733"/>
    <w:rsid w:val="00E402D9"/>
    <w:rsid w:val="00E40E81"/>
    <w:rsid w:val="00E41949"/>
    <w:rsid w:val="00E421DF"/>
    <w:rsid w:val="00E4312C"/>
    <w:rsid w:val="00E4371B"/>
    <w:rsid w:val="00E43749"/>
    <w:rsid w:val="00E44156"/>
    <w:rsid w:val="00E4440F"/>
    <w:rsid w:val="00E4578C"/>
    <w:rsid w:val="00E45BFD"/>
    <w:rsid w:val="00E50951"/>
    <w:rsid w:val="00E52D13"/>
    <w:rsid w:val="00E53EA7"/>
    <w:rsid w:val="00E56AD4"/>
    <w:rsid w:val="00E572F4"/>
    <w:rsid w:val="00E61144"/>
    <w:rsid w:val="00E6126E"/>
    <w:rsid w:val="00E61447"/>
    <w:rsid w:val="00E63223"/>
    <w:rsid w:val="00E6360F"/>
    <w:rsid w:val="00E64FEA"/>
    <w:rsid w:val="00E655A9"/>
    <w:rsid w:val="00E6627C"/>
    <w:rsid w:val="00E67445"/>
    <w:rsid w:val="00E70B44"/>
    <w:rsid w:val="00E70BF9"/>
    <w:rsid w:val="00E70DE9"/>
    <w:rsid w:val="00E72D6E"/>
    <w:rsid w:val="00E72E43"/>
    <w:rsid w:val="00E73072"/>
    <w:rsid w:val="00E76266"/>
    <w:rsid w:val="00E778F9"/>
    <w:rsid w:val="00E8090C"/>
    <w:rsid w:val="00E818B7"/>
    <w:rsid w:val="00E822D1"/>
    <w:rsid w:val="00E82EBB"/>
    <w:rsid w:val="00E82F76"/>
    <w:rsid w:val="00E83235"/>
    <w:rsid w:val="00E834A9"/>
    <w:rsid w:val="00E8656B"/>
    <w:rsid w:val="00E87904"/>
    <w:rsid w:val="00E9056D"/>
    <w:rsid w:val="00E917B1"/>
    <w:rsid w:val="00E91DC5"/>
    <w:rsid w:val="00E948A3"/>
    <w:rsid w:val="00E94BE8"/>
    <w:rsid w:val="00E95125"/>
    <w:rsid w:val="00E96034"/>
    <w:rsid w:val="00E964E7"/>
    <w:rsid w:val="00E96C94"/>
    <w:rsid w:val="00E96F8C"/>
    <w:rsid w:val="00E9749A"/>
    <w:rsid w:val="00E97A06"/>
    <w:rsid w:val="00EA225F"/>
    <w:rsid w:val="00EA61B6"/>
    <w:rsid w:val="00EA6F9D"/>
    <w:rsid w:val="00EA71D8"/>
    <w:rsid w:val="00EA77D5"/>
    <w:rsid w:val="00EB08CC"/>
    <w:rsid w:val="00EB11C2"/>
    <w:rsid w:val="00EB2747"/>
    <w:rsid w:val="00EB5A23"/>
    <w:rsid w:val="00EB5B22"/>
    <w:rsid w:val="00EB65F7"/>
    <w:rsid w:val="00EB688C"/>
    <w:rsid w:val="00EB6D65"/>
    <w:rsid w:val="00EB7F23"/>
    <w:rsid w:val="00EC01BF"/>
    <w:rsid w:val="00EC151B"/>
    <w:rsid w:val="00EC4099"/>
    <w:rsid w:val="00EC40F7"/>
    <w:rsid w:val="00EC4180"/>
    <w:rsid w:val="00EC426F"/>
    <w:rsid w:val="00EC4583"/>
    <w:rsid w:val="00EC59D2"/>
    <w:rsid w:val="00ED04BC"/>
    <w:rsid w:val="00ED18C3"/>
    <w:rsid w:val="00ED25A2"/>
    <w:rsid w:val="00ED26B4"/>
    <w:rsid w:val="00ED2867"/>
    <w:rsid w:val="00ED34AA"/>
    <w:rsid w:val="00ED45A1"/>
    <w:rsid w:val="00ED46B1"/>
    <w:rsid w:val="00ED775C"/>
    <w:rsid w:val="00EE01BC"/>
    <w:rsid w:val="00EE020D"/>
    <w:rsid w:val="00EE1D7D"/>
    <w:rsid w:val="00EE24BC"/>
    <w:rsid w:val="00EE31F1"/>
    <w:rsid w:val="00EE371D"/>
    <w:rsid w:val="00EE4063"/>
    <w:rsid w:val="00EE58E9"/>
    <w:rsid w:val="00EE61F3"/>
    <w:rsid w:val="00EE6E2A"/>
    <w:rsid w:val="00EE7055"/>
    <w:rsid w:val="00EF08A0"/>
    <w:rsid w:val="00EF1760"/>
    <w:rsid w:val="00EF1CCF"/>
    <w:rsid w:val="00EF2DCD"/>
    <w:rsid w:val="00EF3F95"/>
    <w:rsid w:val="00EF5C68"/>
    <w:rsid w:val="00EF608D"/>
    <w:rsid w:val="00EF74A0"/>
    <w:rsid w:val="00F0041A"/>
    <w:rsid w:val="00F01E0C"/>
    <w:rsid w:val="00F02994"/>
    <w:rsid w:val="00F02E62"/>
    <w:rsid w:val="00F02EA4"/>
    <w:rsid w:val="00F04902"/>
    <w:rsid w:val="00F05D5D"/>
    <w:rsid w:val="00F07AC1"/>
    <w:rsid w:val="00F107A0"/>
    <w:rsid w:val="00F10975"/>
    <w:rsid w:val="00F117F6"/>
    <w:rsid w:val="00F11A45"/>
    <w:rsid w:val="00F12911"/>
    <w:rsid w:val="00F12F6A"/>
    <w:rsid w:val="00F13332"/>
    <w:rsid w:val="00F14798"/>
    <w:rsid w:val="00F171EC"/>
    <w:rsid w:val="00F17320"/>
    <w:rsid w:val="00F174A0"/>
    <w:rsid w:val="00F20787"/>
    <w:rsid w:val="00F2174F"/>
    <w:rsid w:val="00F23AB4"/>
    <w:rsid w:val="00F24FBB"/>
    <w:rsid w:val="00F278F3"/>
    <w:rsid w:val="00F30E11"/>
    <w:rsid w:val="00F3279F"/>
    <w:rsid w:val="00F35778"/>
    <w:rsid w:val="00F35809"/>
    <w:rsid w:val="00F36531"/>
    <w:rsid w:val="00F37FF4"/>
    <w:rsid w:val="00F40975"/>
    <w:rsid w:val="00F41A84"/>
    <w:rsid w:val="00F42CE9"/>
    <w:rsid w:val="00F438E3"/>
    <w:rsid w:val="00F44B4C"/>
    <w:rsid w:val="00F461B1"/>
    <w:rsid w:val="00F464CC"/>
    <w:rsid w:val="00F46FBE"/>
    <w:rsid w:val="00F47842"/>
    <w:rsid w:val="00F47A33"/>
    <w:rsid w:val="00F520D6"/>
    <w:rsid w:val="00F5296A"/>
    <w:rsid w:val="00F53060"/>
    <w:rsid w:val="00F54AFB"/>
    <w:rsid w:val="00F55473"/>
    <w:rsid w:val="00F56952"/>
    <w:rsid w:val="00F57623"/>
    <w:rsid w:val="00F57B46"/>
    <w:rsid w:val="00F61104"/>
    <w:rsid w:val="00F61741"/>
    <w:rsid w:val="00F62270"/>
    <w:rsid w:val="00F6242D"/>
    <w:rsid w:val="00F706A5"/>
    <w:rsid w:val="00F70725"/>
    <w:rsid w:val="00F71FC9"/>
    <w:rsid w:val="00F721A0"/>
    <w:rsid w:val="00F72C90"/>
    <w:rsid w:val="00F757C8"/>
    <w:rsid w:val="00F75A2B"/>
    <w:rsid w:val="00F772C8"/>
    <w:rsid w:val="00F773AC"/>
    <w:rsid w:val="00F8077B"/>
    <w:rsid w:val="00F8139A"/>
    <w:rsid w:val="00F816F9"/>
    <w:rsid w:val="00F81836"/>
    <w:rsid w:val="00F832F2"/>
    <w:rsid w:val="00F8448B"/>
    <w:rsid w:val="00F85B09"/>
    <w:rsid w:val="00F86535"/>
    <w:rsid w:val="00F87F95"/>
    <w:rsid w:val="00F90B70"/>
    <w:rsid w:val="00F922CA"/>
    <w:rsid w:val="00F93AFA"/>
    <w:rsid w:val="00F93F1B"/>
    <w:rsid w:val="00F9424C"/>
    <w:rsid w:val="00F95986"/>
    <w:rsid w:val="00F966F9"/>
    <w:rsid w:val="00FA01E6"/>
    <w:rsid w:val="00FA079D"/>
    <w:rsid w:val="00FA18CA"/>
    <w:rsid w:val="00FA1A98"/>
    <w:rsid w:val="00FA2315"/>
    <w:rsid w:val="00FA3D37"/>
    <w:rsid w:val="00FA49AB"/>
    <w:rsid w:val="00FA49B5"/>
    <w:rsid w:val="00FA4ABB"/>
    <w:rsid w:val="00FA6422"/>
    <w:rsid w:val="00FA67D2"/>
    <w:rsid w:val="00FA6988"/>
    <w:rsid w:val="00FA76D9"/>
    <w:rsid w:val="00FB0981"/>
    <w:rsid w:val="00FB1B9B"/>
    <w:rsid w:val="00FB22FC"/>
    <w:rsid w:val="00FB273E"/>
    <w:rsid w:val="00FB34C7"/>
    <w:rsid w:val="00FB365B"/>
    <w:rsid w:val="00FB454F"/>
    <w:rsid w:val="00FB7626"/>
    <w:rsid w:val="00FB7728"/>
    <w:rsid w:val="00FB77D1"/>
    <w:rsid w:val="00FC13B3"/>
    <w:rsid w:val="00FC2362"/>
    <w:rsid w:val="00FC385C"/>
    <w:rsid w:val="00FC3AA0"/>
    <w:rsid w:val="00FC3D65"/>
    <w:rsid w:val="00FC415C"/>
    <w:rsid w:val="00FC43B8"/>
    <w:rsid w:val="00FC5E13"/>
    <w:rsid w:val="00FD06AA"/>
    <w:rsid w:val="00FD12D6"/>
    <w:rsid w:val="00FD1661"/>
    <w:rsid w:val="00FD20CF"/>
    <w:rsid w:val="00FD20F1"/>
    <w:rsid w:val="00FD31BE"/>
    <w:rsid w:val="00FD55F8"/>
    <w:rsid w:val="00FD5EE4"/>
    <w:rsid w:val="00FD64ED"/>
    <w:rsid w:val="00FD784E"/>
    <w:rsid w:val="00FE02A6"/>
    <w:rsid w:val="00FE0F87"/>
    <w:rsid w:val="00FE123E"/>
    <w:rsid w:val="00FE2325"/>
    <w:rsid w:val="00FE40AC"/>
    <w:rsid w:val="00FE4983"/>
    <w:rsid w:val="00FE5311"/>
    <w:rsid w:val="00FE5490"/>
    <w:rsid w:val="00FE5C4F"/>
    <w:rsid w:val="00FE5CC2"/>
    <w:rsid w:val="00FE65FC"/>
    <w:rsid w:val="00FE7143"/>
    <w:rsid w:val="00FF1557"/>
    <w:rsid w:val="00FF1682"/>
    <w:rsid w:val="00FF2EC9"/>
    <w:rsid w:val="00FF30F9"/>
    <w:rsid w:val="00FF3BF3"/>
    <w:rsid w:val="00FF47A3"/>
    <w:rsid w:val="00FF4CCE"/>
    <w:rsid w:val="00FF5D62"/>
    <w:rsid w:val="00FF65E9"/>
    <w:rsid w:val="00FF6F94"/>
    <w:rsid w:val="00FF7482"/>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52E8A"/>
  <w15:chartTrackingRefBased/>
  <w15:docId w15:val="{41569C2B-939A-43D2-A069-CA79114B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92B"/>
  </w:style>
  <w:style w:type="paragraph" w:styleId="Heading1">
    <w:name w:val="heading 1"/>
    <w:basedOn w:val="Normal"/>
    <w:next w:val="Normal"/>
    <w:link w:val="Heading1Char"/>
    <w:uiPriority w:val="9"/>
    <w:qFormat/>
    <w:rsid w:val="008B479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479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479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B479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B479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479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B479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B479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B479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86D"/>
    <w:pPr>
      <w:ind w:left="720"/>
      <w:contextualSpacing/>
    </w:pPr>
  </w:style>
  <w:style w:type="paragraph" w:styleId="FootnoteText">
    <w:name w:val="footnote text"/>
    <w:basedOn w:val="Normal"/>
    <w:link w:val="FootnoteTextChar"/>
    <w:uiPriority w:val="99"/>
    <w:unhideWhenUsed/>
    <w:rsid w:val="00A74437"/>
    <w:pPr>
      <w:spacing w:after="0" w:line="240" w:lineRule="auto"/>
    </w:pPr>
    <w:rPr>
      <w:sz w:val="20"/>
      <w:szCs w:val="20"/>
    </w:rPr>
  </w:style>
  <w:style w:type="character" w:customStyle="1" w:styleId="FootnoteTextChar">
    <w:name w:val="Footnote Text Char"/>
    <w:basedOn w:val="DefaultParagraphFont"/>
    <w:link w:val="FootnoteText"/>
    <w:uiPriority w:val="99"/>
    <w:rsid w:val="00A74437"/>
    <w:rPr>
      <w:sz w:val="20"/>
      <w:szCs w:val="20"/>
    </w:rPr>
  </w:style>
  <w:style w:type="character" w:styleId="FootnoteReference">
    <w:name w:val="footnote reference"/>
    <w:basedOn w:val="DefaultParagraphFont"/>
    <w:uiPriority w:val="99"/>
    <w:unhideWhenUsed/>
    <w:rsid w:val="00A74437"/>
    <w:rPr>
      <w:vertAlign w:val="superscript"/>
    </w:rPr>
  </w:style>
  <w:style w:type="paragraph" w:styleId="Title">
    <w:name w:val="Title"/>
    <w:basedOn w:val="Normal"/>
    <w:next w:val="Normal"/>
    <w:link w:val="TitleChar"/>
    <w:uiPriority w:val="10"/>
    <w:qFormat/>
    <w:rsid w:val="000E6FE8"/>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E6FE8"/>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E6FE8"/>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E6FE8"/>
    <w:rPr>
      <w:rFonts w:eastAsiaTheme="minorEastAsia" w:cs="Times New Roman"/>
      <w:color w:val="5A5A5A" w:themeColor="text1" w:themeTint="A5"/>
      <w:spacing w:val="15"/>
    </w:rPr>
  </w:style>
  <w:style w:type="character" w:styleId="Hyperlink">
    <w:name w:val="Hyperlink"/>
    <w:basedOn w:val="DefaultParagraphFont"/>
    <w:uiPriority w:val="99"/>
    <w:unhideWhenUsed/>
    <w:rsid w:val="00354EDA"/>
    <w:rPr>
      <w:color w:val="0563C1" w:themeColor="hyperlink"/>
      <w:u w:val="single"/>
    </w:rPr>
  </w:style>
  <w:style w:type="character" w:customStyle="1" w:styleId="UnresolvedMention1">
    <w:name w:val="Unresolved Mention1"/>
    <w:basedOn w:val="DefaultParagraphFont"/>
    <w:uiPriority w:val="99"/>
    <w:semiHidden/>
    <w:unhideWhenUsed/>
    <w:rsid w:val="00354EDA"/>
    <w:rPr>
      <w:color w:val="605E5C"/>
      <w:shd w:val="clear" w:color="auto" w:fill="E1DFDD"/>
    </w:rPr>
  </w:style>
  <w:style w:type="numbering" w:customStyle="1" w:styleId="Style1">
    <w:name w:val="Style1"/>
    <w:uiPriority w:val="99"/>
    <w:rsid w:val="0090272C"/>
    <w:pPr>
      <w:numPr>
        <w:numId w:val="2"/>
      </w:numPr>
    </w:pPr>
  </w:style>
  <w:style w:type="character" w:customStyle="1" w:styleId="Heading1Char">
    <w:name w:val="Heading 1 Char"/>
    <w:basedOn w:val="DefaultParagraphFont"/>
    <w:link w:val="Heading1"/>
    <w:uiPriority w:val="9"/>
    <w:rsid w:val="008B47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47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B479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B47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B479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B479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B47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B47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B479F"/>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A4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01E"/>
  </w:style>
  <w:style w:type="paragraph" w:styleId="Footer">
    <w:name w:val="footer"/>
    <w:basedOn w:val="Normal"/>
    <w:link w:val="FooterChar"/>
    <w:uiPriority w:val="99"/>
    <w:unhideWhenUsed/>
    <w:rsid w:val="009A4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01E"/>
  </w:style>
  <w:style w:type="character" w:customStyle="1" w:styleId="normaltextrun">
    <w:name w:val="normaltextrun"/>
    <w:basedOn w:val="DefaultParagraphFont"/>
    <w:rsid w:val="00866700"/>
  </w:style>
  <w:style w:type="character" w:customStyle="1" w:styleId="5yl5">
    <w:name w:val="_5yl5"/>
    <w:basedOn w:val="DefaultParagraphFont"/>
    <w:rsid w:val="00EE24BC"/>
  </w:style>
  <w:style w:type="character" w:customStyle="1" w:styleId="UnresolvedMention2">
    <w:name w:val="Unresolved Mention2"/>
    <w:basedOn w:val="DefaultParagraphFont"/>
    <w:uiPriority w:val="99"/>
    <w:semiHidden/>
    <w:unhideWhenUsed/>
    <w:rsid w:val="00AB6A9D"/>
    <w:rPr>
      <w:color w:val="605E5C"/>
      <w:shd w:val="clear" w:color="auto" w:fill="E1DFDD"/>
    </w:rPr>
  </w:style>
  <w:style w:type="paragraph" w:styleId="NormalWeb">
    <w:name w:val="Normal (Web)"/>
    <w:basedOn w:val="Normal"/>
    <w:uiPriority w:val="99"/>
    <w:unhideWhenUsed/>
    <w:rsid w:val="00876FC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876FC2"/>
  </w:style>
  <w:style w:type="character" w:styleId="Emphasis">
    <w:name w:val="Emphasis"/>
    <w:basedOn w:val="DefaultParagraphFont"/>
    <w:uiPriority w:val="20"/>
    <w:qFormat/>
    <w:rsid w:val="00876FC2"/>
    <w:rPr>
      <w:i/>
      <w:iCs/>
    </w:rPr>
  </w:style>
  <w:style w:type="character" w:styleId="UnresolvedMention">
    <w:name w:val="Unresolved Mention"/>
    <w:basedOn w:val="DefaultParagraphFont"/>
    <w:uiPriority w:val="99"/>
    <w:semiHidden/>
    <w:unhideWhenUsed/>
    <w:rsid w:val="00746B73"/>
    <w:rPr>
      <w:color w:val="605E5C"/>
      <w:shd w:val="clear" w:color="auto" w:fill="E1DFDD"/>
    </w:rPr>
  </w:style>
  <w:style w:type="character" w:styleId="FollowedHyperlink">
    <w:name w:val="FollowedHyperlink"/>
    <w:basedOn w:val="DefaultParagraphFont"/>
    <w:uiPriority w:val="99"/>
    <w:semiHidden/>
    <w:unhideWhenUsed/>
    <w:rsid w:val="00F61741"/>
    <w:rPr>
      <w:color w:val="954F72" w:themeColor="followedHyperlink"/>
      <w:u w:val="single"/>
    </w:rPr>
  </w:style>
  <w:style w:type="paragraph" w:customStyle="1" w:styleId="LawReview-1stSub-headingA">
    <w:name w:val="Law Review - 1st Sub-heading (A.)"/>
    <w:qFormat/>
    <w:rsid w:val="0070778C"/>
    <w:pPr>
      <w:spacing w:after="240" w:line="240" w:lineRule="auto"/>
    </w:pPr>
    <w:rPr>
      <w:rFonts w:ascii="Times New Roman" w:hAnsi="Times New Roman"/>
      <w:i/>
      <w:sz w:val="24"/>
      <w:szCs w:val="24"/>
    </w:rPr>
  </w:style>
  <w:style w:type="paragraph" w:customStyle="1" w:styleId="LawReview-FootnoteText">
    <w:name w:val="Law Review - Footnote Text"/>
    <w:basedOn w:val="FootnoteText"/>
    <w:qFormat/>
    <w:rsid w:val="0070778C"/>
    <w:pPr>
      <w:spacing w:after="120"/>
      <w:ind w:firstLine="720"/>
      <w:jc w:val="both"/>
    </w:pPr>
    <w:rPr>
      <w:rFonts w:ascii="Times New Roman" w:hAnsi="Times New Roman"/>
      <w:szCs w:val="24"/>
    </w:rPr>
  </w:style>
  <w:style w:type="paragraph" w:customStyle="1" w:styleId="LawReview-MainHeadingTextI">
    <w:name w:val="Law Review - Main Heading Text (I)"/>
    <w:qFormat/>
    <w:rsid w:val="0070778C"/>
    <w:pPr>
      <w:spacing w:after="240" w:line="240" w:lineRule="auto"/>
      <w:jc w:val="center"/>
    </w:pPr>
    <w:rPr>
      <w:rFonts w:ascii="Times New Roman" w:hAnsi="Times New Roman"/>
      <w:smallCaps/>
      <w:sz w:val="24"/>
      <w:szCs w:val="24"/>
    </w:rPr>
  </w:style>
  <w:style w:type="paragraph" w:customStyle="1" w:styleId="LawReview-StandardBodyText">
    <w:name w:val="Law Review - Standard Body Text"/>
    <w:basedOn w:val="Normal"/>
    <w:qFormat/>
    <w:rsid w:val="0070778C"/>
    <w:pPr>
      <w:adjustRightInd w:val="0"/>
      <w:spacing w:after="240" w:line="240" w:lineRule="auto"/>
      <w:ind w:firstLine="720"/>
      <w:jc w:val="both"/>
    </w:pPr>
    <w:rPr>
      <w:rFonts w:ascii="Times New Roman" w:hAnsi="Times New Roman"/>
      <w:sz w:val="24"/>
      <w:szCs w:val="24"/>
    </w:rPr>
  </w:style>
  <w:style w:type="paragraph" w:styleId="TOC1">
    <w:name w:val="toc 1"/>
    <w:basedOn w:val="Normal"/>
    <w:next w:val="Normal"/>
    <w:autoRedefine/>
    <w:uiPriority w:val="39"/>
    <w:unhideWhenUsed/>
    <w:rsid w:val="00EE58E9"/>
    <w:pPr>
      <w:tabs>
        <w:tab w:val="left" w:pos="440"/>
        <w:tab w:val="right" w:leader="dot" w:pos="7910"/>
      </w:tabs>
      <w:spacing w:before="360" w:after="0"/>
    </w:pPr>
    <w:rPr>
      <w:rFonts w:ascii="Times New Roman" w:hAnsi="Times New Roman" w:cs="Times New Roman"/>
      <w:b/>
      <w:bCs/>
      <w:caps/>
      <w:noProof/>
      <w:sz w:val="24"/>
      <w:szCs w:val="24"/>
    </w:rPr>
  </w:style>
  <w:style w:type="paragraph" w:styleId="TOC2">
    <w:name w:val="toc 2"/>
    <w:basedOn w:val="Normal"/>
    <w:next w:val="Normal"/>
    <w:autoRedefine/>
    <w:uiPriority w:val="39"/>
    <w:unhideWhenUsed/>
    <w:rsid w:val="00F36531"/>
    <w:pPr>
      <w:spacing w:before="240" w:after="0"/>
    </w:pPr>
    <w:rPr>
      <w:rFonts w:cstheme="minorHAnsi"/>
      <w:b/>
      <w:bCs/>
      <w:sz w:val="20"/>
      <w:szCs w:val="20"/>
    </w:rPr>
  </w:style>
  <w:style w:type="paragraph" w:styleId="TOC3">
    <w:name w:val="toc 3"/>
    <w:basedOn w:val="Normal"/>
    <w:next w:val="Normal"/>
    <w:autoRedefine/>
    <w:uiPriority w:val="39"/>
    <w:unhideWhenUsed/>
    <w:rsid w:val="00F36531"/>
    <w:pPr>
      <w:spacing w:after="0"/>
      <w:ind w:left="220"/>
    </w:pPr>
    <w:rPr>
      <w:rFonts w:cstheme="minorHAnsi"/>
      <w:sz w:val="20"/>
      <w:szCs w:val="20"/>
    </w:rPr>
  </w:style>
  <w:style w:type="paragraph" w:styleId="TOC4">
    <w:name w:val="toc 4"/>
    <w:basedOn w:val="Normal"/>
    <w:next w:val="Normal"/>
    <w:autoRedefine/>
    <w:uiPriority w:val="39"/>
    <w:unhideWhenUsed/>
    <w:rsid w:val="00F36531"/>
    <w:pPr>
      <w:spacing w:after="0"/>
      <w:ind w:left="440"/>
    </w:pPr>
    <w:rPr>
      <w:rFonts w:cstheme="minorHAnsi"/>
      <w:sz w:val="20"/>
      <w:szCs w:val="20"/>
    </w:rPr>
  </w:style>
  <w:style w:type="paragraph" w:styleId="TOC5">
    <w:name w:val="toc 5"/>
    <w:basedOn w:val="Normal"/>
    <w:next w:val="Normal"/>
    <w:autoRedefine/>
    <w:uiPriority w:val="39"/>
    <w:unhideWhenUsed/>
    <w:rsid w:val="00F36531"/>
    <w:pPr>
      <w:spacing w:after="0"/>
      <w:ind w:left="660"/>
    </w:pPr>
    <w:rPr>
      <w:rFonts w:cstheme="minorHAnsi"/>
      <w:sz w:val="20"/>
      <w:szCs w:val="20"/>
    </w:rPr>
  </w:style>
  <w:style w:type="paragraph" w:styleId="TOC6">
    <w:name w:val="toc 6"/>
    <w:basedOn w:val="Normal"/>
    <w:next w:val="Normal"/>
    <w:autoRedefine/>
    <w:uiPriority w:val="39"/>
    <w:unhideWhenUsed/>
    <w:rsid w:val="00F36531"/>
    <w:pPr>
      <w:spacing w:after="0"/>
      <w:ind w:left="880"/>
    </w:pPr>
    <w:rPr>
      <w:rFonts w:cstheme="minorHAnsi"/>
      <w:sz w:val="20"/>
      <w:szCs w:val="20"/>
    </w:rPr>
  </w:style>
  <w:style w:type="paragraph" w:styleId="TOC7">
    <w:name w:val="toc 7"/>
    <w:basedOn w:val="Normal"/>
    <w:next w:val="Normal"/>
    <w:autoRedefine/>
    <w:uiPriority w:val="39"/>
    <w:unhideWhenUsed/>
    <w:rsid w:val="00F36531"/>
    <w:pPr>
      <w:spacing w:after="0"/>
      <w:ind w:left="1100"/>
    </w:pPr>
    <w:rPr>
      <w:rFonts w:cstheme="minorHAnsi"/>
      <w:sz w:val="20"/>
      <w:szCs w:val="20"/>
    </w:rPr>
  </w:style>
  <w:style w:type="paragraph" w:styleId="TOC8">
    <w:name w:val="toc 8"/>
    <w:basedOn w:val="Normal"/>
    <w:next w:val="Normal"/>
    <w:autoRedefine/>
    <w:uiPriority w:val="39"/>
    <w:unhideWhenUsed/>
    <w:rsid w:val="00F36531"/>
    <w:pPr>
      <w:spacing w:after="0"/>
      <w:ind w:left="1320"/>
    </w:pPr>
    <w:rPr>
      <w:rFonts w:cstheme="minorHAnsi"/>
      <w:sz w:val="20"/>
      <w:szCs w:val="20"/>
    </w:rPr>
  </w:style>
  <w:style w:type="paragraph" w:styleId="TOC9">
    <w:name w:val="toc 9"/>
    <w:basedOn w:val="Normal"/>
    <w:next w:val="Normal"/>
    <w:autoRedefine/>
    <w:uiPriority w:val="39"/>
    <w:unhideWhenUsed/>
    <w:rsid w:val="00F36531"/>
    <w:pPr>
      <w:spacing w:after="0"/>
      <w:ind w:left="1540"/>
    </w:pPr>
    <w:rPr>
      <w:rFonts w:cstheme="minorHAnsi"/>
      <w:sz w:val="20"/>
      <w:szCs w:val="20"/>
    </w:rPr>
  </w:style>
  <w:style w:type="paragraph" w:styleId="EndnoteText">
    <w:name w:val="endnote text"/>
    <w:basedOn w:val="Normal"/>
    <w:link w:val="EndnoteTextChar"/>
    <w:uiPriority w:val="99"/>
    <w:semiHidden/>
    <w:unhideWhenUsed/>
    <w:rsid w:val="004552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52E7"/>
    <w:rPr>
      <w:sz w:val="20"/>
      <w:szCs w:val="20"/>
    </w:rPr>
  </w:style>
  <w:style w:type="character" w:styleId="EndnoteReference">
    <w:name w:val="endnote reference"/>
    <w:basedOn w:val="DefaultParagraphFont"/>
    <w:uiPriority w:val="99"/>
    <w:semiHidden/>
    <w:unhideWhenUsed/>
    <w:rsid w:val="004552E7"/>
    <w:rPr>
      <w:vertAlign w:val="superscript"/>
    </w:rPr>
  </w:style>
  <w:style w:type="paragraph" w:styleId="TOCHeading">
    <w:name w:val="TOC Heading"/>
    <w:basedOn w:val="Heading1"/>
    <w:next w:val="Normal"/>
    <w:uiPriority w:val="39"/>
    <w:unhideWhenUsed/>
    <w:qFormat/>
    <w:rsid w:val="004552E7"/>
    <w:pPr>
      <w:numPr>
        <w:numId w:val="0"/>
      </w:numPr>
      <w:outlineLvl w:val="9"/>
    </w:pPr>
  </w:style>
  <w:style w:type="character" w:styleId="CommentReference">
    <w:name w:val="annotation reference"/>
    <w:basedOn w:val="DefaultParagraphFont"/>
    <w:uiPriority w:val="99"/>
    <w:semiHidden/>
    <w:unhideWhenUsed/>
    <w:rsid w:val="00855B68"/>
    <w:rPr>
      <w:sz w:val="16"/>
      <w:szCs w:val="16"/>
    </w:rPr>
  </w:style>
  <w:style w:type="paragraph" w:styleId="CommentText">
    <w:name w:val="annotation text"/>
    <w:basedOn w:val="Normal"/>
    <w:link w:val="CommentTextChar"/>
    <w:uiPriority w:val="99"/>
    <w:semiHidden/>
    <w:unhideWhenUsed/>
    <w:rsid w:val="00855B68"/>
    <w:pPr>
      <w:spacing w:line="240" w:lineRule="auto"/>
    </w:pPr>
    <w:rPr>
      <w:sz w:val="20"/>
      <w:szCs w:val="20"/>
    </w:rPr>
  </w:style>
  <w:style w:type="character" w:customStyle="1" w:styleId="CommentTextChar">
    <w:name w:val="Comment Text Char"/>
    <w:basedOn w:val="DefaultParagraphFont"/>
    <w:link w:val="CommentText"/>
    <w:uiPriority w:val="99"/>
    <w:semiHidden/>
    <w:rsid w:val="00855B68"/>
    <w:rPr>
      <w:sz w:val="20"/>
      <w:szCs w:val="20"/>
    </w:rPr>
  </w:style>
  <w:style w:type="paragraph" w:styleId="CommentSubject">
    <w:name w:val="annotation subject"/>
    <w:basedOn w:val="CommentText"/>
    <w:next w:val="CommentText"/>
    <w:link w:val="CommentSubjectChar"/>
    <w:uiPriority w:val="99"/>
    <w:semiHidden/>
    <w:unhideWhenUsed/>
    <w:rsid w:val="00855B68"/>
    <w:rPr>
      <w:b/>
      <w:bCs/>
    </w:rPr>
  </w:style>
  <w:style w:type="character" w:customStyle="1" w:styleId="CommentSubjectChar">
    <w:name w:val="Comment Subject Char"/>
    <w:basedOn w:val="CommentTextChar"/>
    <w:link w:val="CommentSubject"/>
    <w:uiPriority w:val="99"/>
    <w:semiHidden/>
    <w:rsid w:val="00855B68"/>
    <w:rPr>
      <w:b/>
      <w:bCs/>
      <w:sz w:val="20"/>
      <w:szCs w:val="20"/>
    </w:rPr>
  </w:style>
  <w:style w:type="paragraph" w:styleId="BalloonText">
    <w:name w:val="Balloon Text"/>
    <w:basedOn w:val="Normal"/>
    <w:link w:val="BalloonTextChar"/>
    <w:uiPriority w:val="99"/>
    <w:semiHidden/>
    <w:unhideWhenUsed/>
    <w:rsid w:val="00855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68"/>
    <w:rPr>
      <w:rFonts w:ascii="Segoe UI" w:hAnsi="Segoe UI" w:cs="Segoe UI"/>
      <w:sz w:val="18"/>
      <w:szCs w:val="18"/>
    </w:rPr>
  </w:style>
  <w:style w:type="paragraph" w:customStyle="1" w:styleId="Body">
    <w:name w:val="Body"/>
    <w:link w:val="BodyChar"/>
    <w:qFormat/>
    <w:rsid w:val="006D3885"/>
    <w:pPr>
      <w:spacing w:after="120" w:line="276" w:lineRule="auto"/>
      <w:jc w:val="both"/>
    </w:pPr>
    <w:rPr>
      <w:rFonts w:ascii="Garamond" w:eastAsia="ヒラギノ角ゴ Pro W3" w:hAnsi="Garamond" w:cs="Times New Roman"/>
      <w:color w:val="000000"/>
      <w:sz w:val="24"/>
      <w:szCs w:val="20"/>
    </w:rPr>
  </w:style>
  <w:style w:type="character" w:customStyle="1" w:styleId="BodyChar">
    <w:name w:val="Body Char"/>
    <w:link w:val="Body"/>
    <w:rsid w:val="006D3885"/>
    <w:rPr>
      <w:rFonts w:ascii="Garamond" w:eastAsia="ヒラギノ角ゴ Pro W3" w:hAnsi="Garamond" w:cs="Times New Roman"/>
      <w:color w:val="000000"/>
      <w:sz w:val="24"/>
      <w:szCs w:val="20"/>
    </w:rPr>
  </w:style>
  <w:style w:type="paragraph" w:customStyle="1" w:styleId="TitlePage-Author">
    <w:name w:val="Title Page - Author"/>
    <w:autoRedefine/>
    <w:qFormat/>
    <w:rsid w:val="001D3A7F"/>
    <w:pPr>
      <w:keepLines/>
      <w:spacing w:after="0" w:line="240" w:lineRule="auto"/>
    </w:pPr>
    <w:rPr>
      <w:rFonts w:ascii="Times New Roman" w:eastAsia="ヒラギノ角ゴ Pro W3" w:hAnsi="Times New Roman" w:cs="Times New Roman"/>
      <w:noProof/>
      <w:color w:val="000000"/>
      <w:sz w:val="32"/>
      <w:szCs w:val="32"/>
    </w:rPr>
  </w:style>
  <w:style w:type="paragraph" w:customStyle="1" w:styleId="Heading">
    <w:name w:val="Heading"/>
    <w:basedOn w:val="Title"/>
    <w:link w:val="HeadingChar"/>
    <w:autoRedefine/>
    <w:qFormat/>
    <w:rsid w:val="00B8681A"/>
    <w:pPr>
      <w:keepNext/>
      <w:spacing w:line="276" w:lineRule="auto"/>
      <w:contextualSpacing w:val="0"/>
      <w:jc w:val="center"/>
      <w:outlineLvl w:val="0"/>
    </w:pPr>
    <w:rPr>
      <w:rFonts w:ascii="Times New Roman" w:eastAsia="ヒラギノ角ゴ Pro W3" w:hAnsi="Times New Roman" w:cs="Times New Roman"/>
      <w:color w:val="000000"/>
      <w:spacing w:val="0"/>
      <w:kern w:val="0"/>
      <w:sz w:val="48"/>
      <w:szCs w:val="48"/>
    </w:rPr>
  </w:style>
  <w:style w:type="character" w:customStyle="1" w:styleId="HeadingChar">
    <w:name w:val="Heading Char"/>
    <w:basedOn w:val="DefaultParagraphFont"/>
    <w:link w:val="Heading"/>
    <w:rsid w:val="00B8681A"/>
    <w:rPr>
      <w:rFonts w:ascii="Times New Roman" w:eastAsia="ヒラギノ角ゴ Pro W3" w:hAnsi="Times New Roman" w:cs="Times New Roman"/>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8348">
      <w:bodyDiv w:val="1"/>
      <w:marLeft w:val="0"/>
      <w:marRight w:val="0"/>
      <w:marTop w:val="0"/>
      <w:marBottom w:val="0"/>
      <w:divBdr>
        <w:top w:val="none" w:sz="0" w:space="0" w:color="auto"/>
        <w:left w:val="none" w:sz="0" w:space="0" w:color="auto"/>
        <w:bottom w:val="none" w:sz="0" w:space="0" w:color="auto"/>
        <w:right w:val="none" w:sz="0" w:space="0" w:color="auto"/>
      </w:divBdr>
    </w:div>
    <w:div w:id="155925877">
      <w:bodyDiv w:val="1"/>
      <w:marLeft w:val="0"/>
      <w:marRight w:val="0"/>
      <w:marTop w:val="0"/>
      <w:marBottom w:val="0"/>
      <w:divBdr>
        <w:top w:val="none" w:sz="0" w:space="0" w:color="auto"/>
        <w:left w:val="none" w:sz="0" w:space="0" w:color="auto"/>
        <w:bottom w:val="none" w:sz="0" w:space="0" w:color="auto"/>
        <w:right w:val="none" w:sz="0" w:space="0" w:color="auto"/>
      </w:divBdr>
    </w:div>
    <w:div w:id="170071559">
      <w:bodyDiv w:val="1"/>
      <w:marLeft w:val="0"/>
      <w:marRight w:val="0"/>
      <w:marTop w:val="0"/>
      <w:marBottom w:val="0"/>
      <w:divBdr>
        <w:top w:val="none" w:sz="0" w:space="0" w:color="auto"/>
        <w:left w:val="none" w:sz="0" w:space="0" w:color="auto"/>
        <w:bottom w:val="none" w:sz="0" w:space="0" w:color="auto"/>
        <w:right w:val="none" w:sz="0" w:space="0" w:color="auto"/>
      </w:divBdr>
      <w:divsChild>
        <w:div w:id="180703018">
          <w:marLeft w:val="0"/>
          <w:marRight w:val="0"/>
          <w:marTop w:val="0"/>
          <w:marBottom w:val="0"/>
          <w:divBdr>
            <w:top w:val="none" w:sz="0" w:space="0" w:color="auto"/>
            <w:left w:val="none" w:sz="0" w:space="0" w:color="auto"/>
            <w:bottom w:val="none" w:sz="0" w:space="0" w:color="auto"/>
            <w:right w:val="none" w:sz="0" w:space="0" w:color="auto"/>
          </w:divBdr>
        </w:div>
        <w:div w:id="597252214">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
          </w:divsChild>
        </w:div>
        <w:div w:id="796148414">
          <w:marLeft w:val="0"/>
          <w:marRight w:val="0"/>
          <w:marTop w:val="0"/>
          <w:marBottom w:val="0"/>
          <w:divBdr>
            <w:top w:val="none" w:sz="0" w:space="0" w:color="auto"/>
            <w:left w:val="none" w:sz="0" w:space="0" w:color="auto"/>
            <w:bottom w:val="none" w:sz="0" w:space="0" w:color="auto"/>
            <w:right w:val="none" w:sz="0" w:space="0" w:color="auto"/>
          </w:divBdr>
          <w:divsChild>
            <w:div w:id="565452340">
              <w:marLeft w:val="0"/>
              <w:marRight w:val="0"/>
              <w:marTop w:val="0"/>
              <w:marBottom w:val="0"/>
              <w:divBdr>
                <w:top w:val="none" w:sz="0" w:space="0" w:color="auto"/>
                <w:left w:val="none" w:sz="0" w:space="0" w:color="auto"/>
                <w:bottom w:val="none" w:sz="0" w:space="0" w:color="auto"/>
                <w:right w:val="none" w:sz="0" w:space="0" w:color="auto"/>
              </w:divBdr>
              <w:divsChild>
                <w:div w:id="1220246394">
                  <w:blockQuote w:val="1"/>
                  <w:marLeft w:val="0"/>
                  <w:marRight w:val="0"/>
                  <w:marTop w:val="0"/>
                  <w:marBottom w:val="0"/>
                  <w:divBdr>
                    <w:top w:val="none" w:sz="0" w:space="0" w:color="auto"/>
                    <w:left w:val="none" w:sz="0" w:space="0" w:color="auto"/>
                    <w:bottom w:val="none" w:sz="0" w:space="0" w:color="auto"/>
                    <w:right w:val="none" w:sz="0" w:space="0" w:color="auto"/>
                  </w:divBdr>
                  <w:divsChild>
                    <w:div w:id="18595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9027">
          <w:marLeft w:val="0"/>
          <w:marRight w:val="0"/>
          <w:marTop w:val="0"/>
          <w:marBottom w:val="0"/>
          <w:divBdr>
            <w:top w:val="none" w:sz="0" w:space="0" w:color="auto"/>
            <w:left w:val="none" w:sz="0" w:space="0" w:color="auto"/>
            <w:bottom w:val="none" w:sz="0" w:space="0" w:color="auto"/>
            <w:right w:val="none" w:sz="0" w:space="0" w:color="auto"/>
          </w:divBdr>
          <w:divsChild>
            <w:div w:id="1441798634">
              <w:marLeft w:val="0"/>
              <w:marRight w:val="0"/>
              <w:marTop w:val="0"/>
              <w:marBottom w:val="0"/>
              <w:divBdr>
                <w:top w:val="none" w:sz="0" w:space="0" w:color="auto"/>
                <w:left w:val="none" w:sz="0" w:space="0" w:color="auto"/>
                <w:bottom w:val="none" w:sz="0" w:space="0" w:color="auto"/>
                <w:right w:val="none" w:sz="0" w:space="0" w:color="auto"/>
              </w:divBdr>
            </w:div>
          </w:divsChild>
        </w:div>
        <w:div w:id="1414011915">
          <w:marLeft w:val="0"/>
          <w:marRight w:val="0"/>
          <w:marTop w:val="0"/>
          <w:marBottom w:val="0"/>
          <w:divBdr>
            <w:top w:val="none" w:sz="0" w:space="0" w:color="auto"/>
            <w:left w:val="none" w:sz="0" w:space="0" w:color="auto"/>
            <w:bottom w:val="none" w:sz="0" w:space="0" w:color="auto"/>
            <w:right w:val="none" w:sz="0" w:space="0" w:color="auto"/>
          </w:divBdr>
        </w:div>
        <w:div w:id="1580939047">
          <w:marLeft w:val="0"/>
          <w:marRight w:val="0"/>
          <w:marTop w:val="0"/>
          <w:marBottom w:val="0"/>
          <w:divBdr>
            <w:top w:val="none" w:sz="0" w:space="0" w:color="auto"/>
            <w:left w:val="none" w:sz="0" w:space="0" w:color="auto"/>
            <w:bottom w:val="none" w:sz="0" w:space="0" w:color="auto"/>
            <w:right w:val="none" w:sz="0" w:space="0" w:color="auto"/>
          </w:divBdr>
          <w:divsChild>
            <w:div w:id="1404256089">
              <w:marLeft w:val="0"/>
              <w:marRight w:val="0"/>
              <w:marTop w:val="0"/>
              <w:marBottom w:val="0"/>
              <w:divBdr>
                <w:top w:val="none" w:sz="0" w:space="0" w:color="auto"/>
                <w:left w:val="none" w:sz="0" w:space="0" w:color="auto"/>
                <w:bottom w:val="none" w:sz="0" w:space="0" w:color="auto"/>
                <w:right w:val="none" w:sz="0" w:space="0" w:color="auto"/>
              </w:divBdr>
            </w:div>
          </w:divsChild>
        </w:div>
        <w:div w:id="1813785078">
          <w:marLeft w:val="0"/>
          <w:marRight w:val="0"/>
          <w:marTop w:val="0"/>
          <w:marBottom w:val="0"/>
          <w:divBdr>
            <w:top w:val="none" w:sz="0" w:space="0" w:color="auto"/>
            <w:left w:val="none" w:sz="0" w:space="0" w:color="auto"/>
            <w:bottom w:val="none" w:sz="0" w:space="0" w:color="auto"/>
            <w:right w:val="none" w:sz="0" w:space="0" w:color="auto"/>
          </w:divBdr>
          <w:divsChild>
            <w:div w:id="4685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5090">
      <w:bodyDiv w:val="1"/>
      <w:marLeft w:val="0"/>
      <w:marRight w:val="0"/>
      <w:marTop w:val="0"/>
      <w:marBottom w:val="0"/>
      <w:divBdr>
        <w:top w:val="none" w:sz="0" w:space="0" w:color="auto"/>
        <w:left w:val="none" w:sz="0" w:space="0" w:color="auto"/>
        <w:bottom w:val="none" w:sz="0" w:space="0" w:color="auto"/>
        <w:right w:val="none" w:sz="0" w:space="0" w:color="auto"/>
      </w:divBdr>
    </w:div>
    <w:div w:id="240411512">
      <w:bodyDiv w:val="1"/>
      <w:marLeft w:val="0"/>
      <w:marRight w:val="0"/>
      <w:marTop w:val="0"/>
      <w:marBottom w:val="0"/>
      <w:divBdr>
        <w:top w:val="none" w:sz="0" w:space="0" w:color="auto"/>
        <w:left w:val="none" w:sz="0" w:space="0" w:color="auto"/>
        <w:bottom w:val="none" w:sz="0" w:space="0" w:color="auto"/>
        <w:right w:val="none" w:sz="0" w:space="0" w:color="auto"/>
      </w:divBdr>
      <w:divsChild>
        <w:div w:id="1308826653">
          <w:marLeft w:val="0"/>
          <w:marRight w:val="0"/>
          <w:marTop w:val="0"/>
          <w:marBottom w:val="0"/>
          <w:divBdr>
            <w:top w:val="none" w:sz="0" w:space="0" w:color="auto"/>
            <w:left w:val="none" w:sz="0" w:space="0" w:color="auto"/>
            <w:bottom w:val="none" w:sz="0" w:space="0" w:color="auto"/>
            <w:right w:val="none" w:sz="0" w:space="0" w:color="auto"/>
          </w:divBdr>
        </w:div>
      </w:divsChild>
    </w:div>
    <w:div w:id="287199314">
      <w:bodyDiv w:val="1"/>
      <w:marLeft w:val="0"/>
      <w:marRight w:val="0"/>
      <w:marTop w:val="0"/>
      <w:marBottom w:val="0"/>
      <w:divBdr>
        <w:top w:val="none" w:sz="0" w:space="0" w:color="auto"/>
        <w:left w:val="none" w:sz="0" w:space="0" w:color="auto"/>
        <w:bottom w:val="none" w:sz="0" w:space="0" w:color="auto"/>
        <w:right w:val="none" w:sz="0" w:space="0" w:color="auto"/>
      </w:divBdr>
      <w:divsChild>
        <w:div w:id="4944879">
          <w:marLeft w:val="240"/>
          <w:marRight w:val="0"/>
          <w:marTop w:val="60"/>
          <w:marBottom w:val="60"/>
          <w:divBdr>
            <w:top w:val="none" w:sz="0" w:space="0" w:color="auto"/>
            <w:left w:val="none" w:sz="0" w:space="0" w:color="auto"/>
            <w:bottom w:val="none" w:sz="0" w:space="0" w:color="auto"/>
            <w:right w:val="none" w:sz="0" w:space="0" w:color="auto"/>
          </w:divBdr>
          <w:divsChild>
            <w:div w:id="650524719">
              <w:marLeft w:val="0"/>
              <w:marRight w:val="0"/>
              <w:marTop w:val="0"/>
              <w:marBottom w:val="0"/>
              <w:divBdr>
                <w:top w:val="none" w:sz="0" w:space="0" w:color="auto"/>
                <w:left w:val="none" w:sz="0" w:space="0" w:color="auto"/>
                <w:bottom w:val="none" w:sz="0" w:space="0" w:color="auto"/>
                <w:right w:val="none" w:sz="0" w:space="0" w:color="auto"/>
              </w:divBdr>
            </w:div>
          </w:divsChild>
        </w:div>
        <w:div w:id="341130816">
          <w:marLeft w:val="240"/>
          <w:marRight w:val="0"/>
          <w:marTop w:val="60"/>
          <w:marBottom w:val="60"/>
          <w:divBdr>
            <w:top w:val="none" w:sz="0" w:space="0" w:color="auto"/>
            <w:left w:val="none" w:sz="0" w:space="0" w:color="auto"/>
            <w:bottom w:val="none" w:sz="0" w:space="0" w:color="auto"/>
            <w:right w:val="none" w:sz="0" w:space="0" w:color="auto"/>
          </w:divBdr>
          <w:divsChild>
            <w:div w:id="1097217031">
              <w:marLeft w:val="0"/>
              <w:marRight w:val="0"/>
              <w:marTop w:val="0"/>
              <w:marBottom w:val="0"/>
              <w:divBdr>
                <w:top w:val="none" w:sz="0" w:space="0" w:color="auto"/>
                <w:left w:val="none" w:sz="0" w:space="0" w:color="auto"/>
                <w:bottom w:val="none" w:sz="0" w:space="0" w:color="auto"/>
                <w:right w:val="none" w:sz="0" w:space="0" w:color="auto"/>
              </w:divBdr>
            </w:div>
          </w:divsChild>
        </w:div>
        <w:div w:id="1005135665">
          <w:marLeft w:val="240"/>
          <w:marRight w:val="0"/>
          <w:marTop w:val="60"/>
          <w:marBottom w:val="60"/>
          <w:divBdr>
            <w:top w:val="none" w:sz="0" w:space="0" w:color="auto"/>
            <w:left w:val="none" w:sz="0" w:space="0" w:color="auto"/>
            <w:bottom w:val="none" w:sz="0" w:space="0" w:color="auto"/>
            <w:right w:val="none" w:sz="0" w:space="0" w:color="auto"/>
          </w:divBdr>
          <w:divsChild>
            <w:div w:id="1196963402">
              <w:marLeft w:val="0"/>
              <w:marRight w:val="0"/>
              <w:marTop w:val="0"/>
              <w:marBottom w:val="0"/>
              <w:divBdr>
                <w:top w:val="none" w:sz="0" w:space="0" w:color="auto"/>
                <w:left w:val="none" w:sz="0" w:space="0" w:color="auto"/>
                <w:bottom w:val="none" w:sz="0" w:space="0" w:color="auto"/>
                <w:right w:val="none" w:sz="0" w:space="0" w:color="auto"/>
              </w:divBdr>
            </w:div>
          </w:divsChild>
        </w:div>
        <w:div w:id="1730617892">
          <w:marLeft w:val="240"/>
          <w:marRight w:val="0"/>
          <w:marTop w:val="60"/>
          <w:marBottom w:val="60"/>
          <w:divBdr>
            <w:top w:val="none" w:sz="0" w:space="0" w:color="auto"/>
            <w:left w:val="none" w:sz="0" w:space="0" w:color="auto"/>
            <w:bottom w:val="none" w:sz="0" w:space="0" w:color="auto"/>
            <w:right w:val="none" w:sz="0" w:space="0" w:color="auto"/>
          </w:divBdr>
          <w:divsChild>
            <w:div w:id="1652370668">
              <w:marLeft w:val="0"/>
              <w:marRight w:val="0"/>
              <w:marTop w:val="0"/>
              <w:marBottom w:val="0"/>
              <w:divBdr>
                <w:top w:val="none" w:sz="0" w:space="0" w:color="auto"/>
                <w:left w:val="none" w:sz="0" w:space="0" w:color="auto"/>
                <w:bottom w:val="none" w:sz="0" w:space="0" w:color="auto"/>
                <w:right w:val="none" w:sz="0" w:space="0" w:color="auto"/>
              </w:divBdr>
            </w:div>
          </w:divsChild>
        </w:div>
        <w:div w:id="1757365264">
          <w:marLeft w:val="240"/>
          <w:marRight w:val="0"/>
          <w:marTop w:val="60"/>
          <w:marBottom w:val="60"/>
          <w:divBdr>
            <w:top w:val="none" w:sz="0" w:space="0" w:color="auto"/>
            <w:left w:val="none" w:sz="0" w:space="0" w:color="auto"/>
            <w:bottom w:val="none" w:sz="0" w:space="0" w:color="auto"/>
            <w:right w:val="none" w:sz="0" w:space="0" w:color="auto"/>
          </w:divBdr>
          <w:divsChild>
            <w:div w:id="1137991593">
              <w:marLeft w:val="0"/>
              <w:marRight w:val="0"/>
              <w:marTop w:val="0"/>
              <w:marBottom w:val="0"/>
              <w:divBdr>
                <w:top w:val="none" w:sz="0" w:space="0" w:color="auto"/>
                <w:left w:val="none" w:sz="0" w:space="0" w:color="auto"/>
                <w:bottom w:val="none" w:sz="0" w:space="0" w:color="auto"/>
                <w:right w:val="none" w:sz="0" w:space="0" w:color="auto"/>
              </w:divBdr>
            </w:div>
          </w:divsChild>
        </w:div>
        <w:div w:id="1811556846">
          <w:marLeft w:val="240"/>
          <w:marRight w:val="0"/>
          <w:marTop w:val="60"/>
          <w:marBottom w:val="60"/>
          <w:divBdr>
            <w:top w:val="none" w:sz="0" w:space="0" w:color="auto"/>
            <w:left w:val="none" w:sz="0" w:space="0" w:color="auto"/>
            <w:bottom w:val="none" w:sz="0" w:space="0" w:color="auto"/>
            <w:right w:val="none" w:sz="0" w:space="0" w:color="auto"/>
          </w:divBdr>
          <w:divsChild>
            <w:div w:id="11295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1915">
      <w:bodyDiv w:val="1"/>
      <w:marLeft w:val="0"/>
      <w:marRight w:val="0"/>
      <w:marTop w:val="0"/>
      <w:marBottom w:val="0"/>
      <w:divBdr>
        <w:top w:val="none" w:sz="0" w:space="0" w:color="auto"/>
        <w:left w:val="none" w:sz="0" w:space="0" w:color="auto"/>
        <w:bottom w:val="none" w:sz="0" w:space="0" w:color="auto"/>
        <w:right w:val="none" w:sz="0" w:space="0" w:color="auto"/>
      </w:divBdr>
    </w:div>
    <w:div w:id="337663378">
      <w:bodyDiv w:val="1"/>
      <w:marLeft w:val="0"/>
      <w:marRight w:val="0"/>
      <w:marTop w:val="0"/>
      <w:marBottom w:val="0"/>
      <w:divBdr>
        <w:top w:val="none" w:sz="0" w:space="0" w:color="auto"/>
        <w:left w:val="none" w:sz="0" w:space="0" w:color="auto"/>
        <w:bottom w:val="none" w:sz="0" w:space="0" w:color="auto"/>
        <w:right w:val="none" w:sz="0" w:space="0" w:color="auto"/>
      </w:divBdr>
    </w:div>
    <w:div w:id="368993836">
      <w:bodyDiv w:val="1"/>
      <w:marLeft w:val="0"/>
      <w:marRight w:val="0"/>
      <w:marTop w:val="0"/>
      <w:marBottom w:val="0"/>
      <w:divBdr>
        <w:top w:val="none" w:sz="0" w:space="0" w:color="auto"/>
        <w:left w:val="none" w:sz="0" w:space="0" w:color="auto"/>
        <w:bottom w:val="none" w:sz="0" w:space="0" w:color="auto"/>
        <w:right w:val="none" w:sz="0" w:space="0" w:color="auto"/>
      </w:divBdr>
      <w:divsChild>
        <w:div w:id="72630325">
          <w:marLeft w:val="0"/>
          <w:marRight w:val="0"/>
          <w:marTop w:val="240"/>
          <w:marBottom w:val="0"/>
          <w:divBdr>
            <w:top w:val="none" w:sz="0" w:space="0" w:color="auto"/>
            <w:left w:val="none" w:sz="0" w:space="0" w:color="auto"/>
            <w:bottom w:val="none" w:sz="0" w:space="0" w:color="auto"/>
            <w:right w:val="none" w:sz="0" w:space="0" w:color="auto"/>
          </w:divBdr>
          <w:divsChild>
            <w:div w:id="1556040619">
              <w:marLeft w:val="0"/>
              <w:marRight w:val="0"/>
              <w:marTop w:val="0"/>
              <w:marBottom w:val="0"/>
              <w:divBdr>
                <w:top w:val="none" w:sz="0" w:space="0" w:color="auto"/>
                <w:left w:val="none" w:sz="0" w:space="0" w:color="auto"/>
                <w:bottom w:val="none" w:sz="0" w:space="0" w:color="auto"/>
                <w:right w:val="none" w:sz="0" w:space="0" w:color="auto"/>
              </w:divBdr>
              <w:divsChild>
                <w:div w:id="15664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1902">
          <w:marLeft w:val="0"/>
          <w:marRight w:val="0"/>
          <w:marTop w:val="240"/>
          <w:marBottom w:val="0"/>
          <w:divBdr>
            <w:top w:val="none" w:sz="0" w:space="0" w:color="auto"/>
            <w:left w:val="none" w:sz="0" w:space="0" w:color="auto"/>
            <w:bottom w:val="none" w:sz="0" w:space="0" w:color="auto"/>
            <w:right w:val="none" w:sz="0" w:space="0" w:color="auto"/>
          </w:divBdr>
          <w:divsChild>
            <w:div w:id="436026679">
              <w:marLeft w:val="0"/>
              <w:marRight w:val="0"/>
              <w:marTop w:val="0"/>
              <w:marBottom w:val="0"/>
              <w:divBdr>
                <w:top w:val="none" w:sz="0" w:space="0" w:color="auto"/>
                <w:left w:val="none" w:sz="0" w:space="0" w:color="auto"/>
                <w:bottom w:val="none" w:sz="0" w:space="0" w:color="auto"/>
                <w:right w:val="none" w:sz="0" w:space="0" w:color="auto"/>
              </w:divBdr>
              <w:divsChild>
                <w:div w:id="9507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2273">
          <w:marLeft w:val="0"/>
          <w:marRight w:val="0"/>
          <w:marTop w:val="240"/>
          <w:marBottom w:val="0"/>
          <w:divBdr>
            <w:top w:val="none" w:sz="0" w:space="0" w:color="auto"/>
            <w:left w:val="none" w:sz="0" w:space="0" w:color="auto"/>
            <w:bottom w:val="none" w:sz="0" w:space="0" w:color="auto"/>
            <w:right w:val="none" w:sz="0" w:space="0" w:color="auto"/>
          </w:divBdr>
          <w:divsChild>
            <w:div w:id="361366519">
              <w:marLeft w:val="0"/>
              <w:marRight w:val="0"/>
              <w:marTop w:val="240"/>
              <w:marBottom w:val="0"/>
              <w:divBdr>
                <w:top w:val="none" w:sz="0" w:space="0" w:color="auto"/>
                <w:left w:val="none" w:sz="0" w:space="0" w:color="auto"/>
                <w:bottom w:val="none" w:sz="0" w:space="0" w:color="auto"/>
                <w:right w:val="none" w:sz="0" w:space="0" w:color="auto"/>
              </w:divBdr>
              <w:divsChild>
                <w:div w:id="244414630">
                  <w:marLeft w:val="0"/>
                  <w:marRight w:val="0"/>
                  <w:marTop w:val="0"/>
                  <w:marBottom w:val="0"/>
                  <w:divBdr>
                    <w:top w:val="none" w:sz="0" w:space="0" w:color="auto"/>
                    <w:left w:val="none" w:sz="0" w:space="0" w:color="auto"/>
                    <w:bottom w:val="none" w:sz="0" w:space="0" w:color="auto"/>
                    <w:right w:val="none" w:sz="0" w:space="0" w:color="auto"/>
                  </w:divBdr>
                  <w:divsChild>
                    <w:div w:id="5691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632">
              <w:marLeft w:val="0"/>
              <w:marRight w:val="0"/>
              <w:marTop w:val="240"/>
              <w:marBottom w:val="0"/>
              <w:divBdr>
                <w:top w:val="none" w:sz="0" w:space="0" w:color="auto"/>
                <w:left w:val="none" w:sz="0" w:space="0" w:color="auto"/>
                <w:bottom w:val="none" w:sz="0" w:space="0" w:color="auto"/>
                <w:right w:val="none" w:sz="0" w:space="0" w:color="auto"/>
              </w:divBdr>
              <w:divsChild>
                <w:div w:id="543908831">
                  <w:marLeft w:val="0"/>
                  <w:marRight w:val="0"/>
                  <w:marTop w:val="0"/>
                  <w:marBottom w:val="0"/>
                  <w:divBdr>
                    <w:top w:val="none" w:sz="0" w:space="0" w:color="auto"/>
                    <w:left w:val="none" w:sz="0" w:space="0" w:color="auto"/>
                    <w:bottom w:val="none" w:sz="0" w:space="0" w:color="auto"/>
                    <w:right w:val="none" w:sz="0" w:space="0" w:color="auto"/>
                  </w:divBdr>
                  <w:divsChild>
                    <w:div w:id="15036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4066">
              <w:marLeft w:val="0"/>
              <w:marRight w:val="0"/>
              <w:marTop w:val="240"/>
              <w:marBottom w:val="0"/>
              <w:divBdr>
                <w:top w:val="none" w:sz="0" w:space="0" w:color="auto"/>
                <w:left w:val="none" w:sz="0" w:space="0" w:color="auto"/>
                <w:bottom w:val="none" w:sz="0" w:space="0" w:color="auto"/>
                <w:right w:val="none" w:sz="0" w:space="0" w:color="auto"/>
              </w:divBdr>
              <w:divsChild>
                <w:div w:id="394010100">
                  <w:marLeft w:val="0"/>
                  <w:marRight w:val="0"/>
                  <w:marTop w:val="0"/>
                  <w:marBottom w:val="0"/>
                  <w:divBdr>
                    <w:top w:val="none" w:sz="0" w:space="0" w:color="auto"/>
                    <w:left w:val="none" w:sz="0" w:space="0" w:color="auto"/>
                    <w:bottom w:val="none" w:sz="0" w:space="0" w:color="auto"/>
                    <w:right w:val="none" w:sz="0" w:space="0" w:color="auto"/>
                  </w:divBdr>
                  <w:divsChild>
                    <w:div w:id="50201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1921">
              <w:marLeft w:val="0"/>
              <w:marRight w:val="0"/>
              <w:marTop w:val="0"/>
              <w:marBottom w:val="0"/>
              <w:divBdr>
                <w:top w:val="none" w:sz="0" w:space="0" w:color="auto"/>
                <w:left w:val="none" w:sz="0" w:space="0" w:color="auto"/>
                <w:bottom w:val="none" w:sz="0" w:space="0" w:color="auto"/>
                <w:right w:val="none" w:sz="0" w:space="0" w:color="auto"/>
              </w:divBdr>
              <w:divsChild>
                <w:div w:id="779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4349">
          <w:marLeft w:val="0"/>
          <w:marRight w:val="0"/>
          <w:marTop w:val="240"/>
          <w:marBottom w:val="0"/>
          <w:divBdr>
            <w:top w:val="none" w:sz="0" w:space="0" w:color="auto"/>
            <w:left w:val="none" w:sz="0" w:space="0" w:color="auto"/>
            <w:bottom w:val="none" w:sz="0" w:space="0" w:color="auto"/>
            <w:right w:val="none" w:sz="0" w:space="0" w:color="auto"/>
          </w:divBdr>
          <w:divsChild>
            <w:div w:id="977955365">
              <w:marLeft w:val="0"/>
              <w:marRight w:val="0"/>
              <w:marTop w:val="0"/>
              <w:marBottom w:val="0"/>
              <w:divBdr>
                <w:top w:val="none" w:sz="0" w:space="0" w:color="auto"/>
                <w:left w:val="none" w:sz="0" w:space="0" w:color="auto"/>
                <w:bottom w:val="none" w:sz="0" w:space="0" w:color="auto"/>
                <w:right w:val="none" w:sz="0" w:space="0" w:color="auto"/>
              </w:divBdr>
              <w:divsChild>
                <w:div w:id="11695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8731">
          <w:marLeft w:val="0"/>
          <w:marRight w:val="0"/>
          <w:marTop w:val="240"/>
          <w:marBottom w:val="0"/>
          <w:divBdr>
            <w:top w:val="none" w:sz="0" w:space="0" w:color="auto"/>
            <w:left w:val="none" w:sz="0" w:space="0" w:color="auto"/>
            <w:bottom w:val="none" w:sz="0" w:space="0" w:color="auto"/>
            <w:right w:val="none" w:sz="0" w:space="0" w:color="auto"/>
          </w:divBdr>
          <w:divsChild>
            <w:div w:id="1978994607">
              <w:marLeft w:val="0"/>
              <w:marRight w:val="0"/>
              <w:marTop w:val="0"/>
              <w:marBottom w:val="0"/>
              <w:divBdr>
                <w:top w:val="none" w:sz="0" w:space="0" w:color="auto"/>
                <w:left w:val="none" w:sz="0" w:space="0" w:color="auto"/>
                <w:bottom w:val="none" w:sz="0" w:space="0" w:color="auto"/>
                <w:right w:val="none" w:sz="0" w:space="0" w:color="auto"/>
              </w:divBdr>
              <w:divsChild>
                <w:div w:id="15706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1826">
          <w:marLeft w:val="0"/>
          <w:marRight w:val="0"/>
          <w:marTop w:val="240"/>
          <w:marBottom w:val="0"/>
          <w:divBdr>
            <w:top w:val="none" w:sz="0" w:space="0" w:color="auto"/>
            <w:left w:val="none" w:sz="0" w:space="0" w:color="auto"/>
            <w:bottom w:val="none" w:sz="0" w:space="0" w:color="auto"/>
            <w:right w:val="none" w:sz="0" w:space="0" w:color="auto"/>
          </w:divBdr>
          <w:divsChild>
            <w:div w:id="676812835">
              <w:marLeft w:val="0"/>
              <w:marRight w:val="0"/>
              <w:marTop w:val="0"/>
              <w:marBottom w:val="0"/>
              <w:divBdr>
                <w:top w:val="none" w:sz="0" w:space="0" w:color="auto"/>
                <w:left w:val="none" w:sz="0" w:space="0" w:color="auto"/>
                <w:bottom w:val="none" w:sz="0" w:space="0" w:color="auto"/>
                <w:right w:val="none" w:sz="0" w:space="0" w:color="auto"/>
              </w:divBdr>
              <w:divsChild>
                <w:div w:id="18593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9312">
          <w:marLeft w:val="0"/>
          <w:marRight w:val="0"/>
          <w:marTop w:val="240"/>
          <w:marBottom w:val="0"/>
          <w:divBdr>
            <w:top w:val="none" w:sz="0" w:space="0" w:color="auto"/>
            <w:left w:val="none" w:sz="0" w:space="0" w:color="auto"/>
            <w:bottom w:val="none" w:sz="0" w:space="0" w:color="auto"/>
            <w:right w:val="none" w:sz="0" w:space="0" w:color="auto"/>
          </w:divBdr>
          <w:divsChild>
            <w:div w:id="57553709">
              <w:marLeft w:val="0"/>
              <w:marRight w:val="0"/>
              <w:marTop w:val="0"/>
              <w:marBottom w:val="0"/>
              <w:divBdr>
                <w:top w:val="none" w:sz="0" w:space="0" w:color="auto"/>
                <w:left w:val="none" w:sz="0" w:space="0" w:color="auto"/>
                <w:bottom w:val="none" w:sz="0" w:space="0" w:color="auto"/>
                <w:right w:val="none" w:sz="0" w:space="0" w:color="auto"/>
              </w:divBdr>
              <w:divsChild>
                <w:div w:id="418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8105">
          <w:marLeft w:val="0"/>
          <w:marRight w:val="0"/>
          <w:marTop w:val="240"/>
          <w:marBottom w:val="0"/>
          <w:divBdr>
            <w:top w:val="none" w:sz="0" w:space="0" w:color="auto"/>
            <w:left w:val="none" w:sz="0" w:space="0" w:color="auto"/>
            <w:bottom w:val="none" w:sz="0" w:space="0" w:color="auto"/>
            <w:right w:val="none" w:sz="0" w:space="0" w:color="auto"/>
          </w:divBdr>
          <w:divsChild>
            <w:div w:id="1559970127">
              <w:marLeft w:val="0"/>
              <w:marRight w:val="0"/>
              <w:marTop w:val="0"/>
              <w:marBottom w:val="0"/>
              <w:divBdr>
                <w:top w:val="none" w:sz="0" w:space="0" w:color="auto"/>
                <w:left w:val="none" w:sz="0" w:space="0" w:color="auto"/>
                <w:bottom w:val="none" w:sz="0" w:space="0" w:color="auto"/>
                <w:right w:val="none" w:sz="0" w:space="0" w:color="auto"/>
              </w:divBdr>
              <w:divsChild>
                <w:div w:id="1551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20294">
      <w:bodyDiv w:val="1"/>
      <w:marLeft w:val="0"/>
      <w:marRight w:val="0"/>
      <w:marTop w:val="0"/>
      <w:marBottom w:val="0"/>
      <w:divBdr>
        <w:top w:val="none" w:sz="0" w:space="0" w:color="auto"/>
        <w:left w:val="none" w:sz="0" w:space="0" w:color="auto"/>
        <w:bottom w:val="none" w:sz="0" w:space="0" w:color="auto"/>
        <w:right w:val="none" w:sz="0" w:space="0" w:color="auto"/>
      </w:divBdr>
      <w:divsChild>
        <w:div w:id="253438967">
          <w:marLeft w:val="0"/>
          <w:marRight w:val="0"/>
          <w:marTop w:val="0"/>
          <w:marBottom w:val="0"/>
          <w:divBdr>
            <w:top w:val="none" w:sz="0" w:space="0" w:color="auto"/>
            <w:left w:val="none" w:sz="0" w:space="0" w:color="auto"/>
            <w:bottom w:val="none" w:sz="0" w:space="0" w:color="auto"/>
            <w:right w:val="none" w:sz="0" w:space="0" w:color="auto"/>
          </w:divBdr>
        </w:div>
        <w:div w:id="591360723">
          <w:marLeft w:val="0"/>
          <w:marRight w:val="0"/>
          <w:marTop w:val="0"/>
          <w:marBottom w:val="0"/>
          <w:divBdr>
            <w:top w:val="none" w:sz="0" w:space="0" w:color="auto"/>
            <w:left w:val="none" w:sz="0" w:space="0" w:color="auto"/>
            <w:bottom w:val="none" w:sz="0" w:space="0" w:color="auto"/>
            <w:right w:val="none" w:sz="0" w:space="0" w:color="auto"/>
          </w:divBdr>
        </w:div>
        <w:div w:id="896475256">
          <w:marLeft w:val="0"/>
          <w:marRight w:val="0"/>
          <w:marTop w:val="0"/>
          <w:marBottom w:val="0"/>
          <w:divBdr>
            <w:top w:val="none" w:sz="0" w:space="0" w:color="auto"/>
            <w:left w:val="none" w:sz="0" w:space="0" w:color="auto"/>
            <w:bottom w:val="none" w:sz="0" w:space="0" w:color="auto"/>
            <w:right w:val="none" w:sz="0" w:space="0" w:color="auto"/>
          </w:divBdr>
        </w:div>
        <w:div w:id="1001927223">
          <w:marLeft w:val="0"/>
          <w:marRight w:val="0"/>
          <w:marTop w:val="0"/>
          <w:marBottom w:val="0"/>
          <w:divBdr>
            <w:top w:val="none" w:sz="0" w:space="0" w:color="auto"/>
            <w:left w:val="none" w:sz="0" w:space="0" w:color="auto"/>
            <w:bottom w:val="none" w:sz="0" w:space="0" w:color="auto"/>
            <w:right w:val="none" w:sz="0" w:space="0" w:color="auto"/>
          </w:divBdr>
        </w:div>
        <w:div w:id="1216773814">
          <w:marLeft w:val="0"/>
          <w:marRight w:val="0"/>
          <w:marTop w:val="0"/>
          <w:marBottom w:val="0"/>
          <w:divBdr>
            <w:top w:val="none" w:sz="0" w:space="0" w:color="auto"/>
            <w:left w:val="none" w:sz="0" w:space="0" w:color="auto"/>
            <w:bottom w:val="none" w:sz="0" w:space="0" w:color="auto"/>
            <w:right w:val="none" w:sz="0" w:space="0" w:color="auto"/>
          </w:divBdr>
        </w:div>
        <w:div w:id="1251431764">
          <w:marLeft w:val="0"/>
          <w:marRight w:val="0"/>
          <w:marTop w:val="0"/>
          <w:marBottom w:val="0"/>
          <w:divBdr>
            <w:top w:val="none" w:sz="0" w:space="0" w:color="auto"/>
            <w:left w:val="none" w:sz="0" w:space="0" w:color="auto"/>
            <w:bottom w:val="none" w:sz="0" w:space="0" w:color="auto"/>
            <w:right w:val="none" w:sz="0" w:space="0" w:color="auto"/>
          </w:divBdr>
        </w:div>
        <w:div w:id="2108192997">
          <w:marLeft w:val="0"/>
          <w:marRight w:val="0"/>
          <w:marTop w:val="0"/>
          <w:marBottom w:val="0"/>
          <w:divBdr>
            <w:top w:val="none" w:sz="0" w:space="0" w:color="auto"/>
            <w:left w:val="none" w:sz="0" w:space="0" w:color="auto"/>
            <w:bottom w:val="none" w:sz="0" w:space="0" w:color="auto"/>
            <w:right w:val="none" w:sz="0" w:space="0" w:color="auto"/>
          </w:divBdr>
        </w:div>
      </w:divsChild>
    </w:div>
    <w:div w:id="434599709">
      <w:bodyDiv w:val="1"/>
      <w:marLeft w:val="0"/>
      <w:marRight w:val="0"/>
      <w:marTop w:val="0"/>
      <w:marBottom w:val="0"/>
      <w:divBdr>
        <w:top w:val="none" w:sz="0" w:space="0" w:color="auto"/>
        <w:left w:val="none" w:sz="0" w:space="0" w:color="auto"/>
        <w:bottom w:val="none" w:sz="0" w:space="0" w:color="auto"/>
        <w:right w:val="none" w:sz="0" w:space="0" w:color="auto"/>
      </w:divBdr>
    </w:div>
    <w:div w:id="470295096">
      <w:bodyDiv w:val="1"/>
      <w:marLeft w:val="0"/>
      <w:marRight w:val="0"/>
      <w:marTop w:val="0"/>
      <w:marBottom w:val="0"/>
      <w:divBdr>
        <w:top w:val="none" w:sz="0" w:space="0" w:color="auto"/>
        <w:left w:val="none" w:sz="0" w:space="0" w:color="auto"/>
        <w:bottom w:val="none" w:sz="0" w:space="0" w:color="auto"/>
        <w:right w:val="none" w:sz="0" w:space="0" w:color="auto"/>
      </w:divBdr>
      <w:divsChild>
        <w:div w:id="365300656">
          <w:marLeft w:val="480"/>
          <w:marRight w:val="0"/>
          <w:marTop w:val="0"/>
          <w:marBottom w:val="0"/>
          <w:divBdr>
            <w:top w:val="none" w:sz="0" w:space="0" w:color="auto"/>
            <w:left w:val="none" w:sz="0" w:space="0" w:color="auto"/>
            <w:bottom w:val="none" w:sz="0" w:space="0" w:color="auto"/>
            <w:right w:val="none" w:sz="0" w:space="0" w:color="auto"/>
          </w:divBdr>
        </w:div>
        <w:div w:id="515310906">
          <w:marLeft w:val="480"/>
          <w:marRight w:val="0"/>
          <w:marTop w:val="0"/>
          <w:marBottom w:val="0"/>
          <w:divBdr>
            <w:top w:val="none" w:sz="0" w:space="0" w:color="auto"/>
            <w:left w:val="none" w:sz="0" w:space="0" w:color="auto"/>
            <w:bottom w:val="none" w:sz="0" w:space="0" w:color="auto"/>
            <w:right w:val="none" w:sz="0" w:space="0" w:color="auto"/>
          </w:divBdr>
        </w:div>
        <w:div w:id="1791437998">
          <w:marLeft w:val="480"/>
          <w:marRight w:val="0"/>
          <w:marTop w:val="0"/>
          <w:marBottom w:val="0"/>
          <w:divBdr>
            <w:top w:val="none" w:sz="0" w:space="0" w:color="auto"/>
            <w:left w:val="none" w:sz="0" w:space="0" w:color="auto"/>
            <w:bottom w:val="none" w:sz="0" w:space="0" w:color="auto"/>
            <w:right w:val="none" w:sz="0" w:space="0" w:color="auto"/>
          </w:divBdr>
        </w:div>
      </w:divsChild>
    </w:div>
    <w:div w:id="495191676">
      <w:bodyDiv w:val="1"/>
      <w:marLeft w:val="0"/>
      <w:marRight w:val="0"/>
      <w:marTop w:val="0"/>
      <w:marBottom w:val="0"/>
      <w:divBdr>
        <w:top w:val="none" w:sz="0" w:space="0" w:color="auto"/>
        <w:left w:val="none" w:sz="0" w:space="0" w:color="auto"/>
        <w:bottom w:val="none" w:sz="0" w:space="0" w:color="auto"/>
        <w:right w:val="none" w:sz="0" w:space="0" w:color="auto"/>
      </w:divBdr>
      <w:divsChild>
        <w:div w:id="757334450">
          <w:marLeft w:val="0"/>
          <w:marRight w:val="0"/>
          <w:marTop w:val="0"/>
          <w:marBottom w:val="0"/>
          <w:divBdr>
            <w:top w:val="none" w:sz="0" w:space="0" w:color="auto"/>
            <w:left w:val="none" w:sz="0" w:space="0" w:color="auto"/>
            <w:bottom w:val="none" w:sz="0" w:space="0" w:color="auto"/>
            <w:right w:val="none" w:sz="0" w:space="0" w:color="auto"/>
          </w:divBdr>
        </w:div>
      </w:divsChild>
    </w:div>
    <w:div w:id="578372373">
      <w:bodyDiv w:val="1"/>
      <w:marLeft w:val="0"/>
      <w:marRight w:val="0"/>
      <w:marTop w:val="0"/>
      <w:marBottom w:val="0"/>
      <w:divBdr>
        <w:top w:val="none" w:sz="0" w:space="0" w:color="auto"/>
        <w:left w:val="none" w:sz="0" w:space="0" w:color="auto"/>
        <w:bottom w:val="none" w:sz="0" w:space="0" w:color="auto"/>
        <w:right w:val="none" w:sz="0" w:space="0" w:color="auto"/>
      </w:divBdr>
      <w:divsChild>
        <w:div w:id="935090253">
          <w:blockQuote w:val="1"/>
          <w:marLeft w:val="0"/>
          <w:marRight w:val="0"/>
          <w:marTop w:val="0"/>
          <w:marBottom w:val="300"/>
          <w:divBdr>
            <w:top w:val="none" w:sz="0" w:space="0" w:color="auto"/>
            <w:left w:val="single" w:sz="36" w:space="11" w:color="EEEEEE"/>
            <w:bottom w:val="none" w:sz="0" w:space="0" w:color="auto"/>
            <w:right w:val="none" w:sz="0" w:space="0" w:color="auto"/>
          </w:divBdr>
        </w:div>
        <w:div w:id="1477988726">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75034330">
      <w:bodyDiv w:val="1"/>
      <w:marLeft w:val="0"/>
      <w:marRight w:val="0"/>
      <w:marTop w:val="0"/>
      <w:marBottom w:val="0"/>
      <w:divBdr>
        <w:top w:val="none" w:sz="0" w:space="0" w:color="auto"/>
        <w:left w:val="none" w:sz="0" w:space="0" w:color="auto"/>
        <w:bottom w:val="none" w:sz="0" w:space="0" w:color="auto"/>
        <w:right w:val="none" w:sz="0" w:space="0" w:color="auto"/>
      </w:divBdr>
      <w:divsChild>
        <w:div w:id="584849259">
          <w:marLeft w:val="0"/>
          <w:marRight w:val="0"/>
          <w:marTop w:val="0"/>
          <w:marBottom w:val="0"/>
          <w:divBdr>
            <w:top w:val="none" w:sz="0" w:space="0" w:color="auto"/>
            <w:left w:val="none" w:sz="0" w:space="0" w:color="auto"/>
            <w:bottom w:val="none" w:sz="0" w:space="0" w:color="auto"/>
            <w:right w:val="none" w:sz="0" w:space="0" w:color="auto"/>
          </w:divBdr>
        </w:div>
        <w:div w:id="1920092867">
          <w:marLeft w:val="0"/>
          <w:marRight w:val="0"/>
          <w:marTop w:val="0"/>
          <w:marBottom w:val="0"/>
          <w:divBdr>
            <w:top w:val="none" w:sz="0" w:space="0" w:color="auto"/>
            <w:left w:val="none" w:sz="0" w:space="0" w:color="auto"/>
            <w:bottom w:val="none" w:sz="0" w:space="0" w:color="auto"/>
            <w:right w:val="none" w:sz="0" w:space="0" w:color="auto"/>
          </w:divBdr>
        </w:div>
      </w:divsChild>
    </w:div>
    <w:div w:id="867984048">
      <w:bodyDiv w:val="1"/>
      <w:marLeft w:val="0"/>
      <w:marRight w:val="0"/>
      <w:marTop w:val="0"/>
      <w:marBottom w:val="0"/>
      <w:divBdr>
        <w:top w:val="none" w:sz="0" w:space="0" w:color="auto"/>
        <w:left w:val="none" w:sz="0" w:space="0" w:color="auto"/>
        <w:bottom w:val="none" w:sz="0" w:space="0" w:color="auto"/>
        <w:right w:val="none" w:sz="0" w:space="0" w:color="auto"/>
      </w:divBdr>
      <w:divsChild>
        <w:div w:id="669259312">
          <w:marLeft w:val="0"/>
          <w:marRight w:val="0"/>
          <w:marTop w:val="0"/>
          <w:marBottom w:val="0"/>
          <w:divBdr>
            <w:top w:val="none" w:sz="0" w:space="0" w:color="auto"/>
            <w:left w:val="none" w:sz="0" w:space="0" w:color="auto"/>
            <w:bottom w:val="none" w:sz="0" w:space="0" w:color="auto"/>
            <w:right w:val="none" w:sz="0" w:space="0" w:color="auto"/>
          </w:divBdr>
        </w:div>
      </w:divsChild>
    </w:div>
    <w:div w:id="1081565496">
      <w:bodyDiv w:val="1"/>
      <w:marLeft w:val="0"/>
      <w:marRight w:val="0"/>
      <w:marTop w:val="0"/>
      <w:marBottom w:val="0"/>
      <w:divBdr>
        <w:top w:val="none" w:sz="0" w:space="0" w:color="auto"/>
        <w:left w:val="none" w:sz="0" w:space="0" w:color="auto"/>
        <w:bottom w:val="none" w:sz="0" w:space="0" w:color="auto"/>
        <w:right w:val="none" w:sz="0" w:space="0" w:color="auto"/>
      </w:divBdr>
      <w:divsChild>
        <w:div w:id="9766927">
          <w:marLeft w:val="0"/>
          <w:marRight w:val="0"/>
          <w:marTop w:val="0"/>
          <w:marBottom w:val="0"/>
          <w:divBdr>
            <w:top w:val="none" w:sz="0" w:space="0" w:color="auto"/>
            <w:left w:val="none" w:sz="0" w:space="0" w:color="auto"/>
            <w:bottom w:val="none" w:sz="0" w:space="0" w:color="auto"/>
            <w:right w:val="none" w:sz="0" w:space="0" w:color="auto"/>
          </w:divBdr>
          <w:divsChild>
            <w:div w:id="521092567">
              <w:marLeft w:val="0"/>
              <w:marRight w:val="0"/>
              <w:marTop w:val="0"/>
              <w:marBottom w:val="0"/>
              <w:divBdr>
                <w:top w:val="none" w:sz="0" w:space="0" w:color="auto"/>
                <w:left w:val="none" w:sz="0" w:space="0" w:color="auto"/>
                <w:bottom w:val="none" w:sz="0" w:space="0" w:color="auto"/>
                <w:right w:val="none" w:sz="0" w:space="0" w:color="auto"/>
              </w:divBdr>
              <w:divsChild>
                <w:div w:id="4023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7987">
          <w:marLeft w:val="0"/>
          <w:marRight w:val="0"/>
          <w:marTop w:val="0"/>
          <w:marBottom w:val="0"/>
          <w:divBdr>
            <w:top w:val="none" w:sz="0" w:space="0" w:color="auto"/>
            <w:left w:val="none" w:sz="0" w:space="0" w:color="auto"/>
            <w:bottom w:val="none" w:sz="0" w:space="0" w:color="auto"/>
            <w:right w:val="none" w:sz="0" w:space="0" w:color="auto"/>
          </w:divBdr>
          <w:divsChild>
            <w:div w:id="148718544">
              <w:marLeft w:val="0"/>
              <w:marRight w:val="0"/>
              <w:marTop w:val="0"/>
              <w:marBottom w:val="0"/>
              <w:divBdr>
                <w:top w:val="none" w:sz="0" w:space="0" w:color="auto"/>
                <w:left w:val="none" w:sz="0" w:space="0" w:color="auto"/>
                <w:bottom w:val="none" w:sz="0" w:space="0" w:color="auto"/>
                <w:right w:val="none" w:sz="0" w:space="0" w:color="auto"/>
              </w:divBdr>
              <w:divsChild>
                <w:div w:id="6754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0875">
          <w:marLeft w:val="0"/>
          <w:marRight w:val="0"/>
          <w:marTop w:val="0"/>
          <w:marBottom w:val="0"/>
          <w:divBdr>
            <w:top w:val="none" w:sz="0" w:space="0" w:color="auto"/>
            <w:left w:val="none" w:sz="0" w:space="0" w:color="auto"/>
            <w:bottom w:val="none" w:sz="0" w:space="0" w:color="auto"/>
            <w:right w:val="none" w:sz="0" w:space="0" w:color="auto"/>
          </w:divBdr>
          <w:divsChild>
            <w:div w:id="1039164287">
              <w:marLeft w:val="0"/>
              <w:marRight w:val="0"/>
              <w:marTop w:val="0"/>
              <w:marBottom w:val="0"/>
              <w:divBdr>
                <w:top w:val="none" w:sz="0" w:space="0" w:color="auto"/>
                <w:left w:val="none" w:sz="0" w:space="0" w:color="auto"/>
                <w:bottom w:val="none" w:sz="0" w:space="0" w:color="auto"/>
                <w:right w:val="none" w:sz="0" w:space="0" w:color="auto"/>
              </w:divBdr>
              <w:divsChild>
                <w:div w:id="1388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638">
          <w:marLeft w:val="0"/>
          <w:marRight w:val="0"/>
          <w:marTop w:val="0"/>
          <w:marBottom w:val="0"/>
          <w:divBdr>
            <w:top w:val="none" w:sz="0" w:space="0" w:color="auto"/>
            <w:left w:val="none" w:sz="0" w:space="0" w:color="auto"/>
            <w:bottom w:val="none" w:sz="0" w:space="0" w:color="auto"/>
            <w:right w:val="none" w:sz="0" w:space="0" w:color="auto"/>
          </w:divBdr>
          <w:divsChild>
            <w:div w:id="1365669437">
              <w:marLeft w:val="0"/>
              <w:marRight w:val="0"/>
              <w:marTop w:val="0"/>
              <w:marBottom w:val="0"/>
              <w:divBdr>
                <w:top w:val="none" w:sz="0" w:space="0" w:color="auto"/>
                <w:left w:val="none" w:sz="0" w:space="0" w:color="auto"/>
                <w:bottom w:val="none" w:sz="0" w:space="0" w:color="auto"/>
                <w:right w:val="none" w:sz="0" w:space="0" w:color="auto"/>
              </w:divBdr>
            </w:div>
          </w:divsChild>
        </w:div>
        <w:div w:id="853229477">
          <w:marLeft w:val="0"/>
          <w:marRight w:val="0"/>
          <w:marTop w:val="0"/>
          <w:marBottom w:val="0"/>
          <w:divBdr>
            <w:top w:val="none" w:sz="0" w:space="0" w:color="auto"/>
            <w:left w:val="none" w:sz="0" w:space="0" w:color="auto"/>
            <w:bottom w:val="none" w:sz="0" w:space="0" w:color="auto"/>
            <w:right w:val="none" w:sz="0" w:space="0" w:color="auto"/>
          </w:divBdr>
          <w:divsChild>
            <w:div w:id="342896791">
              <w:marLeft w:val="0"/>
              <w:marRight w:val="0"/>
              <w:marTop w:val="0"/>
              <w:marBottom w:val="0"/>
              <w:divBdr>
                <w:top w:val="none" w:sz="0" w:space="0" w:color="auto"/>
                <w:left w:val="none" w:sz="0" w:space="0" w:color="auto"/>
                <w:bottom w:val="none" w:sz="0" w:space="0" w:color="auto"/>
                <w:right w:val="none" w:sz="0" w:space="0" w:color="auto"/>
              </w:divBdr>
              <w:divsChild>
                <w:div w:id="13479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4188">
          <w:marLeft w:val="0"/>
          <w:marRight w:val="0"/>
          <w:marTop w:val="0"/>
          <w:marBottom w:val="0"/>
          <w:divBdr>
            <w:top w:val="none" w:sz="0" w:space="0" w:color="auto"/>
            <w:left w:val="none" w:sz="0" w:space="0" w:color="auto"/>
            <w:bottom w:val="none" w:sz="0" w:space="0" w:color="auto"/>
            <w:right w:val="none" w:sz="0" w:space="0" w:color="auto"/>
          </w:divBdr>
          <w:divsChild>
            <w:div w:id="1834295703">
              <w:marLeft w:val="0"/>
              <w:marRight w:val="0"/>
              <w:marTop w:val="0"/>
              <w:marBottom w:val="0"/>
              <w:divBdr>
                <w:top w:val="none" w:sz="0" w:space="0" w:color="auto"/>
                <w:left w:val="none" w:sz="0" w:space="0" w:color="auto"/>
                <w:bottom w:val="none" w:sz="0" w:space="0" w:color="auto"/>
                <w:right w:val="none" w:sz="0" w:space="0" w:color="auto"/>
              </w:divBdr>
              <w:divsChild>
                <w:div w:id="16013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60622">
      <w:bodyDiv w:val="1"/>
      <w:marLeft w:val="0"/>
      <w:marRight w:val="0"/>
      <w:marTop w:val="0"/>
      <w:marBottom w:val="0"/>
      <w:divBdr>
        <w:top w:val="none" w:sz="0" w:space="0" w:color="auto"/>
        <w:left w:val="none" w:sz="0" w:space="0" w:color="auto"/>
        <w:bottom w:val="none" w:sz="0" w:space="0" w:color="auto"/>
        <w:right w:val="none" w:sz="0" w:space="0" w:color="auto"/>
      </w:divBdr>
      <w:divsChild>
        <w:div w:id="994142533">
          <w:marLeft w:val="0"/>
          <w:marRight w:val="0"/>
          <w:marTop w:val="0"/>
          <w:marBottom w:val="0"/>
          <w:divBdr>
            <w:top w:val="none" w:sz="0" w:space="0" w:color="auto"/>
            <w:left w:val="none" w:sz="0" w:space="0" w:color="auto"/>
            <w:bottom w:val="none" w:sz="0" w:space="0" w:color="auto"/>
            <w:right w:val="none" w:sz="0" w:space="0" w:color="auto"/>
          </w:divBdr>
          <w:divsChild>
            <w:div w:id="127623844">
              <w:marLeft w:val="0"/>
              <w:marRight w:val="0"/>
              <w:marTop w:val="0"/>
              <w:marBottom w:val="0"/>
              <w:divBdr>
                <w:top w:val="none" w:sz="0" w:space="0" w:color="auto"/>
                <w:left w:val="none" w:sz="0" w:space="0" w:color="auto"/>
                <w:bottom w:val="none" w:sz="0" w:space="0" w:color="auto"/>
                <w:right w:val="none" w:sz="0" w:space="0" w:color="auto"/>
              </w:divBdr>
              <w:divsChild>
                <w:div w:id="356276974">
                  <w:marLeft w:val="0"/>
                  <w:marRight w:val="0"/>
                  <w:marTop w:val="0"/>
                  <w:marBottom w:val="0"/>
                  <w:divBdr>
                    <w:top w:val="none" w:sz="0" w:space="0" w:color="auto"/>
                    <w:left w:val="none" w:sz="0" w:space="0" w:color="auto"/>
                    <w:bottom w:val="none" w:sz="0" w:space="0" w:color="auto"/>
                    <w:right w:val="none" w:sz="0" w:space="0" w:color="auto"/>
                  </w:divBdr>
                  <w:divsChild>
                    <w:div w:id="881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270">
              <w:marLeft w:val="0"/>
              <w:marRight w:val="0"/>
              <w:marTop w:val="0"/>
              <w:marBottom w:val="0"/>
              <w:divBdr>
                <w:top w:val="none" w:sz="0" w:space="0" w:color="auto"/>
                <w:left w:val="none" w:sz="0" w:space="0" w:color="auto"/>
                <w:bottom w:val="none" w:sz="0" w:space="0" w:color="auto"/>
                <w:right w:val="none" w:sz="0" w:space="0" w:color="auto"/>
              </w:divBdr>
              <w:divsChild>
                <w:div w:id="1116564468">
                  <w:marLeft w:val="0"/>
                  <w:marRight w:val="0"/>
                  <w:marTop w:val="0"/>
                  <w:marBottom w:val="0"/>
                  <w:divBdr>
                    <w:top w:val="none" w:sz="0" w:space="0" w:color="auto"/>
                    <w:left w:val="none" w:sz="0" w:space="0" w:color="auto"/>
                    <w:bottom w:val="none" w:sz="0" w:space="0" w:color="auto"/>
                    <w:right w:val="none" w:sz="0" w:space="0" w:color="auto"/>
                  </w:divBdr>
                  <w:divsChild>
                    <w:div w:id="33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9535">
              <w:marLeft w:val="0"/>
              <w:marRight w:val="0"/>
              <w:marTop w:val="0"/>
              <w:marBottom w:val="0"/>
              <w:divBdr>
                <w:top w:val="none" w:sz="0" w:space="0" w:color="auto"/>
                <w:left w:val="none" w:sz="0" w:space="0" w:color="auto"/>
                <w:bottom w:val="none" w:sz="0" w:space="0" w:color="auto"/>
                <w:right w:val="none" w:sz="0" w:space="0" w:color="auto"/>
              </w:divBdr>
              <w:divsChild>
                <w:div w:id="931476151">
                  <w:marLeft w:val="0"/>
                  <w:marRight w:val="0"/>
                  <w:marTop w:val="0"/>
                  <w:marBottom w:val="0"/>
                  <w:divBdr>
                    <w:top w:val="none" w:sz="0" w:space="0" w:color="auto"/>
                    <w:left w:val="none" w:sz="0" w:space="0" w:color="auto"/>
                    <w:bottom w:val="none" w:sz="0" w:space="0" w:color="auto"/>
                    <w:right w:val="none" w:sz="0" w:space="0" w:color="auto"/>
                  </w:divBdr>
                  <w:divsChild>
                    <w:div w:id="642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4484">
              <w:marLeft w:val="0"/>
              <w:marRight w:val="0"/>
              <w:marTop w:val="0"/>
              <w:marBottom w:val="0"/>
              <w:divBdr>
                <w:top w:val="none" w:sz="0" w:space="0" w:color="auto"/>
                <w:left w:val="none" w:sz="0" w:space="0" w:color="auto"/>
                <w:bottom w:val="none" w:sz="0" w:space="0" w:color="auto"/>
                <w:right w:val="none" w:sz="0" w:space="0" w:color="auto"/>
              </w:divBdr>
              <w:divsChild>
                <w:div w:id="1344085366">
                  <w:marLeft w:val="0"/>
                  <w:marRight w:val="0"/>
                  <w:marTop w:val="0"/>
                  <w:marBottom w:val="0"/>
                  <w:divBdr>
                    <w:top w:val="none" w:sz="0" w:space="0" w:color="auto"/>
                    <w:left w:val="none" w:sz="0" w:space="0" w:color="auto"/>
                    <w:bottom w:val="none" w:sz="0" w:space="0" w:color="auto"/>
                    <w:right w:val="none" w:sz="0" w:space="0" w:color="auto"/>
                  </w:divBdr>
                  <w:divsChild>
                    <w:div w:id="10594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96107">
              <w:marLeft w:val="0"/>
              <w:marRight w:val="0"/>
              <w:marTop w:val="0"/>
              <w:marBottom w:val="0"/>
              <w:divBdr>
                <w:top w:val="none" w:sz="0" w:space="0" w:color="auto"/>
                <w:left w:val="none" w:sz="0" w:space="0" w:color="auto"/>
                <w:bottom w:val="none" w:sz="0" w:space="0" w:color="auto"/>
                <w:right w:val="none" w:sz="0" w:space="0" w:color="auto"/>
              </w:divBdr>
              <w:divsChild>
                <w:div w:id="1897889717">
                  <w:marLeft w:val="0"/>
                  <w:marRight w:val="0"/>
                  <w:marTop w:val="0"/>
                  <w:marBottom w:val="0"/>
                  <w:divBdr>
                    <w:top w:val="none" w:sz="0" w:space="0" w:color="auto"/>
                    <w:left w:val="none" w:sz="0" w:space="0" w:color="auto"/>
                    <w:bottom w:val="none" w:sz="0" w:space="0" w:color="auto"/>
                    <w:right w:val="none" w:sz="0" w:space="0" w:color="auto"/>
                  </w:divBdr>
                  <w:divsChild>
                    <w:div w:id="14148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4627">
              <w:marLeft w:val="0"/>
              <w:marRight w:val="0"/>
              <w:marTop w:val="0"/>
              <w:marBottom w:val="0"/>
              <w:divBdr>
                <w:top w:val="none" w:sz="0" w:space="0" w:color="auto"/>
                <w:left w:val="none" w:sz="0" w:space="0" w:color="auto"/>
                <w:bottom w:val="none" w:sz="0" w:space="0" w:color="auto"/>
                <w:right w:val="none" w:sz="0" w:space="0" w:color="auto"/>
              </w:divBdr>
              <w:divsChild>
                <w:div w:id="1989673730">
                  <w:marLeft w:val="0"/>
                  <w:marRight w:val="0"/>
                  <w:marTop w:val="0"/>
                  <w:marBottom w:val="0"/>
                  <w:divBdr>
                    <w:top w:val="none" w:sz="0" w:space="0" w:color="auto"/>
                    <w:left w:val="none" w:sz="0" w:space="0" w:color="auto"/>
                    <w:bottom w:val="none" w:sz="0" w:space="0" w:color="auto"/>
                    <w:right w:val="none" w:sz="0" w:space="0" w:color="auto"/>
                  </w:divBdr>
                  <w:divsChild>
                    <w:div w:id="13211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08069">
              <w:marLeft w:val="0"/>
              <w:marRight w:val="0"/>
              <w:marTop w:val="0"/>
              <w:marBottom w:val="0"/>
              <w:divBdr>
                <w:top w:val="none" w:sz="0" w:space="0" w:color="auto"/>
                <w:left w:val="none" w:sz="0" w:space="0" w:color="auto"/>
                <w:bottom w:val="none" w:sz="0" w:space="0" w:color="auto"/>
                <w:right w:val="none" w:sz="0" w:space="0" w:color="auto"/>
              </w:divBdr>
              <w:divsChild>
                <w:div w:id="1725830041">
                  <w:marLeft w:val="0"/>
                  <w:marRight w:val="0"/>
                  <w:marTop w:val="0"/>
                  <w:marBottom w:val="0"/>
                  <w:divBdr>
                    <w:top w:val="none" w:sz="0" w:space="0" w:color="auto"/>
                    <w:left w:val="none" w:sz="0" w:space="0" w:color="auto"/>
                    <w:bottom w:val="none" w:sz="0" w:space="0" w:color="auto"/>
                    <w:right w:val="none" w:sz="0" w:space="0" w:color="auto"/>
                  </w:divBdr>
                  <w:divsChild>
                    <w:div w:id="9408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6699">
              <w:marLeft w:val="0"/>
              <w:marRight w:val="0"/>
              <w:marTop w:val="0"/>
              <w:marBottom w:val="0"/>
              <w:divBdr>
                <w:top w:val="none" w:sz="0" w:space="0" w:color="auto"/>
                <w:left w:val="none" w:sz="0" w:space="0" w:color="auto"/>
                <w:bottom w:val="none" w:sz="0" w:space="0" w:color="auto"/>
                <w:right w:val="none" w:sz="0" w:space="0" w:color="auto"/>
              </w:divBdr>
              <w:divsChild>
                <w:div w:id="1399523822">
                  <w:marLeft w:val="0"/>
                  <w:marRight w:val="0"/>
                  <w:marTop w:val="0"/>
                  <w:marBottom w:val="0"/>
                  <w:divBdr>
                    <w:top w:val="none" w:sz="0" w:space="0" w:color="auto"/>
                    <w:left w:val="none" w:sz="0" w:space="0" w:color="auto"/>
                    <w:bottom w:val="none" w:sz="0" w:space="0" w:color="auto"/>
                    <w:right w:val="none" w:sz="0" w:space="0" w:color="auto"/>
                  </w:divBdr>
                  <w:divsChild>
                    <w:div w:id="5909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9974">
              <w:marLeft w:val="0"/>
              <w:marRight w:val="0"/>
              <w:marTop w:val="0"/>
              <w:marBottom w:val="0"/>
              <w:divBdr>
                <w:top w:val="none" w:sz="0" w:space="0" w:color="auto"/>
                <w:left w:val="none" w:sz="0" w:space="0" w:color="auto"/>
                <w:bottom w:val="none" w:sz="0" w:space="0" w:color="auto"/>
                <w:right w:val="none" w:sz="0" w:space="0" w:color="auto"/>
              </w:divBdr>
              <w:divsChild>
                <w:div w:id="290402237">
                  <w:marLeft w:val="0"/>
                  <w:marRight w:val="0"/>
                  <w:marTop w:val="0"/>
                  <w:marBottom w:val="0"/>
                  <w:divBdr>
                    <w:top w:val="none" w:sz="0" w:space="0" w:color="auto"/>
                    <w:left w:val="none" w:sz="0" w:space="0" w:color="auto"/>
                    <w:bottom w:val="none" w:sz="0" w:space="0" w:color="auto"/>
                    <w:right w:val="none" w:sz="0" w:space="0" w:color="auto"/>
                  </w:divBdr>
                  <w:divsChild>
                    <w:div w:id="1529173659">
                      <w:marLeft w:val="0"/>
                      <w:marRight w:val="0"/>
                      <w:marTop w:val="0"/>
                      <w:marBottom w:val="0"/>
                      <w:divBdr>
                        <w:top w:val="none" w:sz="0" w:space="0" w:color="auto"/>
                        <w:left w:val="none" w:sz="0" w:space="0" w:color="auto"/>
                        <w:bottom w:val="none" w:sz="0" w:space="0" w:color="auto"/>
                        <w:right w:val="none" w:sz="0" w:space="0" w:color="auto"/>
                      </w:divBdr>
                      <w:divsChild>
                        <w:div w:id="155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238">
                  <w:marLeft w:val="0"/>
                  <w:marRight w:val="0"/>
                  <w:marTop w:val="0"/>
                  <w:marBottom w:val="0"/>
                  <w:divBdr>
                    <w:top w:val="none" w:sz="0" w:space="0" w:color="auto"/>
                    <w:left w:val="none" w:sz="0" w:space="0" w:color="auto"/>
                    <w:bottom w:val="none" w:sz="0" w:space="0" w:color="auto"/>
                    <w:right w:val="none" w:sz="0" w:space="0" w:color="auto"/>
                  </w:divBdr>
                  <w:divsChild>
                    <w:div w:id="520895126">
                      <w:marLeft w:val="0"/>
                      <w:marRight w:val="0"/>
                      <w:marTop w:val="0"/>
                      <w:marBottom w:val="0"/>
                      <w:divBdr>
                        <w:top w:val="none" w:sz="0" w:space="0" w:color="auto"/>
                        <w:left w:val="none" w:sz="0" w:space="0" w:color="auto"/>
                        <w:bottom w:val="none" w:sz="0" w:space="0" w:color="auto"/>
                        <w:right w:val="none" w:sz="0" w:space="0" w:color="auto"/>
                      </w:divBdr>
                      <w:divsChild>
                        <w:div w:id="7530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3427">
                  <w:marLeft w:val="0"/>
                  <w:marRight w:val="0"/>
                  <w:marTop w:val="0"/>
                  <w:marBottom w:val="0"/>
                  <w:divBdr>
                    <w:top w:val="none" w:sz="0" w:space="0" w:color="auto"/>
                    <w:left w:val="none" w:sz="0" w:space="0" w:color="auto"/>
                    <w:bottom w:val="none" w:sz="0" w:space="0" w:color="auto"/>
                    <w:right w:val="none" w:sz="0" w:space="0" w:color="auto"/>
                  </w:divBdr>
                  <w:divsChild>
                    <w:div w:id="1474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96693">
          <w:marLeft w:val="0"/>
          <w:marRight w:val="0"/>
          <w:marTop w:val="0"/>
          <w:marBottom w:val="0"/>
          <w:divBdr>
            <w:top w:val="none" w:sz="0" w:space="0" w:color="auto"/>
            <w:left w:val="none" w:sz="0" w:space="0" w:color="auto"/>
            <w:bottom w:val="none" w:sz="0" w:space="0" w:color="auto"/>
            <w:right w:val="none" w:sz="0" w:space="0" w:color="auto"/>
          </w:divBdr>
          <w:divsChild>
            <w:div w:id="1852406255">
              <w:marLeft w:val="0"/>
              <w:marRight w:val="0"/>
              <w:marTop w:val="0"/>
              <w:marBottom w:val="0"/>
              <w:divBdr>
                <w:top w:val="none" w:sz="0" w:space="0" w:color="auto"/>
                <w:left w:val="none" w:sz="0" w:space="0" w:color="auto"/>
                <w:bottom w:val="none" w:sz="0" w:space="0" w:color="auto"/>
                <w:right w:val="none" w:sz="0" w:space="0" w:color="auto"/>
              </w:divBdr>
              <w:divsChild>
                <w:div w:id="50910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7514">
      <w:bodyDiv w:val="1"/>
      <w:marLeft w:val="0"/>
      <w:marRight w:val="0"/>
      <w:marTop w:val="0"/>
      <w:marBottom w:val="0"/>
      <w:divBdr>
        <w:top w:val="none" w:sz="0" w:space="0" w:color="auto"/>
        <w:left w:val="none" w:sz="0" w:space="0" w:color="auto"/>
        <w:bottom w:val="none" w:sz="0" w:space="0" w:color="auto"/>
        <w:right w:val="none" w:sz="0" w:space="0" w:color="auto"/>
      </w:divBdr>
    </w:div>
    <w:div w:id="1153377766">
      <w:bodyDiv w:val="1"/>
      <w:marLeft w:val="0"/>
      <w:marRight w:val="0"/>
      <w:marTop w:val="0"/>
      <w:marBottom w:val="0"/>
      <w:divBdr>
        <w:top w:val="none" w:sz="0" w:space="0" w:color="auto"/>
        <w:left w:val="none" w:sz="0" w:space="0" w:color="auto"/>
        <w:bottom w:val="none" w:sz="0" w:space="0" w:color="auto"/>
        <w:right w:val="none" w:sz="0" w:space="0" w:color="auto"/>
      </w:divBdr>
      <w:divsChild>
        <w:div w:id="219824274">
          <w:marLeft w:val="0"/>
          <w:marRight w:val="0"/>
          <w:marTop w:val="0"/>
          <w:marBottom w:val="0"/>
          <w:divBdr>
            <w:top w:val="none" w:sz="0" w:space="0" w:color="auto"/>
            <w:left w:val="none" w:sz="0" w:space="0" w:color="auto"/>
            <w:bottom w:val="none" w:sz="0" w:space="0" w:color="auto"/>
            <w:right w:val="none" w:sz="0" w:space="0" w:color="auto"/>
          </w:divBdr>
          <w:divsChild>
            <w:div w:id="34740523">
              <w:marLeft w:val="0"/>
              <w:marRight w:val="0"/>
              <w:marTop w:val="0"/>
              <w:marBottom w:val="0"/>
              <w:divBdr>
                <w:top w:val="none" w:sz="0" w:space="0" w:color="auto"/>
                <w:left w:val="none" w:sz="0" w:space="0" w:color="auto"/>
                <w:bottom w:val="none" w:sz="0" w:space="0" w:color="auto"/>
                <w:right w:val="none" w:sz="0" w:space="0" w:color="auto"/>
              </w:divBdr>
            </w:div>
          </w:divsChild>
        </w:div>
        <w:div w:id="2138178937">
          <w:marLeft w:val="0"/>
          <w:marRight w:val="0"/>
          <w:marTop w:val="0"/>
          <w:marBottom w:val="0"/>
          <w:divBdr>
            <w:top w:val="none" w:sz="0" w:space="0" w:color="auto"/>
            <w:left w:val="none" w:sz="0" w:space="0" w:color="auto"/>
            <w:bottom w:val="none" w:sz="0" w:space="0" w:color="auto"/>
            <w:right w:val="none" w:sz="0" w:space="0" w:color="auto"/>
          </w:divBdr>
          <w:divsChild>
            <w:div w:id="9888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5378">
      <w:bodyDiv w:val="1"/>
      <w:marLeft w:val="0"/>
      <w:marRight w:val="0"/>
      <w:marTop w:val="0"/>
      <w:marBottom w:val="0"/>
      <w:divBdr>
        <w:top w:val="none" w:sz="0" w:space="0" w:color="auto"/>
        <w:left w:val="none" w:sz="0" w:space="0" w:color="auto"/>
        <w:bottom w:val="none" w:sz="0" w:space="0" w:color="auto"/>
        <w:right w:val="none" w:sz="0" w:space="0" w:color="auto"/>
      </w:divBdr>
    </w:div>
    <w:div w:id="1334189086">
      <w:bodyDiv w:val="1"/>
      <w:marLeft w:val="0"/>
      <w:marRight w:val="0"/>
      <w:marTop w:val="0"/>
      <w:marBottom w:val="0"/>
      <w:divBdr>
        <w:top w:val="none" w:sz="0" w:space="0" w:color="auto"/>
        <w:left w:val="none" w:sz="0" w:space="0" w:color="auto"/>
        <w:bottom w:val="none" w:sz="0" w:space="0" w:color="auto"/>
        <w:right w:val="none" w:sz="0" w:space="0" w:color="auto"/>
      </w:divBdr>
      <w:divsChild>
        <w:div w:id="66080375">
          <w:marLeft w:val="0"/>
          <w:marRight w:val="0"/>
          <w:marTop w:val="0"/>
          <w:marBottom w:val="0"/>
          <w:divBdr>
            <w:top w:val="none" w:sz="0" w:space="0" w:color="auto"/>
            <w:left w:val="none" w:sz="0" w:space="0" w:color="auto"/>
            <w:bottom w:val="none" w:sz="0" w:space="0" w:color="auto"/>
            <w:right w:val="none" w:sz="0" w:space="0" w:color="auto"/>
          </w:divBdr>
        </w:div>
        <w:div w:id="115754667">
          <w:marLeft w:val="0"/>
          <w:marRight w:val="0"/>
          <w:marTop w:val="0"/>
          <w:marBottom w:val="0"/>
          <w:divBdr>
            <w:top w:val="none" w:sz="0" w:space="0" w:color="auto"/>
            <w:left w:val="none" w:sz="0" w:space="0" w:color="auto"/>
            <w:bottom w:val="none" w:sz="0" w:space="0" w:color="auto"/>
            <w:right w:val="none" w:sz="0" w:space="0" w:color="auto"/>
          </w:divBdr>
        </w:div>
        <w:div w:id="216555364">
          <w:marLeft w:val="0"/>
          <w:marRight w:val="0"/>
          <w:marTop w:val="0"/>
          <w:marBottom w:val="0"/>
          <w:divBdr>
            <w:top w:val="none" w:sz="0" w:space="0" w:color="auto"/>
            <w:left w:val="none" w:sz="0" w:space="0" w:color="auto"/>
            <w:bottom w:val="none" w:sz="0" w:space="0" w:color="auto"/>
            <w:right w:val="none" w:sz="0" w:space="0" w:color="auto"/>
          </w:divBdr>
        </w:div>
        <w:div w:id="333843660">
          <w:marLeft w:val="0"/>
          <w:marRight w:val="0"/>
          <w:marTop w:val="0"/>
          <w:marBottom w:val="0"/>
          <w:divBdr>
            <w:top w:val="none" w:sz="0" w:space="0" w:color="auto"/>
            <w:left w:val="none" w:sz="0" w:space="0" w:color="auto"/>
            <w:bottom w:val="none" w:sz="0" w:space="0" w:color="auto"/>
            <w:right w:val="none" w:sz="0" w:space="0" w:color="auto"/>
          </w:divBdr>
        </w:div>
        <w:div w:id="431512654">
          <w:marLeft w:val="0"/>
          <w:marRight w:val="0"/>
          <w:marTop w:val="0"/>
          <w:marBottom w:val="0"/>
          <w:divBdr>
            <w:top w:val="none" w:sz="0" w:space="0" w:color="auto"/>
            <w:left w:val="none" w:sz="0" w:space="0" w:color="auto"/>
            <w:bottom w:val="none" w:sz="0" w:space="0" w:color="auto"/>
            <w:right w:val="none" w:sz="0" w:space="0" w:color="auto"/>
          </w:divBdr>
        </w:div>
        <w:div w:id="486288832">
          <w:marLeft w:val="0"/>
          <w:marRight w:val="0"/>
          <w:marTop w:val="0"/>
          <w:marBottom w:val="0"/>
          <w:divBdr>
            <w:top w:val="none" w:sz="0" w:space="0" w:color="auto"/>
            <w:left w:val="none" w:sz="0" w:space="0" w:color="auto"/>
            <w:bottom w:val="none" w:sz="0" w:space="0" w:color="auto"/>
            <w:right w:val="none" w:sz="0" w:space="0" w:color="auto"/>
          </w:divBdr>
        </w:div>
        <w:div w:id="537209196">
          <w:marLeft w:val="0"/>
          <w:marRight w:val="0"/>
          <w:marTop w:val="0"/>
          <w:marBottom w:val="0"/>
          <w:divBdr>
            <w:top w:val="none" w:sz="0" w:space="0" w:color="auto"/>
            <w:left w:val="none" w:sz="0" w:space="0" w:color="auto"/>
            <w:bottom w:val="none" w:sz="0" w:space="0" w:color="auto"/>
            <w:right w:val="none" w:sz="0" w:space="0" w:color="auto"/>
          </w:divBdr>
        </w:div>
        <w:div w:id="560672911">
          <w:marLeft w:val="0"/>
          <w:marRight w:val="0"/>
          <w:marTop w:val="0"/>
          <w:marBottom w:val="0"/>
          <w:divBdr>
            <w:top w:val="none" w:sz="0" w:space="0" w:color="auto"/>
            <w:left w:val="none" w:sz="0" w:space="0" w:color="auto"/>
            <w:bottom w:val="none" w:sz="0" w:space="0" w:color="auto"/>
            <w:right w:val="none" w:sz="0" w:space="0" w:color="auto"/>
          </w:divBdr>
        </w:div>
        <w:div w:id="902174866">
          <w:marLeft w:val="0"/>
          <w:marRight w:val="0"/>
          <w:marTop w:val="0"/>
          <w:marBottom w:val="0"/>
          <w:divBdr>
            <w:top w:val="none" w:sz="0" w:space="0" w:color="auto"/>
            <w:left w:val="none" w:sz="0" w:space="0" w:color="auto"/>
            <w:bottom w:val="none" w:sz="0" w:space="0" w:color="auto"/>
            <w:right w:val="none" w:sz="0" w:space="0" w:color="auto"/>
          </w:divBdr>
        </w:div>
        <w:div w:id="990989496">
          <w:marLeft w:val="0"/>
          <w:marRight w:val="0"/>
          <w:marTop w:val="0"/>
          <w:marBottom w:val="0"/>
          <w:divBdr>
            <w:top w:val="none" w:sz="0" w:space="0" w:color="auto"/>
            <w:left w:val="none" w:sz="0" w:space="0" w:color="auto"/>
            <w:bottom w:val="none" w:sz="0" w:space="0" w:color="auto"/>
            <w:right w:val="none" w:sz="0" w:space="0" w:color="auto"/>
          </w:divBdr>
        </w:div>
        <w:div w:id="1032607659">
          <w:marLeft w:val="0"/>
          <w:marRight w:val="0"/>
          <w:marTop w:val="0"/>
          <w:marBottom w:val="0"/>
          <w:divBdr>
            <w:top w:val="none" w:sz="0" w:space="0" w:color="auto"/>
            <w:left w:val="none" w:sz="0" w:space="0" w:color="auto"/>
            <w:bottom w:val="none" w:sz="0" w:space="0" w:color="auto"/>
            <w:right w:val="none" w:sz="0" w:space="0" w:color="auto"/>
          </w:divBdr>
        </w:div>
        <w:div w:id="1138110729">
          <w:marLeft w:val="0"/>
          <w:marRight w:val="0"/>
          <w:marTop w:val="0"/>
          <w:marBottom w:val="0"/>
          <w:divBdr>
            <w:top w:val="none" w:sz="0" w:space="0" w:color="auto"/>
            <w:left w:val="none" w:sz="0" w:space="0" w:color="auto"/>
            <w:bottom w:val="none" w:sz="0" w:space="0" w:color="auto"/>
            <w:right w:val="none" w:sz="0" w:space="0" w:color="auto"/>
          </w:divBdr>
        </w:div>
        <w:div w:id="1197498270">
          <w:marLeft w:val="0"/>
          <w:marRight w:val="0"/>
          <w:marTop w:val="0"/>
          <w:marBottom w:val="0"/>
          <w:divBdr>
            <w:top w:val="none" w:sz="0" w:space="0" w:color="auto"/>
            <w:left w:val="none" w:sz="0" w:space="0" w:color="auto"/>
            <w:bottom w:val="none" w:sz="0" w:space="0" w:color="auto"/>
            <w:right w:val="none" w:sz="0" w:space="0" w:color="auto"/>
          </w:divBdr>
        </w:div>
        <w:div w:id="1255440083">
          <w:marLeft w:val="0"/>
          <w:marRight w:val="0"/>
          <w:marTop w:val="0"/>
          <w:marBottom w:val="0"/>
          <w:divBdr>
            <w:top w:val="none" w:sz="0" w:space="0" w:color="auto"/>
            <w:left w:val="none" w:sz="0" w:space="0" w:color="auto"/>
            <w:bottom w:val="none" w:sz="0" w:space="0" w:color="auto"/>
            <w:right w:val="none" w:sz="0" w:space="0" w:color="auto"/>
          </w:divBdr>
        </w:div>
        <w:div w:id="1293051086">
          <w:marLeft w:val="0"/>
          <w:marRight w:val="0"/>
          <w:marTop w:val="0"/>
          <w:marBottom w:val="0"/>
          <w:divBdr>
            <w:top w:val="none" w:sz="0" w:space="0" w:color="auto"/>
            <w:left w:val="none" w:sz="0" w:space="0" w:color="auto"/>
            <w:bottom w:val="none" w:sz="0" w:space="0" w:color="auto"/>
            <w:right w:val="none" w:sz="0" w:space="0" w:color="auto"/>
          </w:divBdr>
        </w:div>
        <w:div w:id="1627850963">
          <w:marLeft w:val="0"/>
          <w:marRight w:val="0"/>
          <w:marTop w:val="0"/>
          <w:marBottom w:val="0"/>
          <w:divBdr>
            <w:top w:val="none" w:sz="0" w:space="0" w:color="auto"/>
            <w:left w:val="none" w:sz="0" w:space="0" w:color="auto"/>
            <w:bottom w:val="none" w:sz="0" w:space="0" w:color="auto"/>
            <w:right w:val="none" w:sz="0" w:space="0" w:color="auto"/>
          </w:divBdr>
        </w:div>
        <w:div w:id="1654522340">
          <w:marLeft w:val="0"/>
          <w:marRight w:val="0"/>
          <w:marTop w:val="0"/>
          <w:marBottom w:val="0"/>
          <w:divBdr>
            <w:top w:val="none" w:sz="0" w:space="0" w:color="auto"/>
            <w:left w:val="none" w:sz="0" w:space="0" w:color="auto"/>
            <w:bottom w:val="none" w:sz="0" w:space="0" w:color="auto"/>
            <w:right w:val="none" w:sz="0" w:space="0" w:color="auto"/>
          </w:divBdr>
        </w:div>
        <w:div w:id="1711107522">
          <w:marLeft w:val="0"/>
          <w:marRight w:val="0"/>
          <w:marTop w:val="0"/>
          <w:marBottom w:val="0"/>
          <w:divBdr>
            <w:top w:val="none" w:sz="0" w:space="0" w:color="auto"/>
            <w:left w:val="none" w:sz="0" w:space="0" w:color="auto"/>
            <w:bottom w:val="none" w:sz="0" w:space="0" w:color="auto"/>
            <w:right w:val="none" w:sz="0" w:space="0" w:color="auto"/>
          </w:divBdr>
        </w:div>
        <w:div w:id="1721439571">
          <w:marLeft w:val="0"/>
          <w:marRight w:val="0"/>
          <w:marTop w:val="0"/>
          <w:marBottom w:val="0"/>
          <w:divBdr>
            <w:top w:val="none" w:sz="0" w:space="0" w:color="auto"/>
            <w:left w:val="none" w:sz="0" w:space="0" w:color="auto"/>
            <w:bottom w:val="none" w:sz="0" w:space="0" w:color="auto"/>
            <w:right w:val="none" w:sz="0" w:space="0" w:color="auto"/>
          </w:divBdr>
        </w:div>
        <w:div w:id="1732581045">
          <w:marLeft w:val="0"/>
          <w:marRight w:val="0"/>
          <w:marTop w:val="0"/>
          <w:marBottom w:val="0"/>
          <w:divBdr>
            <w:top w:val="none" w:sz="0" w:space="0" w:color="auto"/>
            <w:left w:val="none" w:sz="0" w:space="0" w:color="auto"/>
            <w:bottom w:val="none" w:sz="0" w:space="0" w:color="auto"/>
            <w:right w:val="none" w:sz="0" w:space="0" w:color="auto"/>
          </w:divBdr>
        </w:div>
        <w:div w:id="1990476187">
          <w:marLeft w:val="0"/>
          <w:marRight w:val="0"/>
          <w:marTop w:val="0"/>
          <w:marBottom w:val="0"/>
          <w:divBdr>
            <w:top w:val="none" w:sz="0" w:space="0" w:color="auto"/>
            <w:left w:val="none" w:sz="0" w:space="0" w:color="auto"/>
            <w:bottom w:val="none" w:sz="0" w:space="0" w:color="auto"/>
            <w:right w:val="none" w:sz="0" w:space="0" w:color="auto"/>
          </w:divBdr>
        </w:div>
      </w:divsChild>
    </w:div>
    <w:div w:id="1373190307">
      <w:bodyDiv w:val="1"/>
      <w:marLeft w:val="0"/>
      <w:marRight w:val="0"/>
      <w:marTop w:val="0"/>
      <w:marBottom w:val="0"/>
      <w:divBdr>
        <w:top w:val="none" w:sz="0" w:space="0" w:color="auto"/>
        <w:left w:val="none" w:sz="0" w:space="0" w:color="auto"/>
        <w:bottom w:val="none" w:sz="0" w:space="0" w:color="auto"/>
        <w:right w:val="none" w:sz="0" w:space="0" w:color="auto"/>
      </w:divBdr>
      <w:divsChild>
        <w:div w:id="689988470">
          <w:marLeft w:val="0"/>
          <w:marRight w:val="0"/>
          <w:marTop w:val="0"/>
          <w:marBottom w:val="0"/>
          <w:divBdr>
            <w:top w:val="none" w:sz="0" w:space="0" w:color="auto"/>
            <w:left w:val="none" w:sz="0" w:space="0" w:color="auto"/>
            <w:bottom w:val="none" w:sz="0" w:space="0" w:color="auto"/>
            <w:right w:val="none" w:sz="0" w:space="0" w:color="auto"/>
          </w:divBdr>
        </w:div>
        <w:div w:id="1222255268">
          <w:marLeft w:val="0"/>
          <w:marRight w:val="0"/>
          <w:marTop w:val="0"/>
          <w:marBottom w:val="0"/>
          <w:divBdr>
            <w:top w:val="none" w:sz="0" w:space="0" w:color="auto"/>
            <w:left w:val="none" w:sz="0" w:space="0" w:color="auto"/>
            <w:bottom w:val="none" w:sz="0" w:space="0" w:color="auto"/>
            <w:right w:val="none" w:sz="0" w:space="0" w:color="auto"/>
          </w:divBdr>
        </w:div>
        <w:div w:id="1229995180">
          <w:marLeft w:val="0"/>
          <w:marRight w:val="0"/>
          <w:marTop w:val="0"/>
          <w:marBottom w:val="0"/>
          <w:divBdr>
            <w:top w:val="none" w:sz="0" w:space="0" w:color="auto"/>
            <w:left w:val="none" w:sz="0" w:space="0" w:color="auto"/>
            <w:bottom w:val="none" w:sz="0" w:space="0" w:color="auto"/>
            <w:right w:val="none" w:sz="0" w:space="0" w:color="auto"/>
          </w:divBdr>
        </w:div>
        <w:div w:id="1350449848">
          <w:marLeft w:val="0"/>
          <w:marRight w:val="0"/>
          <w:marTop w:val="0"/>
          <w:marBottom w:val="0"/>
          <w:divBdr>
            <w:top w:val="none" w:sz="0" w:space="0" w:color="auto"/>
            <w:left w:val="none" w:sz="0" w:space="0" w:color="auto"/>
            <w:bottom w:val="none" w:sz="0" w:space="0" w:color="auto"/>
            <w:right w:val="none" w:sz="0" w:space="0" w:color="auto"/>
          </w:divBdr>
        </w:div>
        <w:div w:id="1890796949">
          <w:marLeft w:val="0"/>
          <w:marRight w:val="0"/>
          <w:marTop w:val="0"/>
          <w:marBottom w:val="0"/>
          <w:divBdr>
            <w:top w:val="none" w:sz="0" w:space="0" w:color="auto"/>
            <w:left w:val="none" w:sz="0" w:space="0" w:color="auto"/>
            <w:bottom w:val="none" w:sz="0" w:space="0" w:color="auto"/>
            <w:right w:val="none" w:sz="0" w:space="0" w:color="auto"/>
          </w:divBdr>
        </w:div>
        <w:div w:id="2001538989">
          <w:marLeft w:val="0"/>
          <w:marRight w:val="0"/>
          <w:marTop w:val="0"/>
          <w:marBottom w:val="0"/>
          <w:divBdr>
            <w:top w:val="none" w:sz="0" w:space="0" w:color="auto"/>
            <w:left w:val="none" w:sz="0" w:space="0" w:color="auto"/>
            <w:bottom w:val="none" w:sz="0" w:space="0" w:color="auto"/>
            <w:right w:val="none" w:sz="0" w:space="0" w:color="auto"/>
          </w:divBdr>
        </w:div>
        <w:div w:id="2092047557">
          <w:marLeft w:val="0"/>
          <w:marRight w:val="0"/>
          <w:marTop w:val="0"/>
          <w:marBottom w:val="0"/>
          <w:divBdr>
            <w:top w:val="none" w:sz="0" w:space="0" w:color="auto"/>
            <w:left w:val="none" w:sz="0" w:space="0" w:color="auto"/>
            <w:bottom w:val="none" w:sz="0" w:space="0" w:color="auto"/>
            <w:right w:val="none" w:sz="0" w:space="0" w:color="auto"/>
          </w:divBdr>
        </w:div>
      </w:divsChild>
    </w:div>
    <w:div w:id="1480464914">
      <w:bodyDiv w:val="1"/>
      <w:marLeft w:val="0"/>
      <w:marRight w:val="0"/>
      <w:marTop w:val="0"/>
      <w:marBottom w:val="0"/>
      <w:divBdr>
        <w:top w:val="none" w:sz="0" w:space="0" w:color="auto"/>
        <w:left w:val="none" w:sz="0" w:space="0" w:color="auto"/>
        <w:bottom w:val="none" w:sz="0" w:space="0" w:color="auto"/>
        <w:right w:val="none" w:sz="0" w:space="0" w:color="auto"/>
      </w:divBdr>
      <w:divsChild>
        <w:div w:id="466825048">
          <w:marLeft w:val="0"/>
          <w:marRight w:val="0"/>
          <w:marTop w:val="0"/>
          <w:marBottom w:val="0"/>
          <w:divBdr>
            <w:top w:val="none" w:sz="0" w:space="0" w:color="auto"/>
            <w:left w:val="none" w:sz="0" w:space="0" w:color="auto"/>
            <w:bottom w:val="none" w:sz="0" w:space="0" w:color="auto"/>
            <w:right w:val="none" w:sz="0" w:space="0" w:color="auto"/>
          </w:divBdr>
        </w:div>
        <w:div w:id="609750326">
          <w:marLeft w:val="0"/>
          <w:marRight w:val="0"/>
          <w:marTop w:val="0"/>
          <w:marBottom w:val="0"/>
          <w:divBdr>
            <w:top w:val="none" w:sz="0" w:space="0" w:color="auto"/>
            <w:left w:val="none" w:sz="0" w:space="0" w:color="auto"/>
            <w:bottom w:val="none" w:sz="0" w:space="0" w:color="auto"/>
            <w:right w:val="none" w:sz="0" w:space="0" w:color="auto"/>
          </w:divBdr>
        </w:div>
        <w:div w:id="1677076021">
          <w:marLeft w:val="0"/>
          <w:marRight w:val="0"/>
          <w:marTop w:val="0"/>
          <w:marBottom w:val="0"/>
          <w:divBdr>
            <w:top w:val="none" w:sz="0" w:space="0" w:color="auto"/>
            <w:left w:val="none" w:sz="0" w:space="0" w:color="auto"/>
            <w:bottom w:val="none" w:sz="0" w:space="0" w:color="auto"/>
            <w:right w:val="none" w:sz="0" w:space="0" w:color="auto"/>
          </w:divBdr>
          <w:divsChild>
            <w:div w:id="1663971160">
              <w:marLeft w:val="0"/>
              <w:marRight w:val="0"/>
              <w:marTop w:val="0"/>
              <w:marBottom w:val="0"/>
              <w:divBdr>
                <w:top w:val="none" w:sz="0" w:space="0" w:color="auto"/>
                <w:left w:val="none" w:sz="0" w:space="0" w:color="auto"/>
                <w:bottom w:val="none" w:sz="0" w:space="0" w:color="auto"/>
                <w:right w:val="none" w:sz="0" w:space="0" w:color="auto"/>
              </w:divBdr>
            </w:div>
          </w:divsChild>
        </w:div>
        <w:div w:id="2036038859">
          <w:marLeft w:val="0"/>
          <w:marRight w:val="0"/>
          <w:marTop w:val="0"/>
          <w:marBottom w:val="0"/>
          <w:divBdr>
            <w:top w:val="none" w:sz="0" w:space="0" w:color="auto"/>
            <w:left w:val="none" w:sz="0" w:space="0" w:color="auto"/>
            <w:bottom w:val="none" w:sz="0" w:space="0" w:color="auto"/>
            <w:right w:val="none" w:sz="0" w:space="0" w:color="auto"/>
          </w:divBdr>
          <w:divsChild>
            <w:div w:id="16173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2151">
      <w:bodyDiv w:val="1"/>
      <w:marLeft w:val="0"/>
      <w:marRight w:val="0"/>
      <w:marTop w:val="0"/>
      <w:marBottom w:val="0"/>
      <w:divBdr>
        <w:top w:val="none" w:sz="0" w:space="0" w:color="auto"/>
        <w:left w:val="none" w:sz="0" w:space="0" w:color="auto"/>
        <w:bottom w:val="none" w:sz="0" w:space="0" w:color="auto"/>
        <w:right w:val="none" w:sz="0" w:space="0" w:color="auto"/>
      </w:divBdr>
      <w:divsChild>
        <w:div w:id="622082125">
          <w:marLeft w:val="0"/>
          <w:marRight w:val="0"/>
          <w:marTop w:val="0"/>
          <w:marBottom w:val="0"/>
          <w:divBdr>
            <w:top w:val="none" w:sz="0" w:space="0" w:color="auto"/>
            <w:left w:val="none" w:sz="0" w:space="0" w:color="auto"/>
            <w:bottom w:val="none" w:sz="0" w:space="0" w:color="auto"/>
            <w:right w:val="none" w:sz="0" w:space="0" w:color="auto"/>
          </w:divBdr>
          <w:divsChild>
            <w:div w:id="1982076507">
              <w:marLeft w:val="0"/>
              <w:marRight w:val="0"/>
              <w:marTop w:val="0"/>
              <w:marBottom w:val="0"/>
              <w:divBdr>
                <w:top w:val="none" w:sz="0" w:space="0" w:color="auto"/>
                <w:left w:val="none" w:sz="0" w:space="0" w:color="auto"/>
                <w:bottom w:val="none" w:sz="0" w:space="0" w:color="auto"/>
                <w:right w:val="none" w:sz="0" w:space="0" w:color="auto"/>
              </w:divBdr>
              <w:divsChild>
                <w:div w:id="1695963032">
                  <w:blockQuote w:val="1"/>
                  <w:marLeft w:val="0"/>
                  <w:marRight w:val="0"/>
                  <w:marTop w:val="0"/>
                  <w:marBottom w:val="0"/>
                  <w:divBdr>
                    <w:top w:val="none" w:sz="0" w:space="0" w:color="auto"/>
                    <w:left w:val="none" w:sz="0" w:space="0" w:color="auto"/>
                    <w:bottom w:val="none" w:sz="0" w:space="0" w:color="auto"/>
                    <w:right w:val="none" w:sz="0" w:space="0" w:color="auto"/>
                  </w:divBdr>
                  <w:divsChild>
                    <w:div w:id="16277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5804">
          <w:marLeft w:val="0"/>
          <w:marRight w:val="0"/>
          <w:marTop w:val="0"/>
          <w:marBottom w:val="0"/>
          <w:divBdr>
            <w:top w:val="none" w:sz="0" w:space="0" w:color="auto"/>
            <w:left w:val="none" w:sz="0" w:space="0" w:color="auto"/>
            <w:bottom w:val="none" w:sz="0" w:space="0" w:color="auto"/>
            <w:right w:val="none" w:sz="0" w:space="0" w:color="auto"/>
          </w:divBdr>
          <w:divsChild>
            <w:div w:id="114374188">
              <w:marLeft w:val="0"/>
              <w:marRight w:val="0"/>
              <w:marTop w:val="0"/>
              <w:marBottom w:val="0"/>
              <w:divBdr>
                <w:top w:val="none" w:sz="0" w:space="0" w:color="auto"/>
                <w:left w:val="none" w:sz="0" w:space="0" w:color="auto"/>
                <w:bottom w:val="none" w:sz="0" w:space="0" w:color="auto"/>
                <w:right w:val="none" w:sz="0" w:space="0" w:color="auto"/>
              </w:divBdr>
              <w:divsChild>
                <w:div w:id="929388984">
                  <w:blockQuote w:val="1"/>
                  <w:marLeft w:val="0"/>
                  <w:marRight w:val="0"/>
                  <w:marTop w:val="0"/>
                  <w:marBottom w:val="0"/>
                  <w:divBdr>
                    <w:top w:val="none" w:sz="0" w:space="0" w:color="auto"/>
                    <w:left w:val="none" w:sz="0" w:space="0" w:color="auto"/>
                    <w:bottom w:val="none" w:sz="0" w:space="0" w:color="auto"/>
                    <w:right w:val="none" w:sz="0" w:space="0" w:color="auto"/>
                  </w:divBdr>
                  <w:divsChild>
                    <w:div w:id="21344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4726">
          <w:marLeft w:val="0"/>
          <w:marRight w:val="0"/>
          <w:marTop w:val="0"/>
          <w:marBottom w:val="0"/>
          <w:divBdr>
            <w:top w:val="none" w:sz="0" w:space="0" w:color="auto"/>
            <w:left w:val="none" w:sz="0" w:space="0" w:color="auto"/>
            <w:bottom w:val="none" w:sz="0" w:space="0" w:color="auto"/>
            <w:right w:val="none" w:sz="0" w:space="0" w:color="auto"/>
          </w:divBdr>
        </w:div>
      </w:divsChild>
    </w:div>
    <w:div w:id="1559046767">
      <w:bodyDiv w:val="1"/>
      <w:marLeft w:val="0"/>
      <w:marRight w:val="0"/>
      <w:marTop w:val="0"/>
      <w:marBottom w:val="0"/>
      <w:divBdr>
        <w:top w:val="none" w:sz="0" w:space="0" w:color="auto"/>
        <w:left w:val="none" w:sz="0" w:space="0" w:color="auto"/>
        <w:bottom w:val="none" w:sz="0" w:space="0" w:color="auto"/>
        <w:right w:val="none" w:sz="0" w:space="0" w:color="auto"/>
      </w:divBdr>
      <w:divsChild>
        <w:div w:id="1850678613">
          <w:marLeft w:val="0"/>
          <w:marRight w:val="0"/>
          <w:marTop w:val="0"/>
          <w:marBottom w:val="0"/>
          <w:divBdr>
            <w:top w:val="none" w:sz="0" w:space="0" w:color="auto"/>
            <w:left w:val="none" w:sz="0" w:space="0" w:color="auto"/>
            <w:bottom w:val="none" w:sz="0" w:space="0" w:color="auto"/>
            <w:right w:val="none" w:sz="0" w:space="0" w:color="auto"/>
          </w:divBdr>
        </w:div>
      </w:divsChild>
    </w:div>
    <w:div w:id="1652826700">
      <w:bodyDiv w:val="1"/>
      <w:marLeft w:val="0"/>
      <w:marRight w:val="0"/>
      <w:marTop w:val="0"/>
      <w:marBottom w:val="0"/>
      <w:divBdr>
        <w:top w:val="none" w:sz="0" w:space="0" w:color="auto"/>
        <w:left w:val="none" w:sz="0" w:space="0" w:color="auto"/>
        <w:bottom w:val="none" w:sz="0" w:space="0" w:color="auto"/>
        <w:right w:val="none" w:sz="0" w:space="0" w:color="auto"/>
      </w:divBdr>
      <w:divsChild>
        <w:div w:id="108744488">
          <w:marLeft w:val="0"/>
          <w:marRight w:val="0"/>
          <w:marTop w:val="240"/>
          <w:marBottom w:val="0"/>
          <w:divBdr>
            <w:top w:val="none" w:sz="0" w:space="0" w:color="auto"/>
            <w:left w:val="none" w:sz="0" w:space="0" w:color="auto"/>
            <w:bottom w:val="none" w:sz="0" w:space="0" w:color="auto"/>
            <w:right w:val="none" w:sz="0" w:space="0" w:color="auto"/>
          </w:divBdr>
          <w:divsChild>
            <w:div w:id="503514343">
              <w:marLeft w:val="0"/>
              <w:marRight w:val="0"/>
              <w:marTop w:val="240"/>
              <w:marBottom w:val="0"/>
              <w:divBdr>
                <w:top w:val="none" w:sz="0" w:space="0" w:color="auto"/>
                <w:left w:val="none" w:sz="0" w:space="0" w:color="auto"/>
                <w:bottom w:val="none" w:sz="0" w:space="0" w:color="auto"/>
                <w:right w:val="none" w:sz="0" w:space="0" w:color="auto"/>
              </w:divBdr>
              <w:divsChild>
                <w:div w:id="1252082680">
                  <w:marLeft w:val="0"/>
                  <w:marRight w:val="0"/>
                  <w:marTop w:val="0"/>
                  <w:marBottom w:val="0"/>
                  <w:divBdr>
                    <w:top w:val="none" w:sz="0" w:space="0" w:color="auto"/>
                    <w:left w:val="none" w:sz="0" w:space="0" w:color="auto"/>
                    <w:bottom w:val="none" w:sz="0" w:space="0" w:color="auto"/>
                    <w:right w:val="none" w:sz="0" w:space="0" w:color="auto"/>
                  </w:divBdr>
                  <w:divsChild>
                    <w:div w:id="11141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687">
              <w:marLeft w:val="0"/>
              <w:marRight w:val="0"/>
              <w:marTop w:val="240"/>
              <w:marBottom w:val="0"/>
              <w:divBdr>
                <w:top w:val="none" w:sz="0" w:space="0" w:color="auto"/>
                <w:left w:val="none" w:sz="0" w:space="0" w:color="auto"/>
                <w:bottom w:val="none" w:sz="0" w:space="0" w:color="auto"/>
                <w:right w:val="none" w:sz="0" w:space="0" w:color="auto"/>
              </w:divBdr>
              <w:divsChild>
                <w:div w:id="1217354704">
                  <w:marLeft w:val="0"/>
                  <w:marRight w:val="0"/>
                  <w:marTop w:val="0"/>
                  <w:marBottom w:val="0"/>
                  <w:divBdr>
                    <w:top w:val="none" w:sz="0" w:space="0" w:color="auto"/>
                    <w:left w:val="none" w:sz="0" w:space="0" w:color="auto"/>
                    <w:bottom w:val="none" w:sz="0" w:space="0" w:color="auto"/>
                    <w:right w:val="none" w:sz="0" w:space="0" w:color="auto"/>
                  </w:divBdr>
                  <w:divsChild>
                    <w:div w:id="5664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4530">
              <w:marLeft w:val="0"/>
              <w:marRight w:val="0"/>
              <w:marTop w:val="240"/>
              <w:marBottom w:val="0"/>
              <w:divBdr>
                <w:top w:val="none" w:sz="0" w:space="0" w:color="auto"/>
                <w:left w:val="none" w:sz="0" w:space="0" w:color="auto"/>
                <w:bottom w:val="none" w:sz="0" w:space="0" w:color="auto"/>
                <w:right w:val="none" w:sz="0" w:space="0" w:color="auto"/>
              </w:divBdr>
              <w:divsChild>
                <w:div w:id="1960453545">
                  <w:marLeft w:val="0"/>
                  <w:marRight w:val="0"/>
                  <w:marTop w:val="0"/>
                  <w:marBottom w:val="0"/>
                  <w:divBdr>
                    <w:top w:val="none" w:sz="0" w:space="0" w:color="auto"/>
                    <w:left w:val="none" w:sz="0" w:space="0" w:color="auto"/>
                    <w:bottom w:val="none" w:sz="0" w:space="0" w:color="auto"/>
                    <w:right w:val="none" w:sz="0" w:space="0" w:color="auto"/>
                  </w:divBdr>
                  <w:divsChild>
                    <w:div w:id="17217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0155">
              <w:marLeft w:val="0"/>
              <w:marRight w:val="0"/>
              <w:marTop w:val="0"/>
              <w:marBottom w:val="0"/>
              <w:divBdr>
                <w:top w:val="none" w:sz="0" w:space="0" w:color="auto"/>
                <w:left w:val="none" w:sz="0" w:space="0" w:color="auto"/>
                <w:bottom w:val="none" w:sz="0" w:space="0" w:color="auto"/>
                <w:right w:val="none" w:sz="0" w:space="0" w:color="auto"/>
              </w:divBdr>
              <w:divsChild>
                <w:div w:id="15329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50076">
          <w:marLeft w:val="0"/>
          <w:marRight w:val="0"/>
          <w:marTop w:val="240"/>
          <w:marBottom w:val="0"/>
          <w:divBdr>
            <w:top w:val="none" w:sz="0" w:space="0" w:color="auto"/>
            <w:left w:val="none" w:sz="0" w:space="0" w:color="auto"/>
            <w:bottom w:val="none" w:sz="0" w:space="0" w:color="auto"/>
            <w:right w:val="none" w:sz="0" w:space="0" w:color="auto"/>
          </w:divBdr>
          <w:divsChild>
            <w:div w:id="1290092889">
              <w:marLeft w:val="0"/>
              <w:marRight w:val="0"/>
              <w:marTop w:val="0"/>
              <w:marBottom w:val="0"/>
              <w:divBdr>
                <w:top w:val="none" w:sz="0" w:space="0" w:color="auto"/>
                <w:left w:val="none" w:sz="0" w:space="0" w:color="auto"/>
                <w:bottom w:val="none" w:sz="0" w:space="0" w:color="auto"/>
                <w:right w:val="none" w:sz="0" w:space="0" w:color="auto"/>
              </w:divBdr>
              <w:divsChild>
                <w:div w:id="18415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7452">
          <w:marLeft w:val="0"/>
          <w:marRight w:val="0"/>
          <w:marTop w:val="240"/>
          <w:marBottom w:val="0"/>
          <w:divBdr>
            <w:top w:val="none" w:sz="0" w:space="0" w:color="auto"/>
            <w:left w:val="none" w:sz="0" w:space="0" w:color="auto"/>
            <w:bottom w:val="none" w:sz="0" w:space="0" w:color="auto"/>
            <w:right w:val="none" w:sz="0" w:space="0" w:color="auto"/>
          </w:divBdr>
          <w:divsChild>
            <w:div w:id="1070468328">
              <w:marLeft w:val="0"/>
              <w:marRight w:val="0"/>
              <w:marTop w:val="0"/>
              <w:marBottom w:val="0"/>
              <w:divBdr>
                <w:top w:val="none" w:sz="0" w:space="0" w:color="auto"/>
                <w:left w:val="none" w:sz="0" w:space="0" w:color="auto"/>
                <w:bottom w:val="none" w:sz="0" w:space="0" w:color="auto"/>
                <w:right w:val="none" w:sz="0" w:space="0" w:color="auto"/>
              </w:divBdr>
              <w:divsChild>
                <w:div w:id="9723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2923">
          <w:marLeft w:val="0"/>
          <w:marRight w:val="0"/>
          <w:marTop w:val="240"/>
          <w:marBottom w:val="0"/>
          <w:divBdr>
            <w:top w:val="none" w:sz="0" w:space="0" w:color="auto"/>
            <w:left w:val="none" w:sz="0" w:space="0" w:color="auto"/>
            <w:bottom w:val="none" w:sz="0" w:space="0" w:color="auto"/>
            <w:right w:val="none" w:sz="0" w:space="0" w:color="auto"/>
          </w:divBdr>
          <w:divsChild>
            <w:div w:id="494688824">
              <w:marLeft w:val="0"/>
              <w:marRight w:val="0"/>
              <w:marTop w:val="0"/>
              <w:marBottom w:val="0"/>
              <w:divBdr>
                <w:top w:val="none" w:sz="0" w:space="0" w:color="auto"/>
                <w:left w:val="none" w:sz="0" w:space="0" w:color="auto"/>
                <w:bottom w:val="none" w:sz="0" w:space="0" w:color="auto"/>
                <w:right w:val="none" w:sz="0" w:space="0" w:color="auto"/>
              </w:divBdr>
              <w:divsChild>
                <w:div w:id="12370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49441">
          <w:marLeft w:val="0"/>
          <w:marRight w:val="0"/>
          <w:marTop w:val="240"/>
          <w:marBottom w:val="0"/>
          <w:divBdr>
            <w:top w:val="none" w:sz="0" w:space="0" w:color="auto"/>
            <w:left w:val="none" w:sz="0" w:space="0" w:color="auto"/>
            <w:bottom w:val="none" w:sz="0" w:space="0" w:color="auto"/>
            <w:right w:val="none" w:sz="0" w:space="0" w:color="auto"/>
          </w:divBdr>
          <w:divsChild>
            <w:div w:id="104276329">
              <w:marLeft w:val="0"/>
              <w:marRight w:val="0"/>
              <w:marTop w:val="0"/>
              <w:marBottom w:val="0"/>
              <w:divBdr>
                <w:top w:val="none" w:sz="0" w:space="0" w:color="auto"/>
                <w:left w:val="none" w:sz="0" w:space="0" w:color="auto"/>
                <w:bottom w:val="none" w:sz="0" w:space="0" w:color="auto"/>
                <w:right w:val="none" w:sz="0" w:space="0" w:color="auto"/>
              </w:divBdr>
              <w:divsChild>
                <w:div w:id="26450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393">
          <w:marLeft w:val="0"/>
          <w:marRight w:val="0"/>
          <w:marTop w:val="240"/>
          <w:marBottom w:val="0"/>
          <w:divBdr>
            <w:top w:val="none" w:sz="0" w:space="0" w:color="auto"/>
            <w:left w:val="none" w:sz="0" w:space="0" w:color="auto"/>
            <w:bottom w:val="none" w:sz="0" w:space="0" w:color="auto"/>
            <w:right w:val="none" w:sz="0" w:space="0" w:color="auto"/>
          </w:divBdr>
          <w:divsChild>
            <w:div w:id="1242908009">
              <w:marLeft w:val="0"/>
              <w:marRight w:val="0"/>
              <w:marTop w:val="0"/>
              <w:marBottom w:val="0"/>
              <w:divBdr>
                <w:top w:val="none" w:sz="0" w:space="0" w:color="auto"/>
                <w:left w:val="none" w:sz="0" w:space="0" w:color="auto"/>
                <w:bottom w:val="none" w:sz="0" w:space="0" w:color="auto"/>
                <w:right w:val="none" w:sz="0" w:space="0" w:color="auto"/>
              </w:divBdr>
              <w:divsChild>
                <w:div w:id="3601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3359">
          <w:marLeft w:val="0"/>
          <w:marRight w:val="0"/>
          <w:marTop w:val="240"/>
          <w:marBottom w:val="0"/>
          <w:divBdr>
            <w:top w:val="none" w:sz="0" w:space="0" w:color="auto"/>
            <w:left w:val="none" w:sz="0" w:space="0" w:color="auto"/>
            <w:bottom w:val="none" w:sz="0" w:space="0" w:color="auto"/>
            <w:right w:val="none" w:sz="0" w:space="0" w:color="auto"/>
          </w:divBdr>
          <w:divsChild>
            <w:div w:id="393353407">
              <w:marLeft w:val="0"/>
              <w:marRight w:val="0"/>
              <w:marTop w:val="0"/>
              <w:marBottom w:val="0"/>
              <w:divBdr>
                <w:top w:val="none" w:sz="0" w:space="0" w:color="auto"/>
                <w:left w:val="none" w:sz="0" w:space="0" w:color="auto"/>
                <w:bottom w:val="none" w:sz="0" w:space="0" w:color="auto"/>
                <w:right w:val="none" w:sz="0" w:space="0" w:color="auto"/>
              </w:divBdr>
              <w:divsChild>
                <w:div w:id="13873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235">
          <w:marLeft w:val="0"/>
          <w:marRight w:val="0"/>
          <w:marTop w:val="240"/>
          <w:marBottom w:val="0"/>
          <w:divBdr>
            <w:top w:val="none" w:sz="0" w:space="0" w:color="auto"/>
            <w:left w:val="none" w:sz="0" w:space="0" w:color="auto"/>
            <w:bottom w:val="none" w:sz="0" w:space="0" w:color="auto"/>
            <w:right w:val="none" w:sz="0" w:space="0" w:color="auto"/>
          </w:divBdr>
          <w:divsChild>
            <w:div w:id="2019696532">
              <w:marLeft w:val="0"/>
              <w:marRight w:val="0"/>
              <w:marTop w:val="0"/>
              <w:marBottom w:val="0"/>
              <w:divBdr>
                <w:top w:val="none" w:sz="0" w:space="0" w:color="auto"/>
                <w:left w:val="none" w:sz="0" w:space="0" w:color="auto"/>
                <w:bottom w:val="none" w:sz="0" w:space="0" w:color="auto"/>
                <w:right w:val="none" w:sz="0" w:space="0" w:color="auto"/>
              </w:divBdr>
              <w:divsChild>
                <w:div w:id="11126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6298">
      <w:bodyDiv w:val="1"/>
      <w:marLeft w:val="0"/>
      <w:marRight w:val="0"/>
      <w:marTop w:val="0"/>
      <w:marBottom w:val="0"/>
      <w:divBdr>
        <w:top w:val="none" w:sz="0" w:space="0" w:color="auto"/>
        <w:left w:val="none" w:sz="0" w:space="0" w:color="auto"/>
        <w:bottom w:val="none" w:sz="0" w:space="0" w:color="auto"/>
        <w:right w:val="none" w:sz="0" w:space="0" w:color="auto"/>
      </w:divBdr>
    </w:div>
    <w:div w:id="1668170525">
      <w:bodyDiv w:val="1"/>
      <w:marLeft w:val="0"/>
      <w:marRight w:val="0"/>
      <w:marTop w:val="0"/>
      <w:marBottom w:val="0"/>
      <w:divBdr>
        <w:top w:val="none" w:sz="0" w:space="0" w:color="auto"/>
        <w:left w:val="none" w:sz="0" w:space="0" w:color="auto"/>
        <w:bottom w:val="none" w:sz="0" w:space="0" w:color="auto"/>
        <w:right w:val="none" w:sz="0" w:space="0" w:color="auto"/>
      </w:divBdr>
    </w:div>
    <w:div w:id="1920630006">
      <w:bodyDiv w:val="1"/>
      <w:marLeft w:val="0"/>
      <w:marRight w:val="0"/>
      <w:marTop w:val="0"/>
      <w:marBottom w:val="0"/>
      <w:divBdr>
        <w:top w:val="none" w:sz="0" w:space="0" w:color="auto"/>
        <w:left w:val="none" w:sz="0" w:space="0" w:color="auto"/>
        <w:bottom w:val="none" w:sz="0" w:space="0" w:color="auto"/>
        <w:right w:val="none" w:sz="0" w:space="0" w:color="auto"/>
      </w:divBdr>
    </w:div>
    <w:div w:id="1932615846">
      <w:bodyDiv w:val="1"/>
      <w:marLeft w:val="0"/>
      <w:marRight w:val="0"/>
      <w:marTop w:val="0"/>
      <w:marBottom w:val="0"/>
      <w:divBdr>
        <w:top w:val="none" w:sz="0" w:space="0" w:color="auto"/>
        <w:left w:val="none" w:sz="0" w:space="0" w:color="auto"/>
        <w:bottom w:val="none" w:sz="0" w:space="0" w:color="auto"/>
        <w:right w:val="none" w:sz="0" w:space="0" w:color="auto"/>
      </w:divBdr>
    </w:div>
    <w:div w:id="2041011805">
      <w:bodyDiv w:val="1"/>
      <w:marLeft w:val="0"/>
      <w:marRight w:val="0"/>
      <w:marTop w:val="0"/>
      <w:marBottom w:val="0"/>
      <w:divBdr>
        <w:top w:val="none" w:sz="0" w:space="0" w:color="auto"/>
        <w:left w:val="none" w:sz="0" w:space="0" w:color="auto"/>
        <w:bottom w:val="none" w:sz="0" w:space="0" w:color="auto"/>
        <w:right w:val="none" w:sz="0" w:space="0" w:color="auto"/>
      </w:divBdr>
    </w:div>
    <w:div w:id="2046060749">
      <w:bodyDiv w:val="1"/>
      <w:marLeft w:val="0"/>
      <w:marRight w:val="0"/>
      <w:marTop w:val="0"/>
      <w:marBottom w:val="0"/>
      <w:divBdr>
        <w:top w:val="none" w:sz="0" w:space="0" w:color="auto"/>
        <w:left w:val="none" w:sz="0" w:space="0" w:color="auto"/>
        <w:bottom w:val="none" w:sz="0" w:space="0" w:color="auto"/>
        <w:right w:val="none" w:sz="0" w:space="0" w:color="auto"/>
      </w:divBdr>
      <w:divsChild>
        <w:div w:id="205831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aw.justia.com/codes/wyoming/2017/title-27/chapter-14/article-5/section-27-14-501/" TargetMode="External"/><Relationship Id="rId21" Type="http://schemas.openxmlformats.org/officeDocument/2006/relationships/footer" Target="footer3.xml"/><Relationship Id="rId42" Type="http://schemas.openxmlformats.org/officeDocument/2006/relationships/hyperlink" Target="https://law.justia.com/codes/wyoming/2017/title-27/chapter-14/article-1/section-27-14-102/" TargetMode="External"/><Relationship Id="rId63" Type="http://schemas.openxmlformats.org/officeDocument/2006/relationships/hyperlink" Target="https://law.justia.com/codes/wyoming/2017/title-27/chapter-14/article-6/section-27-14-603/" TargetMode="External"/><Relationship Id="rId84" Type="http://schemas.openxmlformats.org/officeDocument/2006/relationships/hyperlink" Target="https://law.justia.com/codes/wyoming/2017/title-27/chapter-14/article-5/section-27-14-503/" TargetMode="External"/><Relationship Id="rId138" Type="http://schemas.openxmlformats.org/officeDocument/2006/relationships/hyperlink" Target="https://law.justia.com/codes/wyoming/2017/title-27/chapter-14/article-2/section-27-14-201/" TargetMode="External"/><Relationship Id="rId107" Type="http://schemas.openxmlformats.org/officeDocument/2006/relationships/hyperlink" Target="https://law.justia.com/codes/wyoming/2017/title-27/chapter-14/article-4/section-27-14-405/" TargetMode="External"/><Relationship Id="rId11" Type="http://schemas.openxmlformats.org/officeDocument/2006/relationships/hyperlink" Target="https://www.cali.org/the-elangdell-bookstore" TargetMode="External"/><Relationship Id="rId32" Type="http://schemas.openxmlformats.org/officeDocument/2006/relationships/hyperlink" Target="https://law.justia.com/codes/wyoming/2017/title-27/chapter-14/article-3/section-27-14-301/" TargetMode="External"/><Relationship Id="rId53" Type="http://schemas.openxmlformats.org/officeDocument/2006/relationships/hyperlink" Target="https://law.justia.com/codes/wyoming/2017/title-27/chapter-14/article-1/section-27-14-108/" TargetMode="External"/><Relationship Id="rId74" Type="http://schemas.openxmlformats.org/officeDocument/2006/relationships/hyperlink" Target="https://codes.findlaw.com/wy/wyoming-constitution/wy-const-art-10-sect-4.html" TargetMode="External"/><Relationship Id="rId128" Type="http://schemas.openxmlformats.org/officeDocument/2006/relationships/hyperlink" Target="https://law.justia.com/codes/wyoming/2017/title-16/chapter-3/section-16-3-111/" TargetMode="External"/><Relationship Id="rId149" Type="http://schemas.openxmlformats.org/officeDocument/2006/relationships/hyperlink" Target="https://law.justia.com/codes/wyoming/2017/title-27/chapter-14/article-3/section-27-14-307/" TargetMode="External"/><Relationship Id="rId5" Type="http://schemas.openxmlformats.org/officeDocument/2006/relationships/settings" Target="settings.xml"/><Relationship Id="rId95" Type="http://schemas.openxmlformats.org/officeDocument/2006/relationships/hyperlink" Target="https://law.justia.com/codes/wyoming/2017/title-27/chapter-14/article-4/section-27-14-406/" TargetMode="External"/><Relationship Id="rId22" Type="http://schemas.openxmlformats.org/officeDocument/2006/relationships/hyperlink" Target="https://law.justia.com/codes/wyoming/2017/title-27/chapter-14/article-1/section-27-14-104/" TargetMode="External"/><Relationship Id="rId27" Type="http://schemas.openxmlformats.org/officeDocument/2006/relationships/hyperlink" Target="https://law.justia.com/codes/wyoming/2017/title-27/chapter-14/article-1/section-27-14-108/" TargetMode="External"/><Relationship Id="rId43" Type="http://schemas.openxmlformats.org/officeDocument/2006/relationships/hyperlink" Target="https://law.justia.com/codes/wyoming/2017/title-27/chapter-14/article-1/section-27-14-108/" TargetMode="External"/><Relationship Id="rId48" Type="http://schemas.openxmlformats.org/officeDocument/2006/relationships/hyperlink" Target="https://law.justia.com/codes/wyoming/2017/title-27/chapter-14/article-1/section-27-14-102/" TargetMode="External"/><Relationship Id="rId64" Type="http://schemas.openxmlformats.org/officeDocument/2006/relationships/hyperlink" Target="https://law.justia.com/codes/wyoming/2017/title-27/chapter-14/article-6/section-27-14-603/" TargetMode="External"/><Relationship Id="rId69" Type="http://schemas.openxmlformats.org/officeDocument/2006/relationships/hyperlink" Target="https://law.justia.com/codes/wyoming/2017/title-27/chapter-14/article-6/section-27-14-603/" TargetMode="External"/><Relationship Id="rId113" Type="http://schemas.openxmlformats.org/officeDocument/2006/relationships/hyperlink" Target="https://law.justia.com/codes/wyoming/2017/title-27/chapter-14/article-4/section-27-14-401/" TargetMode="External"/><Relationship Id="rId118" Type="http://schemas.openxmlformats.org/officeDocument/2006/relationships/hyperlink" Target="https://law.justia.com/codes/wyoming/2017/title-27/chapter-14/article-4/section-27-14-408/" TargetMode="External"/><Relationship Id="rId134" Type="http://schemas.openxmlformats.org/officeDocument/2006/relationships/hyperlink" Target="https://law.justia.com/codes/wyoming/2017/title-27/chapter-14/article-1/section-27-14-104/" TargetMode="External"/><Relationship Id="rId139" Type="http://schemas.openxmlformats.org/officeDocument/2006/relationships/hyperlink" Target="https://law.justia.com/codes/wyoming/2017/title-27/chapter-14/article-6/section-27-14-603/" TargetMode="External"/><Relationship Id="rId80" Type="http://schemas.openxmlformats.org/officeDocument/2006/relationships/hyperlink" Target="https://law.justia.com/codes/wyoming/2017/title-27/chapter-14/article-5/section-27-14-502/" TargetMode="External"/><Relationship Id="rId85" Type="http://schemas.openxmlformats.org/officeDocument/2006/relationships/hyperlink" Target="https://law.justia.com/codes/wyoming/2017/title-27/chapter-14/article-5/section-27-14-505/" TargetMode="External"/><Relationship Id="rId150" Type="http://schemas.openxmlformats.org/officeDocument/2006/relationships/hyperlink" Target="https://law.justia.com/codes/wyoming/2017/title-27/chapter-14/article-1/section-27-14-104/" TargetMode="External"/><Relationship Id="rId155" Type="http://schemas.openxmlformats.org/officeDocument/2006/relationships/theme" Target="theme/theme1.xml"/><Relationship Id="rId12" Type="http://schemas.openxmlformats.org/officeDocument/2006/relationships/hyperlink" Target="https://www.cali.org/the-elangdell-bookstore" TargetMode="External"/><Relationship Id="rId17" Type="http://schemas.openxmlformats.org/officeDocument/2006/relationships/hyperlink" Target="http://elangdell.cali.org" TargetMode="External"/><Relationship Id="rId33" Type="http://schemas.openxmlformats.org/officeDocument/2006/relationships/hyperlink" Target="https://law.justia.com/codes/wyoming/2017/title-27/chapter-3/article-1/section-27-3-104/" TargetMode="External"/><Relationship Id="rId38" Type="http://schemas.openxmlformats.org/officeDocument/2006/relationships/hyperlink" Target="https://law.justia.com/codes/wyoming/2017/title-27/chapter-14/article-1/section-27-14-102/" TargetMode="External"/><Relationship Id="rId59" Type="http://schemas.openxmlformats.org/officeDocument/2006/relationships/hyperlink" Target="https://rules.wyo.gov/Search.aspx?mode=4" TargetMode="External"/><Relationship Id="rId103" Type="http://schemas.openxmlformats.org/officeDocument/2006/relationships/hyperlink" Target="https://law.justia.com/codes/wyoming/2017/title-27/chapter-14/article-4/section-27-14-403/" TargetMode="External"/><Relationship Id="rId108" Type="http://schemas.openxmlformats.org/officeDocument/2006/relationships/hyperlink" Target="https://law.justia.com/codes/wyoming/2017/title-27/chapter-14/article-4/section-27-14-405/" TargetMode="External"/><Relationship Id="rId124" Type="http://schemas.openxmlformats.org/officeDocument/2006/relationships/hyperlink" Target="https://law.justia.com/codes/wyoming/2017/title-16/chapter-3/section-16-3-101/" TargetMode="External"/><Relationship Id="rId129" Type="http://schemas.openxmlformats.org/officeDocument/2006/relationships/hyperlink" Target="https://law.justia.com/codes/wyoming/2017/title-27/chapter-14/article-8/section-27-14-802/" TargetMode="External"/><Relationship Id="rId54" Type="http://schemas.openxmlformats.org/officeDocument/2006/relationships/hyperlink" Target="https://law.justia.com/codes/wyoming/2017/title-27/chapter-14/article-1/section-27-14-108/" TargetMode="External"/><Relationship Id="rId70" Type="http://schemas.openxmlformats.org/officeDocument/2006/relationships/hyperlink" Target="https://law.justia.com/codes/wyoming/2017/title-27/chapter-14/article-1/section-27-14-102/" TargetMode="External"/><Relationship Id="rId75" Type="http://schemas.openxmlformats.org/officeDocument/2006/relationships/hyperlink" Target="https://law.justia.com/codes/wyoming/2017/title-27/chapter-14/article-1/section-27-14-102/" TargetMode="External"/><Relationship Id="rId91" Type="http://schemas.openxmlformats.org/officeDocument/2006/relationships/hyperlink" Target="https://law.justia.com/codes/wyoming/2017/title-27/chapter-14/article-4/section-27-14-406/" TargetMode="External"/><Relationship Id="rId96" Type="http://schemas.openxmlformats.org/officeDocument/2006/relationships/hyperlink" Target="https://law.justia.com/codes/wyoming/2017/title-27/chapter-14/article-1/section-27-14-102/" TargetMode="External"/><Relationship Id="rId140" Type="http://schemas.openxmlformats.org/officeDocument/2006/relationships/hyperlink" Target="https://law.justia.com/codes/wyoming/2017/title-27/chapter-14/article-6/section-27-14-609/" TargetMode="External"/><Relationship Id="rId145" Type="http://schemas.openxmlformats.org/officeDocument/2006/relationships/hyperlink" Target="https://law.justia.com/codes/wyoming/2017/title-27/chapter-14/article-5/section-27-14-51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law.justia.com/codes/wyoming/2017/title-27/chapter-14/article-1/section-27-14-108/" TargetMode="External"/><Relationship Id="rId28" Type="http://schemas.openxmlformats.org/officeDocument/2006/relationships/hyperlink" Target="https://law.justia.com/codes/wyoming/2017/title-27/chapter-14/article-1/section-27-14-108/" TargetMode="External"/><Relationship Id="rId49" Type="http://schemas.openxmlformats.org/officeDocument/2006/relationships/hyperlink" Target="https://law.justia.com/codes/wyoming/2017/title-27/chapter-14/article-1/section-27-14-108/" TargetMode="External"/><Relationship Id="rId114" Type="http://schemas.openxmlformats.org/officeDocument/2006/relationships/hyperlink" Target="https://1.next.westlaw.com/Link/Document/FullText?findType=L&amp;pubNum=1000377&amp;cite=WYSTS25-13-101&amp;originatingDoc=NDBD172C014D111DDA95A8E9A1A243DA5&amp;refType=LQ&amp;originationContext=document&amp;transitionType=DocumentItem&amp;contextData=(sc.Category)" TargetMode="External"/><Relationship Id="rId119" Type="http://schemas.openxmlformats.org/officeDocument/2006/relationships/hyperlink" Target="https://law.justia.com/codes/wyoming/2017/title-27/chapter-14/article-4/section-27-14-405/" TargetMode="External"/><Relationship Id="rId44" Type="http://schemas.openxmlformats.org/officeDocument/2006/relationships/hyperlink" Target="https://law.justia.com/codes/wyoming/2017/title-27/chapter-14/article-1/section-27-14-108/" TargetMode="External"/><Relationship Id="rId60" Type="http://schemas.openxmlformats.org/officeDocument/2006/relationships/hyperlink" Target="https://law.justia.com/codes/wyoming/2017/title-27/chapter-14/article-8/section-27-14-802/" TargetMode="External"/><Relationship Id="rId65" Type="http://schemas.openxmlformats.org/officeDocument/2006/relationships/hyperlink" Target="https://law.justia.com/codes/wyoming/2017/title-27/chapter-14/article-6/section-27-14-603/" TargetMode="External"/><Relationship Id="rId81" Type="http://schemas.openxmlformats.org/officeDocument/2006/relationships/hyperlink" Target="https://law.justia.com/codes/wyoming/2017/title-27/chapter-14/article-5/section-27-14-502/" TargetMode="External"/><Relationship Id="rId86" Type="http://schemas.openxmlformats.org/officeDocument/2006/relationships/hyperlink" Target="https://law.justia.com/codes/wyoming/2017/title-27/chapter-14/article-5/section-27-14-505/" TargetMode="External"/><Relationship Id="rId130" Type="http://schemas.openxmlformats.org/officeDocument/2006/relationships/hyperlink" Target="https://law.justia.com/codes/wyoming/2017/title-16/chapter-3/section-16-3-114/" TargetMode="External"/><Relationship Id="rId135" Type="http://schemas.openxmlformats.org/officeDocument/2006/relationships/hyperlink" Target="https://law.justia.com/codes/wyoming/2017/title-27/chapter-14/article-1/section-27-14-105/" TargetMode="External"/><Relationship Id="rId151" Type="http://schemas.openxmlformats.org/officeDocument/2006/relationships/footer" Target="footer4.xml"/><Relationship Id="rId13" Type="http://schemas.openxmlformats.org/officeDocument/2006/relationships/hyperlink" Target="https://creativecommons.org/licenses/by-nc-sa/4.0/" TargetMode="External"/><Relationship Id="rId18" Type="http://schemas.openxmlformats.org/officeDocument/2006/relationships/hyperlink" Target="http://elangdell.cali.org" TargetMode="External"/><Relationship Id="rId39" Type="http://schemas.openxmlformats.org/officeDocument/2006/relationships/hyperlink" Target="https://law.justia.com/codes/wyoming/2017/title-27/chapter-14/article-1/section-27-14-102/" TargetMode="External"/><Relationship Id="rId109" Type="http://schemas.openxmlformats.org/officeDocument/2006/relationships/hyperlink" Target="https://law.justia.com/codes/wyoming/2017/title-27/chapter-14/article-4/section-27-14-405/" TargetMode="External"/><Relationship Id="rId34" Type="http://schemas.openxmlformats.org/officeDocument/2006/relationships/hyperlink" Target="https://law.justia.com/codes/wyoming/2017/title-27/chapter-11/section-27-11-103/" TargetMode="External"/><Relationship Id="rId50" Type="http://schemas.openxmlformats.org/officeDocument/2006/relationships/hyperlink" Target="https://law.justia.com/codes/wyoming/2017/title-27/chapter-14/article-1/section-27-14-108/" TargetMode="External"/><Relationship Id="rId55" Type="http://schemas.openxmlformats.org/officeDocument/2006/relationships/hyperlink" Target="https://law.justia.com/codes/wyoming/2017/title-27/chapter-14/article-1/section-27-14-108/" TargetMode="External"/><Relationship Id="rId76" Type="http://schemas.openxmlformats.org/officeDocument/2006/relationships/hyperlink" Target="https://law.justia.com/codes/wyoming/2017/title-27/chapter-14/article-1/section-27-14-102/" TargetMode="External"/><Relationship Id="rId97" Type="http://schemas.openxmlformats.org/officeDocument/2006/relationships/hyperlink" Target="https://law.justia.com/codes/wyoming/2017/title-27/chapter-14/article-1/section-27-14-102/" TargetMode="External"/><Relationship Id="rId104" Type="http://schemas.openxmlformats.org/officeDocument/2006/relationships/hyperlink" Target="https://law.justia.com/codes/wyoming/2017/title-27/chapter-14/article-4/section-27-14-403/" TargetMode="External"/><Relationship Id="rId120" Type="http://schemas.openxmlformats.org/officeDocument/2006/relationships/hyperlink" Target="https://law.justia.com/codes/wyoming/2017/title-27/chapter-14/article-4/section-27-14-405/" TargetMode="External"/><Relationship Id="rId125" Type="http://schemas.openxmlformats.org/officeDocument/2006/relationships/hyperlink" Target="https://law.justia.com/codes/wyoming/2017/title-16/chapter-3/section-16-3-107/" TargetMode="External"/><Relationship Id="rId141" Type="http://schemas.openxmlformats.org/officeDocument/2006/relationships/hyperlink" Target="https://law.justia.com/codes/wyoming/2017/title-27/chapter-14/article-4/section-27-14-404/" TargetMode="External"/><Relationship Id="rId146" Type="http://schemas.openxmlformats.org/officeDocument/2006/relationships/hyperlink" Target="https://law.justia.com/codes/wyoming/2017/title-27/chapter-14/article-5/section-27-14-510/" TargetMode="External"/><Relationship Id="rId7" Type="http://schemas.openxmlformats.org/officeDocument/2006/relationships/footnotes" Target="footnotes.xml"/><Relationship Id="rId71" Type="http://schemas.openxmlformats.org/officeDocument/2006/relationships/hyperlink" Target="https://law.justia.com/codes/wyoming/2017/title-27/chapter-14/article-1/section-27-14-102/" TargetMode="External"/><Relationship Id="rId92" Type="http://schemas.openxmlformats.org/officeDocument/2006/relationships/hyperlink" Target="https://law.justia.com/codes/wyoming/2017/title-27/chapter-14/article-4/section-27-14-404/" TargetMode="External"/><Relationship Id="rId2" Type="http://schemas.openxmlformats.org/officeDocument/2006/relationships/customXml" Target="../customXml/item2.xml"/><Relationship Id="rId29" Type="http://schemas.openxmlformats.org/officeDocument/2006/relationships/hyperlink" Target="https://law.justia.com/codes/wyoming/2017/title-27/chapter-14/article-1/section-27-14-106/" TargetMode="External"/><Relationship Id="rId24" Type="http://schemas.openxmlformats.org/officeDocument/2006/relationships/hyperlink" Target="https://law.justia.com/codes/wyoming/2017/title-27/chapter-14/article-1/section-27-14-108/" TargetMode="External"/><Relationship Id="rId40" Type="http://schemas.openxmlformats.org/officeDocument/2006/relationships/hyperlink" Target="https://law.justia.com/codes/wyoming/2017/title-27/chapter-14/article-1/section-27-14-108/" TargetMode="External"/><Relationship Id="rId45" Type="http://schemas.openxmlformats.org/officeDocument/2006/relationships/hyperlink" Target="https://law.justia.com/codes/wyoming/2017/title-27/chapter-14/article-1/section-27-14-108/" TargetMode="External"/><Relationship Id="rId66" Type="http://schemas.openxmlformats.org/officeDocument/2006/relationships/hyperlink" Target="https://law.justia.com/codes/wyoming/2017/title-27/chapter-14/article-1/section-27-14-102/" TargetMode="External"/><Relationship Id="rId87" Type="http://schemas.openxmlformats.org/officeDocument/2006/relationships/hyperlink" Target="https://law.justia.com/codes/wyoming/2017/title-27/chapter-14/article-5/section-27-14-505/" TargetMode="External"/><Relationship Id="rId110" Type="http://schemas.openxmlformats.org/officeDocument/2006/relationships/hyperlink" Target="https://law.justia.com/codes/wyoming/2017/title-27/chapter-14/article-4/section-27-14-403/" TargetMode="External"/><Relationship Id="rId115" Type="http://schemas.openxmlformats.org/officeDocument/2006/relationships/hyperlink" Target="https://1.next.westlaw.com/Link/Document/FullText?findType=L&amp;pubNum=1000377&amp;cite=WYSTS25-13-107&amp;originatingDoc=NDBD172C014D111DDA95A8E9A1A243DA5&amp;refType=LQ&amp;originationContext=document&amp;transitionType=DocumentItem&amp;contextData=(sc.Category)" TargetMode="External"/><Relationship Id="rId131" Type="http://schemas.openxmlformats.org/officeDocument/2006/relationships/hyperlink" Target="https://law.justia.com/codes/wyoming/2017/title-16/chapter-3/section-16-3-114/" TargetMode="External"/><Relationship Id="rId136" Type="http://schemas.openxmlformats.org/officeDocument/2006/relationships/hyperlink" Target="https://law.justia.com/codes/wyoming/2017/title-27/chapter-14/article-1/section-27-14-105/" TargetMode="External"/><Relationship Id="rId61" Type="http://schemas.openxmlformats.org/officeDocument/2006/relationships/hyperlink" Target="https://law.justia.com/codes/wyoming/2017/title-27/chapter-14/article-1/section-27-14-102/" TargetMode="External"/><Relationship Id="rId82" Type="http://schemas.openxmlformats.org/officeDocument/2006/relationships/hyperlink" Target="https://law.justia.com/codes/wyoming/2017/title-27/chapter-14/article-5/section-27-14-503/" TargetMode="External"/><Relationship Id="rId152" Type="http://schemas.openxmlformats.org/officeDocument/2006/relationships/hyperlink" Target="https://www.cali.org/sites/default/files/Wyoming%20Treatise%20Rules%20Appendix.pdf" TargetMode="External"/><Relationship Id="rId19" Type="http://schemas.openxmlformats.org/officeDocument/2006/relationships/hyperlink" Target="http://twitter.com/caliorg" TargetMode="External"/><Relationship Id="rId14" Type="http://schemas.openxmlformats.org/officeDocument/2006/relationships/hyperlink" Target="mailto:feedback@cali.org" TargetMode="External"/><Relationship Id="rId30" Type="http://schemas.openxmlformats.org/officeDocument/2006/relationships/hyperlink" Target="https://law.justia.com/codes/wyoming/2017/title-27/chapter-14/article-1/section-27-14-102/" TargetMode="External"/><Relationship Id="rId35" Type="http://schemas.openxmlformats.org/officeDocument/2006/relationships/hyperlink" Target="https://law.justia.com/codes/wyoming/2017/title-27/chapter-14/article-1/section-27-14-102/" TargetMode="External"/><Relationship Id="rId56" Type="http://schemas.openxmlformats.org/officeDocument/2006/relationships/hyperlink" Target="https://codes.findlaw.com/wy/wyoming-constitution/wy-const-art-10-sect-4.html" TargetMode="External"/><Relationship Id="rId77" Type="http://schemas.openxmlformats.org/officeDocument/2006/relationships/hyperlink" Target="https://law.justia.com/codes/wyoming/2017/title-27/chapter-14/article-1/section-27-14-102/" TargetMode="External"/><Relationship Id="rId100" Type="http://schemas.openxmlformats.org/officeDocument/2006/relationships/hyperlink" Target="https://law.justia.com/codes/wyoming/2017/title-27/chapter-14/article-4/section-27-14-405/" TargetMode="External"/><Relationship Id="rId105" Type="http://schemas.openxmlformats.org/officeDocument/2006/relationships/hyperlink" Target="https://law.justia.com/codes/wyoming/2017/title-27/chapter-14/article-4/section-27-14-405/" TargetMode="External"/><Relationship Id="rId126" Type="http://schemas.openxmlformats.org/officeDocument/2006/relationships/hyperlink" Target="https://law.justia.com/codes/wyoming/2017/title-27/chapter-14/article-6/section-27-14-602/" TargetMode="External"/><Relationship Id="rId147" Type="http://schemas.openxmlformats.org/officeDocument/2006/relationships/hyperlink" Target="https://law.justia.com/codes/wyoming/2017/title-27/chapter-14/article-5/section-27-14-506/" TargetMode="External"/><Relationship Id="rId8" Type="http://schemas.openxmlformats.org/officeDocument/2006/relationships/endnotes" Target="endnotes.xml"/><Relationship Id="rId51" Type="http://schemas.openxmlformats.org/officeDocument/2006/relationships/hyperlink" Target="https://law.justia.com/codes/wyoming/2017/title-27/chapter-14/article-1/section-27-14-108/" TargetMode="External"/><Relationship Id="rId72" Type="http://schemas.openxmlformats.org/officeDocument/2006/relationships/hyperlink" Target="https://law.justia.com/codes/wyoming/2017/title-27/chapter-14/article-1/section-27-14-102/" TargetMode="External"/><Relationship Id="rId93" Type="http://schemas.openxmlformats.org/officeDocument/2006/relationships/hyperlink" Target="https://law.justia.com/codes/wyoming/2017/title-27/chapter-14/article-4/section-27-14-403/" TargetMode="External"/><Relationship Id="rId98" Type="http://schemas.openxmlformats.org/officeDocument/2006/relationships/hyperlink" Target="https://law.justia.com/codes/wyoming/2017/title-27/chapter-14/article-4/section-27-14-406/" TargetMode="External"/><Relationship Id="rId121" Type="http://schemas.openxmlformats.org/officeDocument/2006/relationships/hyperlink" Target="https://law.justia.com/codes/wyoming/2017/title-27/chapter-14/article-4/section-27-14-403/" TargetMode="External"/><Relationship Id="rId142" Type="http://schemas.openxmlformats.org/officeDocument/2006/relationships/hyperlink" Target="https://law.justia.com/codes/wyoming/2017/title-27/chapter-14/article-4/section-27-14-407/" TargetMode="External"/><Relationship Id="rId3" Type="http://schemas.openxmlformats.org/officeDocument/2006/relationships/numbering" Target="numbering.xml"/><Relationship Id="rId25" Type="http://schemas.openxmlformats.org/officeDocument/2006/relationships/hyperlink" Target="https://law.justia.com/codes/wyoming/2017/title-27/chapter-14/article-1/section-27-14-108/" TargetMode="External"/><Relationship Id="rId46" Type="http://schemas.openxmlformats.org/officeDocument/2006/relationships/hyperlink" Target="https://law.justia.com/codes/wyoming/2017/title-27/chapter-14/article-1/section-27-14-108/" TargetMode="External"/><Relationship Id="rId67" Type="http://schemas.openxmlformats.org/officeDocument/2006/relationships/hyperlink" Target="https://law.justia.com/codes/wyoming/2017/title-27/chapter-14/article-1/section-27-14-102/" TargetMode="External"/><Relationship Id="rId116" Type="http://schemas.openxmlformats.org/officeDocument/2006/relationships/hyperlink" Target="https://1.next.westlaw.com/Link/Document/FullText?findType=L&amp;pubNum=1000377&amp;cite=WYSTS7-16-202&amp;originatingDoc=NDBD172C014D111DDA95A8E9A1A243DA5&amp;refType=LQ&amp;originationContext=document&amp;transitionType=DocumentItem&amp;contextData=(sc.Category)" TargetMode="External"/><Relationship Id="rId137" Type="http://schemas.openxmlformats.org/officeDocument/2006/relationships/hyperlink" Target="https://law.justia.com/codes/wyoming/2017/title-27/chapter-14/article-6/section-27-14-601/" TargetMode="External"/><Relationship Id="rId20" Type="http://schemas.openxmlformats.org/officeDocument/2006/relationships/footer" Target="footer2.xml"/><Relationship Id="rId41" Type="http://schemas.openxmlformats.org/officeDocument/2006/relationships/hyperlink" Target="https://law.justia.com/codes/wyoming/2017/title-27/chapter-14/article-3/section-27-14-301/" TargetMode="External"/><Relationship Id="rId62" Type="http://schemas.openxmlformats.org/officeDocument/2006/relationships/hyperlink" Target="https://law.justia.com/codes/wyoming/2017/title-27/chapter-14/article-6/section-27-14-603/" TargetMode="External"/><Relationship Id="rId83" Type="http://schemas.openxmlformats.org/officeDocument/2006/relationships/hyperlink" Target="https://law.justia.com/codes/wyoming/2017/title-27/chapter-14/article-5/section-27-14-503/" TargetMode="External"/><Relationship Id="rId88" Type="http://schemas.openxmlformats.org/officeDocument/2006/relationships/hyperlink" Target="https://law.justia.com/codes/wyoming/2017/title-27/chapter-14/article-5/section-27-14-505/" TargetMode="External"/><Relationship Id="rId111" Type="http://schemas.openxmlformats.org/officeDocument/2006/relationships/hyperlink" Target="https://law.justia.com/codes/wyoming/2017/title-27/chapter-14/article-4/section-27-14-403/" TargetMode="External"/><Relationship Id="rId132" Type="http://schemas.openxmlformats.org/officeDocument/2006/relationships/hyperlink" Target="https://ballotpedia.org/Article_10,_Wyoming_Constitution" TargetMode="External"/><Relationship Id="rId153" Type="http://schemas.openxmlformats.org/officeDocument/2006/relationships/footer" Target="footer5.xml"/><Relationship Id="rId15" Type="http://schemas.openxmlformats.org/officeDocument/2006/relationships/hyperlink" Target="http://www.cali.org" TargetMode="External"/><Relationship Id="rId36" Type="http://schemas.openxmlformats.org/officeDocument/2006/relationships/hyperlink" Target="https://law.justia.com/codes/wyoming/2017/title-27/chapter-14/article-1/section-27-14-102/" TargetMode="External"/><Relationship Id="rId57" Type="http://schemas.openxmlformats.org/officeDocument/2006/relationships/hyperlink" Target="https://law.justia.com/codes/wyoming/2017/title-27/chapter-14/article-1/section-27-14-108/" TargetMode="External"/><Relationship Id="rId106" Type="http://schemas.openxmlformats.org/officeDocument/2006/relationships/hyperlink" Target="https://law.justia.com/codes/wyoming/2017/title-27/chapter-14/article-4/section-27-14-403/" TargetMode="External"/><Relationship Id="rId127" Type="http://schemas.openxmlformats.org/officeDocument/2006/relationships/hyperlink" Target="https://law.justia.com/codes/wyoming/2017/title-16/chapter-3/section-16-3-114/" TargetMode="External"/><Relationship Id="rId10" Type="http://schemas.openxmlformats.org/officeDocument/2006/relationships/footer" Target="footer1.xml"/><Relationship Id="rId31" Type="http://schemas.openxmlformats.org/officeDocument/2006/relationships/hyperlink" Target="https://law.justia.com/codes/wyoming/2017/title-27/chapter-14/article-1/section-27-14-102/" TargetMode="External"/><Relationship Id="rId52" Type="http://schemas.openxmlformats.org/officeDocument/2006/relationships/hyperlink" Target="https://law.justia.com/codes/wyoming/2017/title-27/chapter-14/article-1/section-27-14-108/" TargetMode="External"/><Relationship Id="rId73" Type="http://schemas.openxmlformats.org/officeDocument/2006/relationships/hyperlink" Target="https://law.justia.com/codes/wyoming/2017/title-27/chapter-14/article-1/section-27-14-102/" TargetMode="External"/><Relationship Id="rId78" Type="http://schemas.openxmlformats.org/officeDocument/2006/relationships/hyperlink" Target="https://law.justia.com/codes/wyoming/2017/title-27/chapter-14/article-5/section-27-14-502/" TargetMode="External"/><Relationship Id="rId94" Type="http://schemas.openxmlformats.org/officeDocument/2006/relationships/hyperlink" Target="https://law.justia.com/codes/wyoming/2017/title-27/chapter-14/article-4/section-27-14-406/" TargetMode="External"/><Relationship Id="rId99" Type="http://schemas.openxmlformats.org/officeDocument/2006/relationships/hyperlink" Target="https://law.justia.com/codes/wyoming/2017/title-27/chapter-14/article-4/section-27-14-403/" TargetMode="External"/><Relationship Id="rId101" Type="http://schemas.openxmlformats.org/officeDocument/2006/relationships/hyperlink" Target="https://law.justia.com/codes/wyoming/2017/title-27/chapter-14/article-4/section-27-14-403/" TargetMode="External"/><Relationship Id="rId122" Type="http://schemas.openxmlformats.org/officeDocument/2006/relationships/hyperlink" Target="https://rules.wyo.gov/" TargetMode="External"/><Relationship Id="rId143" Type="http://schemas.openxmlformats.org/officeDocument/2006/relationships/hyperlink" Target="https://law.justia.com/codes/wyoming/2017/title-27/chapter-14/article-5/section-27-14-510/" TargetMode="External"/><Relationship Id="rId148" Type="http://schemas.openxmlformats.org/officeDocument/2006/relationships/hyperlink" Target="https://law.justia.com/codes/wyoming/2017/title-27/chapter-1/section-27-1-106/" TargetMode="Externa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yperlink" Target="https://law.justia.com/codes/wyoming/2017/title-27/chapter-14/article-1/section-27-14-108/" TargetMode="External"/><Relationship Id="rId47" Type="http://schemas.openxmlformats.org/officeDocument/2006/relationships/hyperlink" Target="https://law.justia.com/codes/wyoming/2017/title-27/chapter-14/article-1/section-27-14-109/" TargetMode="External"/><Relationship Id="rId68" Type="http://schemas.openxmlformats.org/officeDocument/2006/relationships/hyperlink" Target="https://law.justia.com/codes/wyoming/2017/title-27/chapter-14/article-1/section-27-14-102/" TargetMode="External"/><Relationship Id="rId89" Type="http://schemas.openxmlformats.org/officeDocument/2006/relationships/hyperlink" Target="https://law.justia.com/codes/wyoming/2017/title-27/chapter-14/article-1/section-27-14-102/" TargetMode="External"/><Relationship Id="rId112" Type="http://schemas.openxmlformats.org/officeDocument/2006/relationships/hyperlink" Target="https://law.justia.com/codes/wyoming/2017/title-27/chapter-14/article-6/section-27-14-601/" TargetMode="External"/><Relationship Id="rId133" Type="http://schemas.openxmlformats.org/officeDocument/2006/relationships/hyperlink" Target="https://law.justia.com/codes/wyoming/2017/title-27/chapter-14/article-1/section-27-14-105/" TargetMode="External"/><Relationship Id="rId154" Type="http://schemas.openxmlformats.org/officeDocument/2006/relationships/fontTable" Target="fontTable.xml"/><Relationship Id="rId16" Type="http://schemas.openxmlformats.org/officeDocument/2006/relationships/hyperlink" Target="http://www.cali.org/faq/8054" TargetMode="External"/><Relationship Id="rId37" Type="http://schemas.openxmlformats.org/officeDocument/2006/relationships/hyperlink" Target="https://law.justia.com/codes/wyoming/2017/title-27/chapter-14/article-1/section-27-14-102/" TargetMode="External"/><Relationship Id="rId58" Type="http://schemas.openxmlformats.org/officeDocument/2006/relationships/hyperlink" Target="https://www.leagle.com/decision/inpaco20170620609" TargetMode="External"/><Relationship Id="rId79" Type="http://schemas.openxmlformats.org/officeDocument/2006/relationships/hyperlink" Target="https://law.justia.com/codes/wyoming/2017/title-27/chapter-14/article-5/section-27-14-502/" TargetMode="External"/><Relationship Id="rId102" Type="http://schemas.openxmlformats.org/officeDocument/2006/relationships/hyperlink" Target="https://law.justia.com/codes/wyoming/2017/title-27/chapter-14/article-4/section-27-14-405/" TargetMode="External"/><Relationship Id="rId123" Type="http://schemas.openxmlformats.org/officeDocument/2006/relationships/hyperlink" Target="https://law.justia.com/codes/wyoming/2017/title-9/chapter-2/article-22/section-9-2-2202/" TargetMode="External"/><Relationship Id="rId144" Type="http://schemas.openxmlformats.org/officeDocument/2006/relationships/hyperlink" Target="https://law.justia.com/codes/wyoming/2017/title-27/chapter-14/article-1/section-27-14-104/" TargetMode="External"/><Relationship Id="rId90" Type="http://schemas.openxmlformats.org/officeDocument/2006/relationships/hyperlink" Target="https://law.justia.com/codes/wyoming/2017/title-27/chapter-14/article-4/section-27-14-405/"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leagle.com/decision/19791936590p2d134611923" TargetMode="External"/><Relationship Id="rId299" Type="http://schemas.openxmlformats.org/officeDocument/2006/relationships/hyperlink" Target="https://law.justia.com/codes/wyoming/2017/title-27/chapter-14/article-1/section-27-14-102/" TargetMode="External"/><Relationship Id="rId21" Type="http://schemas.openxmlformats.org/officeDocument/2006/relationships/hyperlink" Target="https://law.justia.com/codes/wyoming/2017/title-27/chapter-14/article-1/section-27-14-104/" TargetMode="External"/><Relationship Id="rId63" Type="http://schemas.openxmlformats.org/officeDocument/2006/relationships/hyperlink" Target="https://law.justia.com/cases/wyoming/supreme-court/1996/123707.html" TargetMode="External"/><Relationship Id="rId159" Type="http://schemas.openxmlformats.org/officeDocument/2006/relationships/hyperlink" Target="https://www.courtlistener.com/opinion/4234890/hamilton-v-swigart-coal-mine/" TargetMode="External"/><Relationship Id="rId324" Type="http://schemas.openxmlformats.org/officeDocument/2006/relationships/hyperlink" Target="https://www.leagle.com/decision/2007645162p3d4831643" TargetMode="External"/><Relationship Id="rId366" Type="http://schemas.openxmlformats.org/officeDocument/2006/relationships/hyperlink" Target="https://law.justia.com/codes/wyoming/2017/title-16/chapter-3/section-16-3-107/" TargetMode="External"/><Relationship Id="rId170" Type="http://schemas.openxmlformats.org/officeDocument/2006/relationships/hyperlink" Target="https://www.leagle.com/decision/19961337911p2d42611337" TargetMode="External"/><Relationship Id="rId226" Type="http://schemas.openxmlformats.org/officeDocument/2006/relationships/hyperlink" Target="https://www.leagle.com/decision/inwyco20110330f56" TargetMode="External"/><Relationship Id="rId268" Type="http://schemas.openxmlformats.org/officeDocument/2006/relationships/hyperlink" Target="https://www.leagle.com/decision/inwyco20130208e16" TargetMode="External"/><Relationship Id="rId32" Type="http://schemas.openxmlformats.org/officeDocument/2006/relationships/hyperlink" Target="https://www.leagle.com/decision/19911444818p2d62611442" TargetMode="External"/><Relationship Id="rId74" Type="http://schemas.openxmlformats.org/officeDocument/2006/relationships/hyperlink" Target="https://www.leagle.com/decision/19911444818p2d62611442" TargetMode="External"/><Relationship Id="rId128" Type="http://schemas.openxmlformats.org/officeDocument/2006/relationships/hyperlink" Target="https://www.courtlistener.com/opinion/1411958/in-the-matter-of-wright-v-wyoming-state-train-school/" TargetMode="External"/><Relationship Id="rId335" Type="http://schemas.openxmlformats.org/officeDocument/2006/relationships/hyperlink" Target="https://www.leagle.com/decision/2006703135p3d5681703" TargetMode="External"/><Relationship Id="rId377" Type="http://schemas.openxmlformats.org/officeDocument/2006/relationships/hyperlink" Target="https://law.justia.com/codes/wyoming/2017/title-16/chapter-3/section-16-3-111/" TargetMode="External"/><Relationship Id="rId5" Type="http://schemas.openxmlformats.org/officeDocument/2006/relationships/hyperlink" Target="https://www.courtlistener.com/opinion/2625091/in-re-collicott/" TargetMode="External"/><Relationship Id="rId181" Type="http://schemas.openxmlformats.org/officeDocument/2006/relationships/hyperlink" Target="https://www.leagle.com/decision/19981005968p2d3711004" TargetMode="External"/><Relationship Id="rId237" Type="http://schemas.openxmlformats.org/officeDocument/2006/relationships/hyperlink" Target="https://www.leagle.com/decision/19791936590p2d134611923" TargetMode="External"/><Relationship Id="rId402" Type="http://schemas.openxmlformats.org/officeDocument/2006/relationships/hyperlink" Target="https://www.leagle.com/decision/inwyco20110202d64" TargetMode="External"/><Relationship Id="rId279" Type="http://schemas.openxmlformats.org/officeDocument/2006/relationships/hyperlink" Target="https://law.justia.com/cases/wyoming/supreme-court/2009/457637.html" TargetMode="External"/><Relationship Id="rId43" Type="http://schemas.openxmlformats.org/officeDocument/2006/relationships/hyperlink" Target="https://www.courtlistener.com/opinion/1184726/state-v-stovall/" TargetMode="External"/><Relationship Id="rId139" Type="http://schemas.openxmlformats.org/officeDocument/2006/relationships/hyperlink" Target="https://law.justia.com/cases/wyoming/supreme-court/2001/213213.html" TargetMode="External"/><Relationship Id="rId290" Type="http://schemas.openxmlformats.org/officeDocument/2006/relationships/hyperlink" Target="https://casetext.com/case/tozzi-v-moffett" TargetMode="External"/><Relationship Id="rId304" Type="http://schemas.openxmlformats.org/officeDocument/2006/relationships/hyperlink" Target="https://law.justia.com/cases/wyoming/supreme-court/1998/123696.html" TargetMode="External"/><Relationship Id="rId346" Type="http://schemas.openxmlformats.org/officeDocument/2006/relationships/hyperlink" Target="https://www.leagle.com/decision/1984797689p2d1081796" TargetMode="External"/><Relationship Id="rId388" Type="http://schemas.openxmlformats.org/officeDocument/2006/relationships/hyperlink" Target="https://law.justia.com/codes/wyoming/2017/title-16/chapter-3/section-16-3-114/" TargetMode="External"/><Relationship Id="rId85" Type="http://schemas.openxmlformats.org/officeDocument/2006/relationships/hyperlink" Target="https://www.leagle.com/decision/1978801587p2d2141799" TargetMode="External"/><Relationship Id="rId150" Type="http://schemas.openxmlformats.org/officeDocument/2006/relationships/hyperlink" Target="https://law.justia.com/cases/wyoming/supreme-court/1995/123525.html" TargetMode="External"/><Relationship Id="rId192" Type="http://schemas.openxmlformats.org/officeDocument/2006/relationships/hyperlink" Target="https://www.leagle.com/decision/1984918692p2d2261918" TargetMode="External"/><Relationship Id="rId206" Type="http://schemas.openxmlformats.org/officeDocument/2006/relationships/hyperlink" Target="https://www.courtlistener.com/opinion/1536140/monaghan-v-jordans-meats/" TargetMode="External"/><Relationship Id="rId413" Type="http://schemas.openxmlformats.org/officeDocument/2006/relationships/hyperlink" Target="https://law.justia.com/cases/wyoming/supreme-court/1996/123359.html" TargetMode="External"/><Relationship Id="rId248" Type="http://schemas.openxmlformats.org/officeDocument/2006/relationships/hyperlink" Target="https://www.courtlistener.com/opinion/2567206/spletzer-v-state-ex-rel-workerssafety-and-comp-division/" TargetMode="External"/><Relationship Id="rId12" Type="http://schemas.openxmlformats.org/officeDocument/2006/relationships/hyperlink" Target="https://www.courtlistener.com/opinion/4234987/fuhs-v-swenson/" TargetMode="External"/><Relationship Id="rId108" Type="http://schemas.openxmlformats.org/officeDocument/2006/relationships/hyperlink" Target="https://www.leagle.com/decision/1967749429p2d3201744" TargetMode="External"/><Relationship Id="rId315" Type="http://schemas.openxmlformats.org/officeDocument/2006/relationships/hyperlink" Target="https://law.justia.com/codes/wyoming/2017/title-9/chapter-2/article-22/" TargetMode="External"/><Relationship Id="rId357" Type="http://schemas.openxmlformats.org/officeDocument/2006/relationships/hyperlink" Target="https://law.justia.com/codes/wyoming/2017/title-27/chapter-14/article-6/section-27-14-602/" TargetMode="External"/><Relationship Id="rId54" Type="http://schemas.openxmlformats.org/officeDocument/2006/relationships/hyperlink" Target="https://www.leagle.com/decision/200282254p3d7681818" TargetMode="External"/><Relationship Id="rId96" Type="http://schemas.openxmlformats.org/officeDocument/2006/relationships/hyperlink" Target="https://casetext.com/case/latourette-v-workers-comp-appeals-bd?passage=xCLepOwjvDYem02FmvdivA&amp;resultsNav=false" TargetMode="External"/><Relationship Id="rId161" Type="http://schemas.openxmlformats.org/officeDocument/2006/relationships/hyperlink" Target="https://law.justia.com/cases/wyoming/supreme-court/1996/123629.html" TargetMode="External"/><Relationship Id="rId217" Type="http://schemas.openxmlformats.org/officeDocument/2006/relationships/hyperlink" Target="https://www.leagle.com/decision/inwyco20110330f56" TargetMode="External"/><Relationship Id="rId399" Type="http://schemas.openxmlformats.org/officeDocument/2006/relationships/hyperlink" Target="https://www.leagle.com/decision/2001105526p3d102911053" TargetMode="External"/><Relationship Id="rId259" Type="http://schemas.openxmlformats.org/officeDocument/2006/relationships/hyperlink" Target="https://www.leagle.com/decision/inwyco20081008423" TargetMode="External"/><Relationship Id="rId23" Type="http://schemas.openxmlformats.org/officeDocument/2006/relationships/hyperlink" Target="https://law.justia.com/cases/wyoming/supreme-court/1989/122197.html" TargetMode="External"/><Relationship Id="rId119" Type="http://schemas.openxmlformats.org/officeDocument/2006/relationships/hyperlink" Target="https://www.leagle.com/decision/200377971p3d7081777" TargetMode="External"/><Relationship Id="rId270" Type="http://schemas.openxmlformats.org/officeDocument/2006/relationships/hyperlink" Target="https://www.leagle.com/decision/inwyco20170831h72" TargetMode="External"/><Relationship Id="rId326" Type="http://schemas.openxmlformats.org/officeDocument/2006/relationships/hyperlink" Target="https://www.leagle.com/decision/2005559118p3d4411557" TargetMode="External"/><Relationship Id="rId65" Type="http://schemas.openxmlformats.org/officeDocument/2006/relationships/hyperlink" Target="https://www.courtlistener.com/opinion/4235664/burnett-v-roberts/" TargetMode="External"/><Relationship Id="rId130" Type="http://schemas.openxmlformats.org/officeDocument/2006/relationships/hyperlink" Target="https://www.courtlistener.com/opinion/1195522/olson-v-federal-american-partners/" TargetMode="External"/><Relationship Id="rId368" Type="http://schemas.openxmlformats.org/officeDocument/2006/relationships/hyperlink" Target="https://law.justia.com/codes/wyoming/2017/title-16/chapter-3/section-16-3-107/" TargetMode="External"/><Relationship Id="rId172" Type="http://schemas.openxmlformats.org/officeDocument/2006/relationships/hyperlink" Target="https://law.justia.com/cases/wyoming/supreme-court/2000/123994.html" TargetMode="External"/><Relationship Id="rId228" Type="http://schemas.openxmlformats.org/officeDocument/2006/relationships/hyperlink" Target="https://casetext.com/case/workers-safety-and-comp-div-v-bruhn" TargetMode="External"/><Relationship Id="rId281" Type="http://schemas.openxmlformats.org/officeDocument/2006/relationships/hyperlink" Target="https://supreme.justia.com/cases/federal/us/439/322/" TargetMode="External"/><Relationship Id="rId337" Type="http://schemas.openxmlformats.org/officeDocument/2006/relationships/hyperlink" Target="https://law.justia.com/codes/wyoming/2017/title-27/chapter-14/article-6/section-27-14-602/" TargetMode="External"/><Relationship Id="rId34" Type="http://schemas.openxmlformats.org/officeDocument/2006/relationships/hyperlink" Target="https://law.justia.com/cases/alabama/supreme-court/1988/527-so-2d-102-1.html" TargetMode="External"/><Relationship Id="rId76" Type="http://schemas.openxmlformats.org/officeDocument/2006/relationships/hyperlink" Target="https://law.justia.com/codes/wyoming/2017/title-27/chapter-14/article-1/section-27-14-102/" TargetMode="External"/><Relationship Id="rId141" Type="http://schemas.openxmlformats.org/officeDocument/2006/relationships/hyperlink" Target="https://www.courtlistener.com/opinion/1262505/circle-k-store-no-1131-v-indus-comn/" TargetMode="External"/><Relationship Id="rId379" Type="http://schemas.openxmlformats.org/officeDocument/2006/relationships/hyperlink" Target="https://casetext.com/case/mountain-regl-servs" TargetMode="External"/><Relationship Id="rId7" Type="http://schemas.openxmlformats.org/officeDocument/2006/relationships/hyperlink" Target="https://www.leagle.com/decision/200261652p3d5641616" TargetMode="External"/><Relationship Id="rId183" Type="http://schemas.openxmlformats.org/officeDocument/2006/relationships/hyperlink" Target="https://www.courtlistener.com/opinion/2625091/in-re-collicott/" TargetMode="External"/><Relationship Id="rId239" Type="http://schemas.openxmlformats.org/officeDocument/2006/relationships/hyperlink" Target="https://casetext.com/case/state-ex-rel-workers-comp-v-ramsey" TargetMode="External"/><Relationship Id="rId390" Type="http://schemas.openxmlformats.org/officeDocument/2006/relationships/hyperlink" Target="https://supreme.justia.com/cases/federal/us/305/197/" TargetMode="External"/><Relationship Id="rId404" Type="http://schemas.openxmlformats.org/officeDocument/2006/relationships/hyperlink" Target="https://www.leagle.com/decision/19981983960p2d102311974" TargetMode="External"/><Relationship Id="rId250" Type="http://schemas.openxmlformats.org/officeDocument/2006/relationships/hyperlink" Target="https://law.justia.com/codes/wyoming/2017/title-27/chapter-14/article-4/section-27-14-401/" TargetMode="External"/><Relationship Id="rId292" Type="http://schemas.openxmlformats.org/officeDocument/2006/relationships/hyperlink" Target="https://law.justia.com/cases/wyoming/supreme-court/2020/s-19-0142.html" TargetMode="External"/><Relationship Id="rId306" Type="http://schemas.openxmlformats.org/officeDocument/2006/relationships/hyperlink" Target="https://law.justia.com/codes/wyoming/2017/title-27/chapter-14/article-6/section-27-14-601/" TargetMode="External"/><Relationship Id="rId45" Type="http://schemas.openxmlformats.org/officeDocument/2006/relationships/hyperlink" Target="https://law.justia.com/codes/wyoming/2017/title-27/chapter-14/article-1/section-27-14-102/" TargetMode="External"/><Relationship Id="rId87" Type="http://schemas.openxmlformats.org/officeDocument/2006/relationships/hyperlink" Target="https://www.leagle.com/decision/2008328188p3d1401325" TargetMode="External"/><Relationship Id="rId110" Type="http://schemas.openxmlformats.org/officeDocument/2006/relationships/hyperlink" Target="https://www.courtlistener.com/opinion/4235694/colorado-f-i-corp-v-frihauf/" TargetMode="External"/><Relationship Id="rId348" Type="http://schemas.openxmlformats.org/officeDocument/2006/relationships/hyperlink" Target="https://law.justia.com/codes/wyoming/2017/title-27/chapter-14/article-6/section-27-14-602/" TargetMode="External"/><Relationship Id="rId152" Type="http://schemas.openxmlformats.org/officeDocument/2006/relationships/hyperlink" Target="https://www.leagle.com/decision/19671068423p2d64511062" TargetMode="External"/><Relationship Id="rId194" Type="http://schemas.openxmlformats.org/officeDocument/2006/relationships/hyperlink" Target="https://www.leagle.com/decision/2005629109p3d5202624" TargetMode="External"/><Relationship Id="rId208" Type="http://schemas.openxmlformats.org/officeDocument/2006/relationships/hyperlink" Target="https://www.leagle.com/decision/2004409273wis2d1361404" TargetMode="External"/><Relationship Id="rId415" Type="http://schemas.openxmlformats.org/officeDocument/2006/relationships/hyperlink" Target="https://supreme.justia.com/cases/federal/us/341/479/" TargetMode="External"/><Relationship Id="rId261" Type="http://schemas.openxmlformats.org/officeDocument/2006/relationships/hyperlink" Target="https://law.justia.com/codes/wyoming/2017/title-27/chapter-14/article-6/section-27-14-605/" TargetMode="External"/><Relationship Id="rId14" Type="http://schemas.openxmlformats.org/officeDocument/2006/relationships/hyperlink" Target="https://law.justia.com/cases/wyoming/supreme-court/1984/121283.html" TargetMode="External"/><Relationship Id="rId56" Type="http://schemas.openxmlformats.org/officeDocument/2006/relationships/hyperlink" Target="https://www.courtlistener.com/opinion/2521637/singer-v-new-tech-engineering-lp/" TargetMode="External"/><Relationship Id="rId317" Type="http://schemas.openxmlformats.org/officeDocument/2006/relationships/hyperlink" Target="https://law.justia.com/codes/wyoming/2017/title-27/chapter-14/article-6/section-27-14-602/" TargetMode="External"/><Relationship Id="rId359" Type="http://schemas.openxmlformats.org/officeDocument/2006/relationships/hyperlink" Target="https://law.justia.com/codes/wyoming/2017/title-27/chapter-14/article-6/section-27-14-602/" TargetMode="External"/><Relationship Id="rId98" Type="http://schemas.openxmlformats.org/officeDocument/2006/relationships/hyperlink" Target="https://law.justia.com/cases/wyoming/supreme-court/2006/446106.html" TargetMode="External"/><Relationship Id="rId121" Type="http://schemas.openxmlformats.org/officeDocument/2006/relationships/hyperlink" Target="https://law.justia.com/cases/wyoming/supreme-court/2000/124229.html" TargetMode="External"/><Relationship Id="rId163" Type="http://schemas.openxmlformats.org/officeDocument/2006/relationships/hyperlink" Target="https://rules.wyo.gov/Search.aspx?mode=1" TargetMode="External"/><Relationship Id="rId219" Type="http://schemas.openxmlformats.org/officeDocument/2006/relationships/hyperlink" Target="https://www.leagle.com/decision/2004116088p3d107211151" TargetMode="External"/><Relationship Id="rId370" Type="http://schemas.openxmlformats.org/officeDocument/2006/relationships/hyperlink" Target="https://law.justia.com/codes/wyoming/2017/title-16/chapter-3/section-16-3-107/" TargetMode="External"/><Relationship Id="rId230" Type="http://schemas.openxmlformats.org/officeDocument/2006/relationships/hyperlink" Target="https://law.justia.com/codes/wyoming/2017/title-27/chapter-14/article-4/section-27-14-403/" TargetMode="External"/><Relationship Id="rId25" Type="http://schemas.openxmlformats.org/officeDocument/2006/relationships/hyperlink" Target="https://casetext.com/case/barnette-v-doyle" TargetMode="External"/><Relationship Id="rId67" Type="http://schemas.openxmlformats.org/officeDocument/2006/relationships/hyperlink" Target="https://law.justia.com/cases/wyoming/supreme-court/1938/118428.html" TargetMode="External"/><Relationship Id="rId272" Type="http://schemas.openxmlformats.org/officeDocument/2006/relationships/hyperlink" Target="https://law.justia.com/codes/wyoming/2017/title-27/chapter-14/article-4/section-27-14-401/" TargetMode="External"/><Relationship Id="rId328" Type="http://schemas.openxmlformats.org/officeDocument/2006/relationships/hyperlink" Target="https://www.leagle.com/decision/19972095944p2d115112089" TargetMode="External"/><Relationship Id="rId132" Type="http://schemas.openxmlformats.org/officeDocument/2006/relationships/hyperlink" Target="https://law.justia.com/codes/wyoming/2017/title-27/chapter-14/article-1/section-27-14-102/" TargetMode="External"/><Relationship Id="rId174" Type="http://schemas.openxmlformats.org/officeDocument/2006/relationships/hyperlink" Target="https://www.courtlistener.com/opinion/1402392/beitel-v-state-ex-rel-workerscompensation-div/" TargetMode="External"/><Relationship Id="rId381" Type="http://schemas.openxmlformats.org/officeDocument/2006/relationships/hyperlink" Target="https://www.leagle.com/decision/200266047p3d6131657" TargetMode="External"/><Relationship Id="rId241" Type="http://schemas.openxmlformats.org/officeDocument/2006/relationships/hyperlink" Target="https://www.courtlistener.com/opinion/4234987/fuhs-v-swenson/" TargetMode="External"/><Relationship Id="rId36" Type="http://schemas.openxmlformats.org/officeDocument/2006/relationships/hyperlink" Target="https://www.leagle.com/decision/2008864185p3d6791862" TargetMode="External"/><Relationship Id="rId283" Type="http://schemas.openxmlformats.org/officeDocument/2006/relationships/hyperlink" Target="https://casetext.com/case/tozzi-v-moffett" TargetMode="External"/><Relationship Id="rId339" Type="http://schemas.openxmlformats.org/officeDocument/2006/relationships/hyperlink" Target="https://law.justia.com/codes/wyoming/2017/title-16/chapter-3/section-16-3-101/" TargetMode="External"/><Relationship Id="rId78" Type="http://schemas.openxmlformats.org/officeDocument/2006/relationships/hyperlink" Target="https://supreme.justia.com/cases/federal/us/243/188/" TargetMode="External"/><Relationship Id="rId101" Type="http://schemas.openxmlformats.org/officeDocument/2006/relationships/hyperlink" Target="https://www.leagle.com/decision/200221249p3d1631212" TargetMode="External"/><Relationship Id="rId143" Type="http://schemas.openxmlformats.org/officeDocument/2006/relationships/hyperlink" Target="https://law.justia.com/cases/wyoming/supreme-court/1999/124131.html" TargetMode="External"/><Relationship Id="rId185" Type="http://schemas.openxmlformats.org/officeDocument/2006/relationships/hyperlink" Target="https://www.leagle.com/decision/20001928994p2d93411919" TargetMode="External"/><Relationship Id="rId350" Type="http://schemas.openxmlformats.org/officeDocument/2006/relationships/hyperlink" Target="https://law.justia.com/codes/wyoming/2017/title-27/chapter-14/article-6/section-27-14-602/" TargetMode="External"/><Relationship Id="rId406" Type="http://schemas.openxmlformats.org/officeDocument/2006/relationships/hyperlink" Target="https://law.justia.com/cases/wyoming/supreme-court/2018/s-17-0290.html" TargetMode="External"/><Relationship Id="rId9" Type="http://schemas.openxmlformats.org/officeDocument/2006/relationships/hyperlink" Target="https://law.justia.com/cases/wyoming/supreme-court/1918/117249.html" TargetMode="External"/><Relationship Id="rId210" Type="http://schemas.openxmlformats.org/officeDocument/2006/relationships/hyperlink" Target="https://casetext.com/case/second-injury-fund-of-iowa-v-nelson" TargetMode="External"/><Relationship Id="rId392" Type="http://schemas.openxmlformats.org/officeDocument/2006/relationships/hyperlink" Target="https://law.justia.com/codes/wyoming/2017/title-16/chapter-3/section-16-3-114/" TargetMode="External"/><Relationship Id="rId252" Type="http://schemas.openxmlformats.org/officeDocument/2006/relationships/hyperlink" Target="https://www.leagle.com/decision/infdco20180803c73" TargetMode="External"/><Relationship Id="rId294" Type="http://schemas.openxmlformats.org/officeDocument/2006/relationships/hyperlink" Target="https://digitalcommons.pepperdine.edu/naalj/vol32/iss1/2/" TargetMode="External"/><Relationship Id="rId308" Type="http://schemas.openxmlformats.org/officeDocument/2006/relationships/hyperlink" Target="https://law.justia.com/codes/wyoming/2017/title-27/chapter-14/article-6/section-27-14-601/" TargetMode="External"/><Relationship Id="rId47" Type="http://schemas.openxmlformats.org/officeDocument/2006/relationships/hyperlink" Target="https://casetext.com/case/mills-v-reynolds-1" TargetMode="External"/><Relationship Id="rId89" Type="http://schemas.openxmlformats.org/officeDocument/2006/relationships/hyperlink" Target="https://law.justia.com/codes/wyoming/2017/title-27/chapter-14/article-1/section-27-14-102/" TargetMode="External"/><Relationship Id="rId112" Type="http://schemas.openxmlformats.org/officeDocument/2006/relationships/hyperlink" Target="https://casetext.com/case/johnson-v-ideal-bakery" TargetMode="External"/><Relationship Id="rId154" Type="http://schemas.openxmlformats.org/officeDocument/2006/relationships/hyperlink" Target="https://www.courtlistener.com/opinion/1422783/boode-v-allied-mutual-insurance-company/" TargetMode="External"/><Relationship Id="rId361" Type="http://schemas.openxmlformats.org/officeDocument/2006/relationships/hyperlink" Target="https://law.justia.com/codes/wyoming/2017/title-27/chapter-14/article-6/section-27-14-602/" TargetMode="External"/><Relationship Id="rId196" Type="http://schemas.openxmlformats.org/officeDocument/2006/relationships/hyperlink" Target="https://law.justia.com/codes/wyoming/2017/title-27/chapter-14/article-4/section-27-14-404/" TargetMode="External"/><Relationship Id="rId417" Type="http://schemas.openxmlformats.org/officeDocument/2006/relationships/hyperlink" Target="https://law.justia.com/cases/wyoming/supreme-court/1992/122866.html" TargetMode="External"/><Relationship Id="rId16" Type="http://schemas.openxmlformats.org/officeDocument/2006/relationships/hyperlink" Target="https://law.justia.com/codes/wyoming/2017/title-27/chapter-14/article-1/section-27-14-104/" TargetMode="External"/><Relationship Id="rId221" Type="http://schemas.openxmlformats.org/officeDocument/2006/relationships/hyperlink" Target="https://www.leagle.com/decision/2006828142p3d6861825" TargetMode="External"/><Relationship Id="rId263" Type="http://schemas.openxmlformats.org/officeDocument/2006/relationships/hyperlink" Target="https://www.leagle.com/decision/20001675996p2d67911667" TargetMode="External"/><Relationship Id="rId319" Type="http://schemas.openxmlformats.org/officeDocument/2006/relationships/hyperlink" Target="https://law.justia.com/codes/wyoming/2017/title-27/chapter-14/article-6/section-27-14-602/" TargetMode="External"/><Relationship Id="rId58" Type="http://schemas.openxmlformats.org/officeDocument/2006/relationships/hyperlink" Target="https://www.courtlistener.com/opinion/1209220/noonan-v-texaco-inc/" TargetMode="External"/><Relationship Id="rId123" Type="http://schemas.openxmlformats.org/officeDocument/2006/relationships/hyperlink" Target="https://law.justia.com/codes/wyoming/2017/title-27/chapter-14/article-6/section-27-14-605/" TargetMode="External"/><Relationship Id="rId330" Type="http://schemas.openxmlformats.org/officeDocument/2006/relationships/hyperlink" Target="https://www.leagle.com/decision/2006703135p3d5681703" TargetMode="External"/><Relationship Id="rId165" Type="http://schemas.openxmlformats.org/officeDocument/2006/relationships/hyperlink" Target="https://casetext.com/case/clark-v-workers-safety-and-comp-div" TargetMode="External"/><Relationship Id="rId372" Type="http://schemas.openxmlformats.org/officeDocument/2006/relationships/hyperlink" Target="https://law.justia.com/codes/wyoming/2017/title-16/chapter-3/section-16-3-107/" TargetMode="External"/><Relationship Id="rId232" Type="http://schemas.openxmlformats.org/officeDocument/2006/relationships/hyperlink" Target="https://www.courtlistener.com/opinion/1296749/matter-of-cordova/" TargetMode="External"/><Relationship Id="rId274" Type="http://schemas.openxmlformats.org/officeDocument/2006/relationships/hyperlink" Target="https://www.leagle.com/decision/2006703135p3d5681703" TargetMode="External"/><Relationship Id="rId27" Type="http://schemas.openxmlformats.org/officeDocument/2006/relationships/hyperlink" Target="https://casetext.com/case/mauch-v-stanley-structures-inc" TargetMode="External"/><Relationship Id="rId69" Type="http://schemas.openxmlformats.org/officeDocument/2006/relationships/hyperlink" Target="https://www.courtlistener.com/opinion/1247097/powell-v-employment-sec-comm/" TargetMode="External"/><Relationship Id="rId134" Type="http://schemas.openxmlformats.org/officeDocument/2006/relationships/hyperlink" Target="https://www.leagle.com/decision/inwyco20160520f70" TargetMode="External"/><Relationship Id="rId80" Type="http://schemas.openxmlformats.org/officeDocument/2006/relationships/hyperlink" Target="https://www.census.gov/eos/www/naics/" TargetMode="External"/><Relationship Id="rId176" Type="http://schemas.openxmlformats.org/officeDocument/2006/relationships/hyperlink" Target="https://www.courtlistener.com/opinion/2621112/state-ex-rel-workerssafety-and-comp-div-v-garl/" TargetMode="External"/><Relationship Id="rId341" Type="http://schemas.openxmlformats.org/officeDocument/2006/relationships/hyperlink" Target="https://www.leagle.com/decision/200114033p3d1071139" TargetMode="External"/><Relationship Id="rId383" Type="http://schemas.openxmlformats.org/officeDocument/2006/relationships/hyperlink" Target="https://www.leagle.com/decision/19991552992p2d56011552" TargetMode="External"/><Relationship Id="rId201" Type="http://schemas.openxmlformats.org/officeDocument/2006/relationships/hyperlink" Target="https://www.courtlistener.com/opinion/4235788/big-horn-county-v-iles/" TargetMode="External"/><Relationship Id="rId222" Type="http://schemas.openxmlformats.org/officeDocument/2006/relationships/hyperlink" Target="https://www.leagle.com/decision/2006323138p3d1851323" TargetMode="External"/><Relationship Id="rId243" Type="http://schemas.openxmlformats.org/officeDocument/2006/relationships/hyperlink" Target="https://casetext.com/case/in-re-moller-v-state" TargetMode="External"/><Relationship Id="rId264" Type="http://schemas.openxmlformats.org/officeDocument/2006/relationships/hyperlink" Target="https://www.leagle.com/decision/200141037p3d3731408" TargetMode="External"/><Relationship Id="rId285" Type="http://schemas.openxmlformats.org/officeDocument/2006/relationships/hyperlink" Target="https://www.leagle.com/decision/inwyco20161114t52" TargetMode="External"/><Relationship Id="rId17" Type="http://schemas.openxmlformats.org/officeDocument/2006/relationships/hyperlink" Target="https://law.justia.com/cases/wyoming/supreme-court/1975/120205.html" TargetMode="External"/><Relationship Id="rId38" Type="http://schemas.openxmlformats.org/officeDocument/2006/relationships/hyperlink" Target="https://www.leagle.com/decision/19951605893p2d71211603" TargetMode="External"/><Relationship Id="rId59" Type="http://schemas.openxmlformats.org/officeDocument/2006/relationships/hyperlink" Target="https://law.justia.com/cases/wyoming/supreme-court/2004/438334.html" TargetMode="External"/><Relationship Id="rId103" Type="http://schemas.openxmlformats.org/officeDocument/2006/relationships/hyperlink" Target="https://law.justia.com/codes/wyoming/2017/title-27/chapter-14/article-6/section-27-14-603/" TargetMode="External"/><Relationship Id="rId124" Type="http://schemas.openxmlformats.org/officeDocument/2006/relationships/hyperlink" Target="https://www.leagle.com/decision/2002110548p3d105711103" TargetMode="External"/><Relationship Id="rId310" Type="http://schemas.openxmlformats.org/officeDocument/2006/relationships/hyperlink" Target="https://law.justia.com/codes/wyoming/2017/title-27/chapter-14/article-1/section-27-14-102/" TargetMode="External"/><Relationship Id="rId70" Type="http://schemas.openxmlformats.org/officeDocument/2006/relationships/hyperlink" Target="https://casetext.com/case/hargrove-v-sleepys-llc-4" TargetMode="External"/><Relationship Id="rId91" Type="http://schemas.openxmlformats.org/officeDocument/2006/relationships/hyperlink" Target="https://www.leagle.com/decision/inidco20151102155" TargetMode="External"/><Relationship Id="rId145" Type="http://schemas.openxmlformats.org/officeDocument/2006/relationships/hyperlink" Target="https://casetext.com/case/jensen-v-manning-brown" TargetMode="External"/><Relationship Id="rId166" Type="http://schemas.openxmlformats.org/officeDocument/2006/relationships/hyperlink" Target="https://www.leagle.com/decision/200213444p3d901125" TargetMode="External"/><Relationship Id="rId187" Type="http://schemas.openxmlformats.org/officeDocument/2006/relationships/hyperlink" Target="https://www.leagle.com/decision/19911103806p2d29711099" TargetMode="External"/><Relationship Id="rId331" Type="http://schemas.openxmlformats.org/officeDocument/2006/relationships/hyperlink" Target="https://www.leagle.com/decision/inwyco20110321c22" TargetMode="External"/><Relationship Id="rId352" Type="http://schemas.openxmlformats.org/officeDocument/2006/relationships/hyperlink" Target="https://law.justia.com/codes/wyoming/2017/title-27/chapter-14/article-6/section-27-14-602/" TargetMode="External"/><Relationship Id="rId373" Type="http://schemas.openxmlformats.org/officeDocument/2006/relationships/hyperlink" Target="https://law.justia.com/codes/wyoming/2017/title-16/chapter-3/section-16-3-107/" TargetMode="External"/><Relationship Id="rId394" Type="http://schemas.openxmlformats.org/officeDocument/2006/relationships/hyperlink" Target="https://www.leagle.com/decision/inwyco20111028f42" TargetMode="External"/><Relationship Id="rId408" Type="http://schemas.openxmlformats.org/officeDocument/2006/relationships/hyperlink" Target="https://www.casebriefs.com/blog/law/administrative-law/administrative-law-keyed-to-strauss/scope-of-review-of-administrative-action/allentown-mack-sales-and-service-inc-v-nlrb/" TargetMode="External"/><Relationship Id="rId1" Type="http://schemas.openxmlformats.org/officeDocument/2006/relationships/hyperlink" Target="https://wyoleg.gov/NXT/gateway.dll?f=templates&amp;fn=default.htm" TargetMode="External"/><Relationship Id="rId212" Type="http://schemas.openxmlformats.org/officeDocument/2006/relationships/hyperlink" Target="https://law.justia.com/cases/north-carolina/supreme-court/1986/460pa84-0.html" TargetMode="External"/><Relationship Id="rId233" Type="http://schemas.openxmlformats.org/officeDocument/2006/relationships/hyperlink" Target="https://law.justia.com/codes/wyoming/2017/title-27/chapter-14/article-4/section-27-14-403/" TargetMode="External"/><Relationship Id="rId254" Type="http://schemas.openxmlformats.org/officeDocument/2006/relationships/hyperlink" Target="https://www2.ed.gov/about/offices/list/osers/rsa/wioa-reauthorization.html" TargetMode="External"/><Relationship Id="rId28" Type="http://schemas.openxmlformats.org/officeDocument/2006/relationships/hyperlink" Target="https://casetext.com/case/stratman-v-admiral-beverage-corp" TargetMode="External"/><Relationship Id="rId49" Type="http://schemas.openxmlformats.org/officeDocument/2006/relationships/hyperlink" Target="https://www.courtlistener.com/opinion/1343616/state-v-freitas/" TargetMode="External"/><Relationship Id="rId114" Type="http://schemas.openxmlformats.org/officeDocument/2006/relationships/hyperlink" Target="https://law.justia.com/codes/wyoming/2017/title-27/chapter-14/article-6/section-27-14-603/" TargetMode="External"/><Relationship Id="rId275" Type="http://schemas.openxmlformats.org/officeDocument/2006/relationships/hyperlink" Target="https://www.leagle.com/decision/2005810124p3d6861808" TargetMode="External"/><Relationship Id="rId296" Type="http://schemas.openxmlformats.org/officeDocument/2006/relationships/hyperlink" Target="https://repository.uwyo.edu/cgi/viewcontent.cgi?article=1379&amp;context=wlr" TargetMode="External"/><Relationship Id="rId300" Type="http://schemas.openxmlformats.org/officeDocument/2006/relationships/hyperlink" Target="http://wyomingworkforce.org/businesses/workerscomp/claims/" TargetMode="External"/><Relationship Id="rId60" Type="http://schemas.openxmlformats.org/officeDocument/2006/relationships/hyperlink" Target="https://law.justia.com/cases/wyoming/supreme-court/1938/118428.html" TargetMode="External"/><Relationship Id="rId81" Type="http://schemas.openxmlformats.org/officeDocument/2006/relationships/hyperlink" Target="https://law.justia.com/codes/wyoming/2017/title-27/chapter-14/article-1/section-27-14-108/" TargetMode="External"/><Relationship Id="rId135" Type="http://schemas.openxmlformats.org/officeDocument/2006/relationships/hyperlink" Target="https://law.justia.com/codes/wyoming/2017/title-27/chapter-14/article-1/section-27-14-102/" TargetMode="External"/><Relationship Id="rId156" Type="http://schemas.openxmlformats.org/officeDocument/2006/relationships/hyperlink" Target="https://www.courtlistener.com/opinion/4234987/fuhs-v-swenson/" TargetMode="External"/><Relationship Id="rId177" Type="http://schemas.openxmlformats.org/officeDocument/2006/relationships/hyperlink" Target="https://www.leagle.com/decision/200213444p3d901125" TargetMode="External"/><Relationship Id="rId198" Type="http://schemas.openxmlformats.org/officeDocument/2006/relationships/hyperlink" Target="https://www.leagle.com/decision/inwyco20140529i06" TargetMode="External"/><Relationship Id="rId321" Type="http://schemas.openxmlformats.org/officeDocument/2006/relationships/hyperlink" Target="https://law.justia.com/codes/wyoming/2017/title-9/chapter-2/article-22/section-9-2-2202/" TargetMode="External"/><Relationship Id="rId342" Type="http://schemas.openxmlformats.org/officeDocument/2006/relationships/hyperlink" Target="https://www.leagle.com/decision/20009077p3d9001895" TargetMode="External"/><Relationship Id="rId363" Type="http://schemas.openxmlformats.org/officeDocument/2006/relationships/hyperlink" Target="https://law.justia.com/codes/wyoming/2017/title-16/chapter-3/section-16-3-107/" TargetMode="External"/><Relationship Id="rId384" Type="http://schemas.openxmlformats.org/officeDocument/2006/relationships/hyperlink" Target="https://www.leagle.com/decision/2005271121p3d1501267" TargetMode="External"/><Relationship Id="rId419" Type="http://schemas.openxmlformats.org/officeDocument/2006/relationships/hyperlink" Target="https://www.leagle.com/decision/200010627kanapp2d79195" TargetMode="External"/><Relationship Id="rId202" Type="http://schemas.openxmlformats.org/officeDocument/2006/relationships/hyperlink" Target="https://www.courtlistener.com/opinion/4235124/kittleson-v-hibler/" TargetMode="External"/><Relationship Id="rId223" Type="http://schemas.openxmlformats.org/officeDocument/2006/relationships/hyperlink" Target="https://www.leagle.com/decision/1985787694p2d931784" TargetMode="External"/><Relationship Id="rId244" Type="http://schemas.openxmlformats.org/officeDocument/2006/relationships/hyperlink" Target="https://www.leagle.com/decision/inwyco20140227f05" TargetMode="External"/><Relationship Id="rId18" Type="http://schemas.openxmlformats.org/officeDocument/2006/relationships/hyperlink" Target="https://law.justia.com/codes/wyoming/2017/title-27/chapter-14/article-1/section-27-14-104/" TargetMode="External"/><Relationship Id="rId39" Type="http://schemas.openxmlformats.org/officeDocument/2006/relationships/hyperlink" Target="https://www.leagle.com/decision/19941242883p2d35911240" TargetMode="External"/><Relationship Id="rId265" Type="http://schemas.openxmlformats.org/officeDocument/2006/relationships/hyperlink" Target="https://law.justia.com/cases/wyoming/supreme-court/1992/122674.html" TargetMode="External"/><Relationship Id="rId286" Type="http://schemas.openxmlformats.org/officeDocument/2006/relationships/hyperlink" Target="https://casetext.com/case/in-re-workers-comp-clm-osenbaugh-v-state" TargetMode="External"/><Relationship Id="rId50" Type="http://schemas.openxmlformats.org/officeDocument/2006/relationships/hyperlink" Target="https://casetext.com/case/escamilla-v-shiel-sexton-co-2" TargetMode="External"/><Relationship Id="rId104" Type="http://schemas.openxmlformats.org/officeDocument/2006/relationships/hyperlink" Target="https://law.justia.com/cases/wyoming/supreme-court/2000/124237.html" TargetMode="External"/><Relationship Id="rId125" Type="http://schemas.openxmlformats.org/officeDocument/2006/relationships/hyperlink" Target="https://www.leagle.com/decision/inwyco20090903a21" TargetMode="External"/><Relationship Id="rId146" Type="http://schemas.openxmlformats.org/officeDocument/2006/relationships/hyperlink" Target="https://www.courtlistener.com/opinion/1294529/wyoming-state-treas-ex-rel-work-comp-d-v-boston/" TargetMode="External"/><Relationship Id="rId167" Type="http://schemas.openxmlformats.org/officeDocument/2006/relationships/hyperlink" Target="https://www.courtlistener.com/opinion/4234887/baldwin-v-scullion/" TargetMode="External"/><Relationship Id="rId188" Type="http://schemas.openxmlformats.org/officeDocument/2006/relationships/hyperlink" Target="https://www.leagle.com/decision/inwyco20101203c83" TargetMode="External"/><Relationship Id="rId311" Type="http://schemas.openxmlformats.org/officeDocument/2006/relationships/hyperlink" Target="https://law.justia.com/codes/wyoming/2017/title-27/chapter-14/article-6/section-27-14-616/" TargetMode="External"/><Relationship Id="rId332" Type="http://schemas.openxmlformats.org/officeDocument/2006/relationships/hyperlink" Target="https://www.leagle.com/decision/inwyco20101202b94" TargetMode="External"/><Relationship Id="rId353" Type="http://schemas.openxmlformats.org/officeDocument/2006/relationships/hyperlink" Target="https://law.justia.com/codes/wyoming/2017/title-27/chapter-14/article-6/section-27-14-602/" TargetMode="External"/><Relationship Id="rId374" Type="http://schemas.openxmlformats.org/officeDocument/2006/relationships/hyperlink" Target="https://law.justia.com/codes/wyoming/2017/title-16/chapter-3/section-16-3-107/" TargetMode="External"/><Relationship Id="rId395" Type="http://schemas.openxmlformats.org/officeDocument/2006/relationships/hyperlink" Target="https://supreme.justia.com/cases/federal/us/467/837/" TargetMode="External"/><Relationship Id="rId409" Type="http://schemas.openxmlformats.org/officeDocument/2006/relationships/hyperlink" Target="https://law.justia.com/cases/federal/district-courts/FSupp/968/624/1947939/" TargetMode="External"/><Relationship Id="rId71" Type="http://schemas.openxmlformats.org/officeDocument/2006/relationships/hyperlink" Target="https://law.justia.com/codes/wyoming/2017/title-27/chapter-14/article-1/section-27-14-108/" TargetMode="External"/><Relationship Id="rId92" Type="http://schemas.openxmlformats.org/officeDocument/2006/relationships/hyperlink" Target="https://www.leagle.com/decision/inwyco20100525c63" TargetMode="External"/><Relationship Id="rId213" Type="http://schemas.openxmlformats.org/officeDocument/2006/relationships/hyperlink" Target="https://www.leagle.com/decision/19841563679p2d88411536" TargetMode="External"/><Relationship Id="rId234" Type="http://schemas.openxmlformats.org/officeDocument/2006/relationships/hyperlink" Target="https://law.justia.com/codes/wyoming/2017/title-27/chapter-14/article-4/section-27-14-403/" TargetMode="External"/><Relationship Id="rId2" Type="http://schemas.openxmlformats.org/officeDocument/2006/relationships/hyperlink" Target="https://law.justia.com/codes/wyoming/2017/title-27/chapter-14/article-1/" TargetMode="External"/><Relationship Id="rId29" Type="http://schemas.openxmlformats.org/officeDocument/2006/relationships/hyperlink" Target="https://www.courtlistener.com/opinion/1282773/wessel-v-mapco-inc/" TargetMode="External"/><Relationship Id="rId255" Type="http://schemas.openxmlformats.org/officeDocument/2006/relationships/hyperlink" Target="https://law.justia.com/codes/wyoming/2017/title-27/chapter-14/article-4/section-27-14-401/" TargetMode="External"/><Relationship Id="rId276" Type="http://schemas.openxmlformats.org/officeDocument/2006/relationships/hyperlink" Target="https://law.justia.com/cases/wyoming/supreme-court/2004/441343.html" TargetMode="External"/><Relationship Id="rId297" Type="http://schemas.openxmlformats.org/officeDocument/2006/relationships/hyperlink" Target="https://casetext.com/case/webb-v-workers-compensation-commn" TargetMode="External"/><Relationship Id="rId40" Type="http://schemas.openxmlformats.org/officeDocument/2006/relationships/hyperlink" Target="https://www.leagle.com/decision/inwyco20140923g34" TargetMode="External"/><Relationship Id="rId115" Type="http://schemas.openxmlformats.org/officeDocument/2006/relationships/hyperlink" Target="https://casetext.com/case/matter-of-injury-to-carpenter" TargetMode="External"/><Relationship Id="rId136" Type="http://schemas.openxmlformats.org/officeDocument/2006/relationships/hyperlink" Target="https://law.justia.com/codes/wyoming/2017/title-27/chapter-14/article-1/section-27-14-102/" TargetMode="External"/><Relationship Id="rId157" Type="http://schemas.openxmlformats.org/officeDocument/2006/relationships/hyperlink" Target="http://masscases.com/cases/sjc/320/320mass432.html" TargetMode="External"/><Relationship Id="rId178" Type="http://schemas.openxmlformats.org/officeDocument/2006/relationships/hyperlink" Target="https://www.courtlistener.com/opinion/1205130/aanenson-v-state-ex-rel-workers-comp/" TargetMode="External"/><Relationship Id="rId301" Type="http://schemas.openxmlformats.org/officeDocument/2006/relationships/hyperlink" Target="https://rules.wyo.gov/" TargetMode="External"/><Relationship Id="rId322" Type="http://schemas.openxmlformats.org/officeDocument/2006/relationships/hyperlink" Target="http://oah.wyo.gov/" TargetMode="External"/><Relationship Id="rId343" Type="http://schemas.openxmlformats.org/officeDocument/2006/relationships/hyperlink" Target="https://www.leagle.com/decision/19981811970p2d84111807" TargetMode="External"/><Relationship Id="rId364" Type="http://schemas.openxmlformats.org/officeDocument/2006/relationships/hyperlink" Target="https://law.justia.com/codes/wyoming/2017/title-16/chapter-3/section-16-3-107/" TargetMode="External"/><Relationship Id="rId61" Type="http://schemas.openxmlformats.org/officeDocument/2006/relationships/hyperlink" Target="https://casetext.com/case/brubaker-v-glenrock-lodge-internatl-ord-of-of" TargetMode="External"/><Relationship Id="rId82" Type="http://schemas.openxmlformats.org/officeDocument/2006/relationships/hyperlink" Target="https://www.leagle.com/decision/19901637798p2d83911631" TargetMode="External"/><Relationship Id="rId199" Type="http://schemas.openxmlformats.org/officeDocument/2006/relationships/hyperlink" Target="https://law.justia.com/codes/wyoming/2017/title-27/chapter-14/article-1/section-27-14-102/" TargetMode="External"/><Relationship Id="rId203" Type="http://schemas.openxmlformats.org/officeDocument/2006/relationships/hyperlink" Target="https://law.justia.com/codes/wyoming/2017/title-27/chapter-14/article-4/section-27-14-403/" TargetMode="External"/><Relationship Id="rId385" Type="http://schemas.openxmlformats.org/officeDocument/2006/relationships/hyperlink" Target="https://www.leagle.com/decision/20013717p3d20136" TargetMode="External"/><Relationship Id="rId19" Type="http://schemas.openxmlformats.org/officeDocument/2006/relationships/hyperlink" Target="https://law.justia.com/codes/wyoming/2017/title-27/chapter-14/article-1/section-27-14-104/" TargetMode="External"/><Relationship Id="rId224" Type="http://schemas.openxmlformats.org/officeDocument/2006/relationships/hyperlink" Target="https://casetext.com/case/vetter-v-alaska-workmens-compensation-board" TargetMode="External"/><Relationship Id="rId245" Type="http://schemas.openxmlformats.org/officeDocument/2006/relationships/hyperlink" Target="https://www.leagle.com/decision/19981246957p2d28911246" TargetMode="External"/><Relationship Id="rId266" Type="http://schemas.openxmlformats.org/officeDocument/2006/relationships/hyperlink" Target="https://www.leagle.com/decision/inwyco20130822e48" TargetMode="External"/><Relationship Id="rId287" Type="http://schemas.openxmlformats.org/officeDocument/2006/relationships/hyperlink" Target="https://www.leagle.com/decision/19971165931p2d23411163" TargetMode="External"/><Relationship Id="rId410" Type="http://schemas.openxmlformats.org/officeDocument/2006/relationships/hyperlink" Target="https://www.leagle.com/decision/1987940742p2d1981939" TargetMode="External"/><Relationship Id="rId30" Type="http://schemas.openxmlformats.org/officeDocument/2006/relationships/hyperlink" Target="https://law.justia.com/cases/wyoming/supreme-court/1987/121925.html" TargetMode="External"/><Relationship Id="rId105" Type="http://schemas.openxmlformats.org/officeDocument/2006/relationships/hyperlink" Target="https://law.justia.com/cases/wyoming/supreme-court/1989/122277.html" TargetMode="External"/><Relationship Id="rId126" Type="http://schemas.openxmlformats.org/officeDocument/2006/relationships/hyperlink" Target="https://www.courtlistener.com/opinion/4235013/pero-v-collier-latimer-inc/" TargetMode="External"/><Relationship Id="rId147" Type="http://schemas.openxmlformats.org/officeDocument/2006/relationships/hyperlink" Target="https://www.courtlistener.com/opinion/1228372/matter-of-willey/?order_by=dateFiled+desc" TargetMode="External"/><Relationship Id="rId168" Type="http://schemas.openxmlformats.org/officeDocument/2006/relationships/hyperlink" Target="https://casetext.com/case/aanenson-v-state-ex-rel-workers-comp" TargetMode="External"/><Relationship Id="rId312" Type="http://schemas.openxmlformats.org/officeDocument/2006/relationships/hyperlink" Target="https://law.justia.com/codes/wyoming/2017/title-27/chapter-14/article-6/section-27-14-616/" TargetMode="External"/><Relationship Id="rId333" Type="http://schemas.openxmlformats.org/officeDocument/2006/relationships/hyperlink" Target="https://www.leagle.com/decision/inwyco20090819a67" TargetMode="External"/><Relationship Id="rId354" Type="http://schemas.openxmlformats.org/officeDocument/2006/relationships/hyperlink" Target="https://law.justia.com/codes/wyoming/2017/title-27/chapter-14/article-6/section-27-14-602/" TargetMode="External"/><Relationship Id="rId51" Type="http://schemas.openxmlformats.org/officeDocument/2006/relationships/hyperlink" Target="https://casetext.com/case/rosa-v-partners-in-progress" TargetMode="External"/><Relationship Id="rId72" Type="http://schemas.openxmlformats.org/officeDocument/2006/relationships/hyperlink" Target="https://law.justia.com/codes/wyoming/2017/title-27/chapter-14/article-1/section-27-14-108/" TargetMode="External"/><Relationship Id="rId93" Type="http://schemas.openxmlformats.org/officeDocument/2006/relationships/hyperlink" Target="https://www.leagle.com/decision/2006317132p3d1851314" TargetMode="External"/><Relationship Id="rId189" Type="http://schemas.openxmlformats.org/officeDocument/2006/relationships/hyperlink" Target="http://workerscompresources.com/wp-content/uploads/2012/11/Introduction-Summary.pdf" TargetMode="External"/><Relationship Id="rId375" Type="http://schemas.openxmlformats.org/officeDocument/2006/relationships/hyperlink" Target="https://law.justia.com/codes/wyoming/2017/title-16/chapter-3/section-16-3-111/" TargetMode="External"/><Relationship Id="rId396" Type="http://schemas.openxmlformats.org/officeDocument/2006/relationships/hyperlink" Target="https://www.leagle.com/decision/inwyco20091112b75" TargetMode="External"/><Relationship Id="rId3" Type="http://schemas.openxmlformats.org/officeDocument/2006/relationships/hyperlink" Target="https://law.justia.com/codes/wyoming/2017/title-27/chapter-14/article-6/section-27-14-616/" TargetMode="External"/><Relationship Id="rId214" Type="http://schemas.openxmlformats.org/officeDocument/2006/relationships/hyperlink" Target="https://www.leagle.com/decision/inwyco20130312d90" TargetMode="External"/><Relationship Id="rId235" Type="http://schemas.openxmlformats.org/officeDocument/2006/relationships/hyperlink" Target="https://www.leagle.com/decision/19751744533p2d121111741" TargetMode="External"/><Relationship Id="rId256" Type="http://schemas.openxmlformats.org/officeDocument/2006/relationships/hyperlink" Target="https://law.justia.com/codes/wyoming/2017/title-27/chapter-14/article-4/section-27-14-401/" TargetMode="External"/><Relationship Id="rId277" Type="http://schemas.openxmlformats.org/officeDocument/2006/relationships/hyperlink" Target="https://law.justia.com/cases/wyoming/supreme-court/1999/124218.html" TargetMode="External"/><Relationship Id="rId298" Type="http://schemas.openxmlformats.org/officeDocument/2006/relationships/hyperlink" Target="https://law.justia.com/codes/wyoming/2017/title-27/chapter-14/article-6/section-27-14-601/" TargetMode="External"/><Relationship Id="rId400" Type="http://schemas.openxmlformats.org/officeDocument/2006/relationships/hyperlink" Target="https://www.leagle.com/decision/inwyco20170815m03" TargetMode="External"/><Relationship Id="rId116" Type="http://schemas.openxmlformats.org/officeDocument/2006/relationships/hyperlink" Target="https://www.leagle.com/decision/19842072684p2d138812066" TargetMode="External"/><Relationship Id="rId137" Type="http://schemas.openxmlformats.org/officeDocument/2006/relationships/hyperlink" Target="https://www.courtlistener.com/opinion/2640515/cook-v-shoshone-first-bank/" TargetMode="External"/><Relationship Id="rId158" Type="http://schemas.openxmlformats.org/officeDocument/2006/relationships/hyperlink" Target="https://www.courtlistener.com/opinion/1447639/weidt-v-brannan-motor-co/" TargetMode="External"/><Relationship Id="rId302" Type="http://schemas.openxmlformats.org/officeDocument/2006/relationships/hyperlink" Target="https://law.justia.com/codes/wyoming/2017/title-27/chapter-14/article-6/section-27-14-601/" TargetMode="External"/><Relationship Id="rId323" Type="http://schemas.openxmlformats.org/officeDocument/2006/relationships/hyperlink" Target="https://law.justia.com/codes/wyoming/2017/title-16/chapter-3/section-16-3-107/" TargetMode="External"/><Relationship Id="rId344" Type="http://schemas.openxmlformats.org/officeDocument/2006/relationships/hyperlink" Target="https://www.leagle.com/decision/inwyco20110207989" TargetMode="External"/><Relationship Id="rId20" Type="http://schemas.openxmlformats.org/officeDocument/2006/relationships/hyperlink" Target="https://casetext.com/case/robinson-v-bell-7" TargetMode="External"/><Relationship Id="rId41" Type="http://schemas.openxmlformats.org/officeDocument/2006/relationships/hyperlink" Target="https://www.leagle.com/decision/inwyco20131011a38" TargetMode="External"/><Relationship Id="rId62" Type="http://schemas.openxmlformats.org/officeDocument/2006/relationships/hyperlink" Target="https://casetext.com/case/combined-ins-co-of-america-v-sinclair" TargetMode="External"/><Relationship Id="rId83" Type="http://schemas.openxmlformats.org/officeDocument/2006/relationships/hyperlink" Target="https://casetext.com/case/mills-v-reynolds-1" TargetMode="External"/><Relationship Id="rId179" Type="http://schemas.openxmlformats.org/officeDocument/2006/relationships/hyperlink" Target="https://law.justia.com/cases/wyoming/supreme-court/2005/444494.html" TargetMode="External"/><Relationship Id="rId365" Type="http://schemas.openxmlformats.org/officeDocument/2006/relationships/hyperlink" Target="https://law.justia.com/codes/wyoming/2017/title-16/chapter-3/section-16-3-107/" TargetMode="External"/><Relationship Id="rId386" Type="http://schemas.openxmlformats.org/officeDocument/2006/relationships/hyperlink" Target="https://law.justia.com/codes/wyoming/2017/title-27/chapter-14/article-1/section-27-14-102/" TargetMode="External"/><Relationship Id="rId190" Type="http://schemas.openxmlformats.org/officeDocument/2006/relationships/hyperlink" Target="https://www.nasi.org/sites/default/files/research/NASI_Workers%20Comp%20Report%202017_web.pdf" TargetMode="External"/><Relationship Id="rId204" Type="http://schemas.openxmlformats.org/officeDocument/2006/relationships/hyperlink" Target="https://law.justia.com/codes/wyoming/2017/title-27/chapter-14/article-4/section-27-14-403/" TargetMode="External"/><Relationship Id="rId225" Type="http://schemas.openxmlformats.org/officeDocument/2006/relationships/hyperlink" Target="https://law.justia.com/codes/wyoming/2017/title-27/chapter-14/article-4/section-27-14-406/" TargetMode="External"/><Relationship Id="rId246" Type="http://schemas.openxmlformats.org/officeDocument/2006/relationships/hyperlink" Target="https://www.courtlistener.com/opinion/1347628/casper-oil-co-v-evenson/?" TargetMode="External"/><Relationship Id="rId267" Type="http://schemas.openxmlformats.org/officeDocument/2006/relationships/hyperlink" Target="https://www.leagle.com/decision/inwyco20130813e64" TargetMode="External"/><Relationship Id="rId288" Type="http://schemas.openxmlformats.org/officeDocument/2006/relationships/hyperlink" Target="https://law.justia.com/cases/wyoming/supreme-court/2013/s-12-0220.html" TargetMode="External"/><Relationship Id="rId411" Type="http://schemas.openxmlformats.org/officeDocument/2006/relationships/hyperlink" Target="https://casetext.com/case/stratman-v-admiral-beverage-corp" TargetMode="External"/><Relationship Id="rId106" Type="http://schemas.openxmlformats.org/officeDocument/2006/relationships/hyperlink" Target="https://www.leagle.com/decision/2004112488p3d103611118" TargetMode="External"/><Relationship Id="rId127" Type="http://schemas.openxmlformats.org/officeDocument/2006/relationships/hyperlink" Target="https://law.justia.com/codes/wyoming/2017/title-27/chapter-14/article-1/section-27-14-102/" TargetMode="External"/><Relationship Id="rId313" Type="http://schemas.openxmlformats.org/officeDocument/2006/relationships/hyperlink" Target="https://www.leagle.com/decision/19981983960p2d102311974" TargetMode="External"/><Relationship Id="rId10" Type="http://schemas.openxmlformats.org/officeDocument/2006/relationships/hyperlink" Target="https://law.justia.com/cases/wyoming/supreme-court/1925/117544.html" TargetMode="External"/><Relationship Id="rId31" Type="http://schemas.openxmlformats.org/officeDocument/2006/relationships/hyperlink" Target="https://casetext.com/case/bence-v-pacific-power-and-light-co" TargetMode="External"/><Relationship Id="rId52" Type="http://schemas.openxmlformats.org/officeDocument/2006/relationships/hyperlink" Target="http://www.davetorrey.info/index.htm" TargetMode="External"/><Relationship Id="rId73" Type="http://schemas.openxmlformats.org/officeDocument/2006/relationships/hyperlink" Target="https://www.leagle.com/decision/19901637798p2d83911631" TargetMode="External"/><Relationship Id="rId94" Type="http://schemas.openxmlformats.org/officeDocument/2006/relationships/hyperlink" Target="https://law.justia.com/cases/wyoming/supreme-court/1998/124065.html" TargetMode="External"/><Relationship Id="rId148" Type="http://schemas.openxmlformats.org/officeDocument/2006/relationships/hyperlink" Target="https://law.justia.com/cases/wyoming/supreme-court/1983/121063.html" TargetMode="External"/><Relationship Id="rId169" Type="http://schemas.openxmlformats.org/officeDocument/2006/relationships/hyperlink" Target="https://law.justia.com/cases/wyoming/supreme-court/2005/441565.html" TargetMode="External"/><Relationship Id="rId334" Type="http://schemas.openxmlformats.org/officeDocument/2006/relationships/hyperlink" Target="https://www.leagle.com/decision/inwyco20090520910" TargetMode="External"/><Relationship Id="rId355" Type="http://schemas.openxmlformats.org/officeDocument/2006/relationships/hyperlink" Target="https://law.justia.com/codes/wyoming/2017/title-27/chapter-14/article-6/section-27-14-602/" TargetMode="External"/><Relationship Id="rId376" Type="http://schemas.openxmlformats.org/officeDocument/2006/relationships/hyperlink" Target="https://law.justia.com/codes/wyoming/2017/title-16/chapter-3/section-16-3-111/" TargetMode="External"/><Relationship Id="rId397" Type="http://schemas.openxmlformats.org/officeDocument/2006/relationships/hyperlink" Target="https://www.leagle.com/decision/inwyco20190201f76" TargetMode="External"/><Relationship Id="rId4" Type="http://schemas.openxmlformats.org/officeDocument/2006/relationships/hyperlink" Target="https://law.justia.com/codes/wyoming/2017/title-27/chapter-14/article-1/" TargetMode="External"/><Relationship Id="rId180" Type="http://schemas.openxmlformats.org/officeDocument/2006/relationships/hyperlink" Target="https://law.justia.com/codes/wyoming/2017/title-27/chapter-14/article-5/section-27-14-503/" TargetMode="External"/><Relationship Id="rId215" Type="http://schemas.openxmlformats.org/officeDocument/2006/relationships/hyperlink" Target="https://law.justia.com/cases/wyoming/supreme-court/2004/438509.html" TargetMode="External"/><Relationship Id="rId236" Type="http://schemas.openxmlformats.org/officeDocument/2006/relationships/hyperlink" Target="https://casetext.com/case/wyoming-workers-comp-v-halstead" TargetMode="External"/><Relationship Id="rId257" Type="http://schemas.openxmlformats.org/officeDocument/2006/relationships/hyperlink" Target="https://law.justia.com/codes/wyoming/2017/title-27/chapter-14/article-4/section-27-14-401/" TargetMode="External"/><Relationship Id="rId278" Type="http://schemas.openxmlformats.org/officeDocument/2006/relationships/hyperlink" Target="https://www.leagle.com/decision/19931537854p2d68311531" TargetMode="External"/><Relationship Id="rId401" Type="http://schemas.openxmlformats.org/officeDocument/2006/relationships/hyperlink" Target="https://www.leagle.com/decision/inwyco20170216g35" TargetMode="External"/><Relationship Id="rId303" Type="http://schemas.openxmlformats.org/officeDocument/2006/relationships/hyperlink" Target="https://law.justia.com/cases/wyoming/supreme-court/1997/123407.html" TargetMode="External"/><Relationship Id="rId42" Type="http://schemas.openxmlformats.org/officeDocument/2006/relationships/hyperlink" Target="https://law.justia.com/cases/wyoming/supreme-court/1984/121237.html" TargetMode="External"/><Relationship Id="rId84" Type="http://schemas.openxmlformats.org/officeDocument/2006/relationships/hyperlink" Target="https://www.leagle.com/decision/inokco20160913653" TargetMode="External"/><Relationship Id="rId138" Type="http://schemas.openxmlformats.org/officeDocument/2006/relationships/hyperlink" Target="https://www.courtlistener.com/opinion/2519844/brierley-v-state/" TargetMode="External"/><Relationship Id="rId345" Type="http://schemas.openxmlformats.org/officeDocument/2006/relationships/hyperlink" Target="https://www.leagle.com/decision/inwyco20100408c24" TargetMode="External"/><Relationship Id="rId387" Type="http://schemas.openxmlformats.org/officeDocument/2006/relationships/hyperlink" Target="http://www.davetorrey.info" TargetMode="External"/><Relationship Id="rId191" Type="http://schemas.openxmlformats.org/officeDocument/2006/relationships/hyperlink" Target="https://www.ssa.gov/policy/docs/ssb/v65n4/v65n4p16.html" TargetMode="External"/><Relationship Id="rId205" Type="http://schemas.openxmlformats.org/officeDocument/2006/relationships/hyperlink" Target="https://casetext.com/case/blue-bell-inc-v-nichols" TargetMode="External"/><Relationship Id="rId247" Type="http://schemas.openxmlformats.org/officeDocument/2006/relationships/hyperlink" Target="https://www.leagle.com/decision/inwyco20180330h73" TargetMode="External"/><Relationship Id="rId412" Type="http://schemas.openxmlformats.org/officeDocument/2006/relationships/hyperlink" Target="https://www.leagle.com/decision/inwyco20110120e37" TargetMode="External"/><Relationship Id="rId107" Type="http://schemas.openxmlformats.org/officeDocument/2006/relationships/hyperlink" Target="https://law.justia.com/cases/wyoming/supreme-court/1972/119989.html" TargetMode="External"/><Relationship Id="rId289" Type="http://schemas.openxmlformats.org/officeDocument/2006/relationships/hyperlink" Target="https://law.justia.com/cases/wyoming/supreme-court/1999/123990.html" TargetMode="External"/><Relationship Id="rId11" Type="http://schemas.openxmlformats.org/officeDocument/2006/relationships/hyperlink" Target="https://law.justia.com/cases/wyoming/supreme-court/1939/118435.html" TargetMode="External"/><Relationship Id="rId53" Type="http://schemas.openxmlformats.org/officeDocument/2006/relationships/hyperlink" Target="https://law.justia.com/codes/wyoming/2017/title-27/chapter-14/article-1/section-27-14-102/" TargetMode="External"/><Relationship Id="rId149" Type="http://schemas.openxmlformats.org/officeDocument/2006/relationships/hyperlink" Target="https://law.justia.com/cases/wyoming/supreme-court/1986/121682.html" TargetMode="External"/><Relationship Id="rId314" Type="http://schemas.openxmlformats.org/officeDocument/2006/relationships/hyperlink" Target="https://law.justia.com/codes/wyoming/2017/title-27/chapter-14/article-6/section-27-14-616/" TargetMode="External"/><Relationship Id="rId356" Type="http://schemas.openxmlformats.org/officeDocument/2006/relationships/hyperlink" Target="https://law.justia.com/codes/wyoming/2017/title-27/chapter-14/article-6/section-27-14-602/" TargetMode="External"/><Relationship Id="rId398" Type="http://schemas.openxmlformats.org/officeDocument/2006/relationships/hyperlink" Target="https://www.leagle.com/decision/inwyco20090925b01" TargetMode="External"/><Relationship Id="rId95" Type="http://schemas.openxmlformats.org/officeDocument/2006/relationships/hyperlink" Target="https://www.leagle.com/decision/2000572537se2d351565" TargetMode="External"/><Relationship Id="rId160" Type="http://schemas.openxmlformats.org/officeDocument/2006/relationships/hyperlink" Target="https://www.courtlistener.com/opinion/1264627/in-re-workers-compensation-claim-of-keck/" TargetMode="External"/><Relationship Id="rId216" Type="http://schemas.openxmlformats.org/officeDocument/2006/relationships/hyperlink" Target="https://www.leagle.com/decision/200298258p3d9241980" TargetMode="External"/><Relationship Id="rId258" Type="http://schemas.openxmlformats.org/officeDocument/2006/relationships/hyperlink" Target="https://www.leagle.com/decision/19981804957p2d84711798" TargetMode="External"/><Relationship Id="rId22" Type="http://schemas.openxmlformats.org/officeDocument/2006/relationships/hyperlink" Target="https://law.justia.com/cases/wyoming/supreme-court/1987/121925.html" TargetMode="External"/><Relationship Id="rId64" Type="http://schemas.openxmlformats.org/officeDocument/2006/relationships/hyperlink" Target="https://casetext.com/case/tauer-v-williams" TargetMode="External"/><Relationship Id="rId118" Type="http://schemas.openxmlformats.org/officeDocument/2006/relationships/hyperlink" Target="https://www.courtlistener.com/opinion/2581616/in-re-boyce/" TargetMode="External"/><Relationship Id="rId325" Type="http://schemas.openxmlformats.org/officeDocument/2006/relationships/hyperlink" Target="https://www.courtlistener.com/opinion/1198911/french-v-amax-coal-west/?" TargetMode="External"/><Relationship Id="rId367" Type="http://schemas.openxmlformats.org/officeDocument/2006/relationships/hyperlink" Target="https://law.justia.com/codes/wyoming/2017/title-16/chapter-3/section-16-3-107/" TargetMode="External"/><Relationship Id="rId171" Type="http://schemas.openxmlformats.org/officeDocument/2006/relationships/hyperlink" Target="https://law.justia.com/cases/wyoming/supreme-court/2007/449648.html" TargetMode="External"/><Relationship Id="rId227" Type="http://schemas.openxmlformats.org/officeDocument/2006/relationships/hyperlink" Target="https://scholarship.law.duke.edu/dlj/vol14/iss4/1/" TargetMode="External"/><Relationship Id="rId269" Type="http://schemas.openxmlformats.org/officeDocument/2006/relationships/hyperlink" Target="https://www.courtlistener.com/opinion/1179881/matter-of-workers-comp-claim-of-thornberg/" TargetMode="External"/><Relationship Id="rId33" Type="http://schemas.openxmlformats.org/officeDocument/2006/relationships/hyperlink" Target="https://www.courtlistener.com/opinion/1233586/hockett-v-chapman/" TargetMode="External"/><Relationship Id="rId129" Type="http://schemas.openxmlformats.org/officeDocument/2006/relationships/hyperlink" Target="https://www.courtlistener.com/opinion/1163822/hammond-v-hitching-post-inn/" TargetMode="External"/><Relationship Id="rId280" Type="http://schemas.openxmlformats.org/officeDocument/2006/relationships/hyperlink" Target="https://law.justia.com/cases/wyoming/supreme-court/1979/120602.html" TargetMode="External"/><Relationship Id="rId336" Type="http://schemas.openxmlformats.org/officeDocument/2006/relationships/hyperlink" Target="https://www.leagle.com/decision/inadvwyco100826002823" TargetMode="External"/><Relationship Id="rId75" Type="http://schemas.openxmlformats.org/officeDocument/2006/relationships/hyperlink" Target="https://law.justia.com/codes/wyoming/2017/title-27/chapter-14/article-1/section-27-14-102/" TargetMode="External"/><Relationship Id="rId140" Type="http://schemas.openxmlformats.org/officeDocument/2006/relationships/hyperlink" Target="https://www.courtlistener.com/opinion/1239056/pinkerton-v-state-ex-rel-wwscd/" TargetMode="External"/><Relationship Id="rId182" Type="http://schemas.openxmlformats.org/officeDocument/2006/relationships/hyperlink" Target="https://law.justia.com/cases/wyoming/supreme-court/2002/387005.html" TargetMode="External"/><Relationship Id="rId378" Type="http://schemas.openxmlformats.org/officeDocument/2006/relationships/hyperlink" Target="https://law.justia.com/codes/wyoming/2017/title-27/chapter-14/article-6/section-27-14-602/" TargetMode="External"/><Relationship Id="rId403" Type="http://schemas.openxmlformats.org/officeDocument/2006/relationships/hyperlink" Target="https://www.leagle.com/decision/200221249p3d1631212" TargetMode="External"/><Relationship Id="rId6" Type="http://schemas.openxmlformats.org/officeDocument/2006/relationships/hyperlink" Target="https://www.courtlistener.com/opinion/1186483/wright-v-state-ex-rel-workerssafety/" TargetMode="External"/><Relationship Id="rId238" Type="http://schemas.openxmlformats.org/officeDocument/2006/relationships/hyperlink" Target="https://law.justia.com/codes/wyoming/2017/title-27/chapter-14/article-4/section-27-14-403/" TargetMode="External"/><Relationship Id="rId291" Type="http://schemas.openxmlformats.org/officeDocument/2006/relationships/hyperlink" Target="https://www.leagle.com/decision/200010492p3d104711037" TargetMode="External"/><Relationship Id="rId305" Type="http://schemas.openxmlformats.org/officeDocument/2006/relationships/hyperlink" Target="http://www.wyomingworkforce.org/workers/workerscomp/docs/" TargetMode="External"/><Relationship Id="rId347" Type="http://schemas.openxmlformats.org/officeDocument/2006/relationships/hyperlink" Target="https://www.leagle.com/decision/19842014681p2d133312010" TargetMode="External"/><Relationship Id="rId44" Type="http://schemas.openxmlformats.org/officeDocument/2006/relationships/hyperlink" Target="https://law.justia.com/cases/wyoming/supreme-court/2020/s-19-0219.html" TargetMode="External"/><Relationship Id="rId86" Type="http://schemas.openxmlformats.org/officeDocument/2006/relationships/hyperlink" Target="https://www.leagle.com/decision/19971414933p2d48111410" TargetMode="External"/><Relationship Id="rId151" Type="http://schemas.openxmlformats.org/officeDocument/2006/relationships/hyperlink" Target="https://www.leagle.com/decision/1990876787p2d891875" TargetMode="External"/><Relationship Id="rId389" Type="http://schemas.openxmlformats.org/officeDocument/2006/relationships/hyperlink" Target="https://www.leagle.com/decision/inwyco20170216g35" TargetMode="External"/><Relationship Id="rId193" Type="http://schemas.openxmlformats.org/officeDocument/2006/relationships/hyperlink" Target="https://www.leagle.com/decision/inwyco20180710f37" TargetMode="External"/><Relationship Id="rId207" Type="http://schemas.openxmlformats.org/officeDocument/2006/relationships/hyperlink" Target="https://www.courtlistener.com/opinion/2206512/lombardo-v-atkinson-kiewit/?" TargetMode="External"/><Relationship Id="rId249" Type="http://schemas.openxmlformats.org/officeDocument/2006/relationships/hyperlink" Target="https://law.justia.com/codes/wyoming/2017/title-27/chapter-14/article-5/section-27-14-501/" TargetMode="External"/><Relationship Id="rId414" Type="http://schemas.openxmlformats.org/officeDocument/2006/relationships/hyperlink" Target="https://www.leagle.com/decision/19871617743p2d87411614" TargetMode="External"/><Relationship Id="rId13" Type="http://schemas.openxmlformats.org/officeDocument/2006/relationships/hyperlink" Target="https://www.leagle.com/decision/19821881655p2d122611878" TargetMode="External"/><Relationship Id="rId109" Type="http://schemas.openxmlformats.org/officeDocument/2006/relationships/hyperlink" Target="https://www.courtlistener.com/opinion/4235411/wilson-v-holly-sugar-corp/" TargetMode="External"/><Relationship Id="rId260" Type="http://schemas.openxmlformats.org/officeDocument/2006/relationships/hyperlink" Target="https://www.courtlistener.com/opinion/1175960/story-v-wyoming-state-bd-of-med-examiners/?" TargetMode="External"/><Relationship Id="rId316" Type="http://schemas.openxmlformats.org/officeDocument/2006/relationships/hyperlink" Target="http://www.abajournal.com/news/article/judges_and_the_administrative_state" TargetMode="External"/><Relationship Id="rId55" Type="http://schemas.openxmlformats.org/officeDocument/2006/relationships/hyperlink" Target="https://law.justia.com/codes/wyoming/2017/title-27/chapter-14/article-1/section-27-14-102/" TargetMode="External"/><Relationship Id="rId97" Type="http://schemas.openxmlformats.org/officeDocument/2006/relationships/hyperlink" Target="https://www.leagle.com/decision/insdco20130711536" TargetMode="External"/><Relationship Id="rId120" Type="http://schemas.openxmlformats.org/officeDocument/2006/relationships/hyperlink" Target="https://www.courtlistener.com/opinion/1171264/claim-of-vondra/" TargetMode="External"/><Relationship Id="rId358" Type="http://schemas.openxmlformats.org/officeDocument/2006/relationships/hyperlink" Target="https://law.justia.com/codes/wyoming/2017/title-27/chapter-14/article-6/section-27-14-602/" TargetMode="External"/><Relationship Id="rId162" Type="http://schemas.openxmlformats.org/officeDocument/2006/relationships/hyperlink" Target="https://law.justia.com/cases/wyoming/supreme-court/1996/123396.html" TargetMode="External"/><Relationship Id="rId218" Type="http://schemas.openxmlformats.org/officeDocument/2006/relationships/hyperlink" Target="https://www.leagle.com/decision/200345461p3d3931452" TargetMode="External"/><Relationship Id="rId271" Type="http://schemas.openxmlformats.org/officeDocument/2006/relationships/hyperlink" Target="https://www.leagle.com/decision/inwyco20090819a67" TargetMode="External"/><Relationship Id="rId24" Type="http://schemas.openxmlformats.org/officeDocument/2006/relationships/hyperlink" Target="https://www.leagle.com/decision/19741139518p2d62111131" TargetMode="External"/><Relationship Id="rId66" Type="http://schemas.openxmlformats.org/officeDocument/2006/relationships/hyperlink" Target="https://www.leagle.com/decision/19861960723p2d123711952" TargetMode="External"/><Relationship Id="rId131" Type="http://schemas.openxmlformats.org/officeDocument/2006/relationships/hyperlink" Target="https://law.justia.com/codes/wyoming/2017/title-27/chapter-14/article-6/section-27-14-603/" TargetMode="External"/><Relationship Id="rId327" Type="http://schemas.openxmlformats.org/officeDocument/2006/relationships/hyperlink" Target="https://www.leagle.com/decision/19991303980p2d32311302" TargetMode="External"/><Relationship Id="rId369" Type="http://schemas.openxmlformats.org/officeDocument/2006/relationships/hyperlink" Target="https://law.justia.com/codes/wyoming/2017/title-16/chapter-3/section-16-3-107/" TargetMode="External"/><Relationship Id="rId173" Type="http://schemas.openxmlformats.org/officeDocument/2006/relationships/hyperlink" Target="https://www.leagle.com/decision/inwyco20090206d11" TargetMode="External"/><Relationship Id="rId229" Type="http://schemas.openxmlformats.org/officeDocument/2006/relationships/hyperlink" Target="https://law.justia.com/codes/wyoming/2017/title-27/chapter-14/article-4/section-27-14-403/" TargetMode="External"/><Relationship Id="rId380" Type="http://schemas.openxmlformats.org/officeDocument/2006/relationships/hyperlink" Target="https://law.justia.com/cases/wyoming/supreme-court/1998/123724.html" TargetMode="External"/><Relationship Id="rId240" Type="http://schemas.openxmlformats.org/officeDocument/2006/relationships/hyperlink" Target="https://www.nasi.org/sites/default/files/research/NASI_Workers%20Comp%20Report%202017_web.pdf" TargetMode="External"/><Relationship Id="rId35" Type="http://schemas.openxmlformats.org/officeDocument/2006/relationships/hyperlink" Target="https://www.courtlistener.com/opinion/2374735/formisano-v-gaston/" TargetMode="External"/><Relationship Id="rId77" Type="http://schemas.openxmlformats.org/officeDocument/2006/relationships/hyperlink" Target="https://law.justia.com/cases/federal/district-courts/FSupp/555/827/1457341/" TargetMode="External"/><Relationship Id="rId100" Type="http://schemas.openxmlformats.org/officeDocument/2006/relationships/hyperlink" Target="https://law.justia.com/cases/wyoming/supreme-court/1993/122836.html" TargetMode="External"/><Relationship Id="rId282" Type="http://schemas.openxmlformats.org/officeDocument/2006/relationships/hyperlink" Target="https://law.justia.com/cases/wyoming/supreme-court/1999/123990.html" TargetMode="External"/><Relationship Id="rId338" Type="http://schemas.openxmlformats.org/officeDocument/2006/relationships/hyperlink" Target="https://law.justia.com/codes/wyoming/2017/title-16/chapter-3/section-16-3-107/" TargetMode="External"/><Relationship Id="rId8" Type="http://schemas.openxmlformats.org/officeDocument/2006/relationships/hyperlink" Target="https://law.justia.com/cases/wyoming/supreme-court/1999/123990.html" TargetMode="External"/><Relationship Id="rId142" Type="http://schemas.openxmlformats.org/officeDocument/2006/relationships/hyperlink" Target="https://casetext.com/case/archuleta-v-carbon-county-school-d" TargetMode="External"/><Relationship Id="rId184" Type="http://schemas.openxmlformats.org/officeDocument/2006/relationships/hyperlink" Target="https://www.leagle.com/decision/19791424589p2d83511416" TargetMode="External"/><Relationship Id="rId391" Type="http://schemas.openxmlformats.org/officeDocument/2006/relationships/hyperlink" Target="https://repository.uwyo.edu/cgi/viewcontent.cgi?article=1379&amp;context=wlr" TargetMode="External"/><Relationship Id="rId405" Type="http://schemas.openxmlformats.org/officeDocument/2006/relationships/hyperlink" Target="https://law.justia.com/cases/wyoming/supreme-court/2018/s-17-0290.html" TargetMode="External"/><Relationship Id="rId251" Type="http://schemas.openxmlformats.org/officeDocument/2006/relationships/hyperlink" Target="https://www.leagle.com/decision/inadvfdco170113000167" TargetMode="External"/><Relationship Id="rId46" Type="http://schemas.openxmlformats.org/officeDocument/2006/relationships/hyperlink" Target="https://law.justia.com/codes/wyoming/2017/title-27/chapter-14/article-1/section-27-14-102/" TargetMode="External"/><Relationship Id="rId293" Type="http://schemas.openxmlformats.org/officeDocument/2006/relationships/hyperlink" Target="http://www.davetorrey.info" TargetMode="External"/><Relationship Id="rId307" Type="http://schemas.openxmlformats.org/officeDocument/2006/relationships/hyperlink" Target="https://law.justia.com/cases/wyoming/supreme-court/1998/123724.html" TargetMode="External"/><Relationship Id="rId349" Type="http://schemas.openxmlformats.org/officeDocument/2006/relationships/hyperlink" Target="https://law.justia.com/codes/wyoming/2017/title-27/chapter-14/article-6/section-27-14-602/" TargetMode="External"/><Relationship Id="rId88" Type="http://schemas.openxmlformats.org/officeDocument/2006/relationships/hyperlink" Target="https://www.leagle.com/decision/innvco20100930315" TargetMode="External"/><Relationship Id="rId111" Type="http://schemas.openxmlformats.org/officeDocument/2006/relationships/hyperlink" Target="https://www.courtlistener.com/opinion/4235252/associated-seed-growers-v-scrogham/?" TargetMode="External"/><Relationship Id="rId153" Type="http://schemas.openxmlformats.org/officeDocument/2006/relationships/hyperlink" Target="https://law.justia.com/cases/wyoming/supreme-court/2005/441616.htm" TargetMode="External"/><Relationship Id="rId195" Type="http://schemas.openxmlformats.org/officeDocument/2006/relationships/hyperlink" Target="https://www.leagle.com/decision/inwyco20130306e93" TargetMode="External"/><Relationship Id="rId209" Type="http://schemas.openxmlformats.org/officeDocument/2006/relationships/hyperlink" Target="https://casetext.com/case/workers-comp-claim-of-mcintosh-v-state?page=788&amp;resultsNav=false" TargetMode="External"/><Relationship Id="rId360" Type="http://schemas.openxmlformats.org/officeDocument/2006/relationships/hyperlink" Target="https://law.justia.com/codes/wyoming/2017/title-27/chapter-14/article-6/section-27-14-602/" TargetMode="External"/><Relationship Id="rId416" Type="http://schemas.openxmlformats.org/officeDocument/2006/relationships/hyperlink" Target="https://casetext.com/case/baker-v-limber" TargetMode="External"/><Relationship Id="rId220" Type="http://schemas.openxmlformats.org/officeDocument/2006/relationships/hyperlink" Target="https://rules.wyo.gov/Search.aspx" TargetMode="External"/><Relationship Id="rId15" Type="http://schemas.openxmlformats.org/officeDocument/2006/relationships/hyperlink" Target="https://law.justia.com/cases/new-mexico/supreme-court/2016/35-426-0.html" TargetMode="External"/><Relationship Id="rId57" Type="http://schemas.openxmlformats.org/officeDocument/2006/relationships/hyperlink" Target="https://law.justia.com/cases/wyoming/supreme-court/1990/122366.html" TargetMode="External"/><Relationship Id="rId262" Type="http://schemas.openxmlformats.org/officeDocument/2006/relationships/hyperlink" Target="https://www.leagle.com/decision/inwyco20090903a21" TargetMode="External"/><Relationship Id="rId318" Type="http://schemas.openxmlformats.org/officeDocument/2006/relationships/hyperlink" Target="https://law.justia.com/codes/wyoming/2017/title-9/chapter-2/article-10/section-9-2-1019/" TargetMode="External"/><Relationship Id="rId99" Type="http://schemas.openxmlformats.org/officeDocument/2006/relationships/hyperlink" Target="https://casetext.com/case/in-re-yenne-tully-v-workers-saf" TargetMode="External"/><Relationship Id="rId122" Type="http://schemas.openxmlformats.org/officeDocument/2006/relationships/hyperlink" Target="https://law.justia.com/cases/wyoming/supreme-court/2004/441290.html" TargetMode="External"/><Relationship Id="rId164" Type="http://schemas.openxmlformats.org/officeDocument/2006/relationships/hyperlink" Target="https://rules.wyo.gov/Search.aspx?mode=1" TargetMode="External"/><Relationship Id="rId371" Type="http://schemas.openxmlformats.org/officeDocument/2006/relationships/hyperlink" Target="https://law.justia.com/codes/wyoming/2017/title-16/chapter-3/section-16-3-107/" TargetMode="External"/><Relationship Id="rId26" Type="http://schemas.openxmlformats.org/officeDocument/2006/relationships/hyperlink" Target="https://law.justia.com/cases/wyoming/supreme-court/1984/121301.html" TargetMode="External"/><Relationship Id="rId231" Type="http://schemas.openxmlformats.org/officeDocument/2006/relationships/hyperlink" Target="https://law.justia.com/codes/wyoming/2017/title-27/chapter-14/article-4/section-27-14-403/" TargetMode="External"/><Relationship Id="rId273" Type="http://schemas.openxmlformats.org/officeDocument/2006/relationships/hyperlink" Target="https://law.justia.com/codes/wyoming/2017/title-27/chapter-14/article-6/section-27-14-604/" TargetMode="External"/><Relationship Id="rId329" Type="http://schemas.openxmlformats.org/officeDocument/2006/relationships/hyperlink" Target="https://wyoleg.gov/NXT/gateway.dll?f=templates&amp;fn=default.htm" TargetMode="External"/><Relationship Id="rId68" Type="http://schemas.openxmlformats.org/officeDocument/2006/relationships/hyperlink" Target="https://www.leagle.com/decision/19861237726p2d51111227" TargetMode="External"/><Relationship Id="rId133" Type="http://schemas.openxmlformats.org/officeDocument/2006/relationships/hyperlink" Target="https://law.justia.com/codes/wyoming/2017/title-27/chapter-14/article-1/section-27-14-102/" TargetMode="External"/><Relationship Id="rId175" Type="http://schemas.openxmlformats.org/officeDocument/2006/relationships/hyperlink" Target="https://www.leagle.com/decision/19991306993p2d31311304" TargetMode="External"/><Relationship Id="rId340" Type="http://schemas.openxmlformats.org/officeDocument/2006/relationships/hyperlink" Target="https://www.leagle.com/decision/1969489463p2d261487" TargetMode="External"/><Relationship Id="rId200" Type="http://schemas.openxmlformats.org/officeDocument/2006/relationships/hyperlink" Target="https://www.courtlistener.com/opinion/1807913/sherwood-v-gooch-milling-elevator-co/" TargetMode="External"/><Relationship Id="rId382" Type="http://schemas.openxmlformats.org/officeDocument/2006/relationships/hyperlink" Target="https://www.leagle.com/decision/19981940963p2d97711935" TargetMode="External"/><Relationship Id="rId242" Type="http://schemas.openxmlformats.org/officeDocument/2006/relationships/hyperlink" Target="https://www.leagle.com/decision/19991131991p2d14011130" TargetMode="External"/><Relationship Id="rId284" Type="http://schemas.openxmlformats.org/officeDocument/2006/relationships/hyperlink" Target="https://www.courtlistener.com/opinion/1118463/moore-v-moore/" TargetMode="External"/><Relationship Id="rId37" Type="http://schemas.openxmlformats.org/officeDocument/2006/relationships/hyperlink" Target="https://www.courtlistener.com/opinion/2598548/bertagnolli-v-louderback/" TargetMode="External"/><Relationship Id="rId79" Type="http://schemas.openxmlformats.org/officeDocument/2006/relationships/hyperlink" Target="https://law.justia.com/codes/wyoming/2017/title-27/chapter-14/article-1/section-27-14-108/" TargetMode="External"/><Relationship Id="rId102" Type="http://schemas.openxmlformats.org/officeDocument/2006/relationships/hyperlink" Target="https://law.justia.com/cases/wyoming/supreme-court/2004/441343.html" TargetMode="External"/><Relationship Id="rId144" Type="http://schemas.openxmlformats.org/officeDocument/2006/relationships/hyperlink" Target="https://www.leagle.com/decision/19921075831p2d24411070" TargetMode="External"/><Relationship Id="rId90" Type="http://schemas.openxmlformats.org/officeDocument/2006/relationships/hyperlink" Target="https://www.courtlistener.com/opinion/1198351/kiger-v-idaho-corporation/" TargetMode="External"/><Relationship Id="rId186" Type="http://schemas.openxmlformats.org/officeDocument/2006/relationships/hyperlink" Target="https://www.leagle.com/decision/19971185939p2d24611182" TargetMode="External"/><Relationship Id="rId351" Type="http://schemas.openxmlformats.org/officeDocument/2006/relationships/hyperlink" Target="https://law.justia.com/codes/wyoming/2017/title-27/chapter-14/article-6/section-27-14-602/" TargetMode="External"/><Relationship Id="rId393" Type="http://schemas.openxmlformats.org/officeDocument/2006/relationships/hyperlink" Target="https://www.leagle.com/decision/200488995p3d7941889" TargetMode="External"/><Relationship Id="rId407" Type="http://schemas.openxmlformats.org/officeDocument/2006/relationships/hyperlink" Target="https://repository.uwyo.edu/cgi/viewcontent.cgi?article=1379&amp;context=wlr" TargetMode="External"/><Relationship Id="rId211" Type="http://schemas.openxmlformats.org/officeDocument/2006/relationships/hyperlink" Target="https://www.leagle.com/decision/19931196859p2d33711195" TargetMode="External"/><Relationship Id="rId253" Type="http://schemas.openxmlformats.org/officeDocument/2006/relationships/hyperlink" Target="https://supreme.justia.com/cases/federal/us/569/251/" TargetMode="External"/><Relationship Id="rId295" Type="http://schemas.openxmlformats.org/officeDocument/2006/relationships/hyperlink" Target="https://repository.uwyo.edu/cgi/viewcontent.cgi?article=1112&amp;context=wlr" TargetMode="External"/><Relationship Id="rId309" Type="http://schemas.openxmlformats.org/officeDocument/2006/relationships/hyperlink" Target="https://law.justia.com/codes/wyoming/2017/title-27/chapter-14/article-6/section-27-14-601/" TargetMode="External"/><Relationship Id="rId48" Type="http://schemas.openxmlformats.org/officeDocument/2006/relationships/hyperlink" Target="https://casetext.com/case/small-v-state-122" TargetMode="External"/><Relationship Id="rId113" Type="http://schemas.openxmlformats.org/officeDocument/2006/relationships/hyperlink" Target="https://law.justia.com/cases/wyoming/supreme-court/2005/441565.html" TargetMode="External"/><Relationship Id="rId320" Type="http://schemas.openxmlformats.org/officeDocument/2006/relationships/hyperlink" Target="https://law.justia.com/codes/wyoming/2017/title-31/chapter-7/article-1/section-31-7-105/" TargetMode="External"/><Relationship Id="rId155" Type="http://schemas.openxmlformats.org/officeDocument/2006/relationships/hyperlink" Target="https://www.leagle.com/decision/20061376134p3d124211372" TargetMode="External"/><Relationship Id="rId197" Type="http://schemas.openxmlformats.org/officeDocument/2006/relationships/hyperlink" Target="https://www.leagle.com/decision/inwyco20180330h73" TargetMode="External"/><Relationship Id="rId362" Type="http://schemas.openxmlformats.org/officeDocument/2006/relationships/hyperlink" Target="https://law.justia.com/codes/wyoming/2017/title-27/chapter-14/article-6/section-27-14-602/" TargetMode="External"/><Relationship Id="rId418" Type="http://schemas.openxmlformats.org/officeDocument/2006/relationships/hyperlink" Target="https://casetext.com/case/copp-v-unified-school-dist-no-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30811-7966-4F9E-8A78-47FABB21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223</Pages>
  <Words>72084</Words>
  <Characters>410879</Characters>
  <Application>Microsoft Office Word</Application>
  <DocSecurity>0</DocSecurity>
  <Lines>3423</Lines>
  <Paragraphs>963</Paragraphs>
  <ScaleCrop>false</ScaleCrop>
  <HeadingPairs>
    <vt:vector size="2" baseType="variant">
      <vt:variant>
        <vt:lpstr>Title</vt:lpstr>
      </vt:variant>
      <vt:variant>
        <vt:i4>1</vt:i4>
      </vt:variant>
    </vt:vector>
  </HeadingPairs>
  <TitlesOfParts>
    <vt:vector size="1" baseType="lpstr">
      <vt:lpstr>comensation</vt:lpstr>
    </vt:vector>
  </TitlesOfParts>
  <Company/>
  <LinksUpToDate>false</LinksUpToDate>
  <CharactersWithSpaces>482000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comensation</dc:title>
  <dc:subject>A Treatise of Wyoming Workers’ ompensation Law</dc:subject>
  <dc:creator>Michael Duff</dc:creator>
  <cp:keywords/>
  <dc:description/>
  <cp:lastModifiedBy>Sara Smith</cp:lastModifiedBy>
  <cp:revision>12</cp:revision>
  <cp:lastPrinted>2021-06-23T15:21:00Z</cp:lastPrinted>
  <dcterms:created xsi:type="dcterms:W3CDTF">2021-06-23T14:51:00Z</dcterms:created>
  <dcterms:modified xsi:type="dcterms:W3CDTF">2021-06-28T22:07:00Z</dcterms:modified>
</cp:coreProperties>
</file>