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22" w:rsidRPr="009F2AFE" w:rsidRDefault="00054A76" w:rsidP="005855F6">
      <w:pPr>
        <w:jc w:val="center"/>
        <w:rPr>
          <w:rFonts w:ascii="Garamond" w:hAnsi="Garamond"/>
          <w:noProof/>
          <w:sz w:val="56"/>
          <w:szCs w:val="56"/>
        </w:rPr>
        <w:sectPr w:rsidR="00E20C22" w:rsidRPr="009F2AFE">
          <w:headerReference w:type="default" r:id="rId9"/>
          <w:footerReference w:type="even" r:id="rId10"/>
          <w:footerReference w:type="default" r:id="rId11"/>
          <w:pgSz w:w="12240" w:h="15840"/>
          <w:pgMar w:top="1440" w:right="1440" w:bottom="1440" w:left="1440" w:header="720" w:footer="720" w:gutter="0"/>
          <w:cols w:space="720"/>
          <w:titlePg/>
          <w:docGrid w:linePitch="360"/>
        </w:sectPr>
      </w:pPr>
      <w:r>
        <w:rPr>
          <w:rFonts w:ascii="Garamond" w:hAnsi="Garamond"/>
          <w:noProof/>
          <w:sz w:val="56"/>
          <w:szCs w:val="56"/>
        </w:rPr>
        <w:drawing>
          <wp:inline distT="0" distB="0" distL="0" distR="0">
            <wp:extent cx="5715000" cy="76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denceRapeShield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0" cy="7620000"/>
                    </a:xfrm>
                    <a:prstGeom prst="rect">
                      <a:avLst/>
                    </a:prstGeom>
                  </pic:spPr>
                </pic:pic>
              </a:graphicData>
            </a:graphic>
          </wp:inline>
        </w:drawing>
      </w:r>
    </w:p>
    <w:p w:rsidR="007878ED" w:rsidRPr="00ED1F17" w:rsidRDefault="007878ED" w:rsidP="00461188">
      <w:pPr>
        <w:pStyle w:val="Subtitle"/>
        <w:rPr>
          <w:sz w:val="72"/>
        </w:rPr>
      </w:pPr>
      <w:r w:rsidRPr="00ED1F17">
        <w:rPr>
          <w:sz w:val="72"/>
        </w:rPr>
        <w:lastRenderedPageBreak/>
        <w:t>Evidence:</w:t>
      </w:r>
    </w:p>
    <w:p w:rsidR="007878ED" w:rsidRPr="00ED1F17" w:rsidRDefault="009B5C99" w:rsidP="00461188">
      <w:pPr>
        <w:pStyle w:val="Title"/>
        <w:rPr>
          <w:sz w:val="52"/>
        </w:rPr>
      </w:pPr>
      <w:r w:rsidRPr="00ED1F17">
        <w:rPr>
          <w:sz w:val="52"/>
        </w:rPr>
        <w:t>Rape Shield Rule</w:t>
      </w:r>
    </w:p>
    <w:p w:rsidR="007878ED" w:rsidRPr="009F2AFE" w:rsidRDefault="007878ED" w:rsidP="007878ED">
      <w:pPr>
        <w:pStyle w:val="Subtitle"/>
        <w:rPr>
          <w:color w:val="auto"/>
        </w:rPr>
      </w:pPr>
    </w:p>
    <w:p w:rsidR="007878ED" w:rsidRPr="009F2AFE" w:rsidRDefault="007878ED" w:rsidP="007878ED">
      <w:pPr>
        <w:rPr>
          <w:rFonts w:ascii="Garamond" w:hAnsi="Garamond" w:cs="Arial"/>
          <w:sz w:val="27"/>
          <w:szCs w:val="27"/>
        </w:rPr>
      </w:pPr>
    </w:p>
    <w:p w:rsidR="007878ED" w:rsidRPr="009F2AFE" w:rsidRDefault="007878ED" w:rsidP="007878ED">
      <w:pPr>
        <w:jc w:val="center"/>
        <w:rPr>
          <w:rFonts w:ascii="Garamond" w:hAnsi="Garamond" w:cs="Arial"/>
          <w:sz w:val="27"/>
          <w:szCs w:val="27"/>
        </w:rPr>
      </w:pPr>
    </w:p>
    <w:p w:rsidR="007878ED" w:rsidRPr="009F2AFE" w:rsidRDefault="007878ED" w:rsidP="007878ED">
      <w:pPr>
        <w:pStyle w:val="TitlePage-Author"/>
        <w:rPr>
          <w:color w:val="auto"/>
        </w:rPr>
      </w:pPr>
    </w:p>
    <w:p w:rsidR="007878ED" w:rsidRPr="009F2AFE" w:rsidRDefault="007878ED" w:rsidP="007878ED">
      <w:pPr>
        <w:pStyle w:val="TitlePage-Author"/>
        <w:rPr>
          <w:color w:val="auto"/>
        </w:rPr>
      </w:pPr>
    </w:p>
    <w:p w:rsidR="007878ED" w:rsidRPr="009F2AFE" w:rsidRDefault="007878ED" w:rsidP="007878ED">
      <w:pPr>
        <w:pStyle w:val="TitlePage-Author"/>
        <w:rPr>
          <w:color w:val="auto"/>
        </w:rPr>
      </w:pPr>
    </w:p>
    <w:p w:rsidR="007878ED" w:rsidRPr="009F2AFE" w:rsidRDefault="007878ED" w:rsidP="007878ED">
      <w:pPr>
        <w:pStyle w:val="TitlePage-Author"/>
        <w:rPr>
          <w:color w:val="auto"/>
        </w:rPr>
      </w:pPr>
      <w:r w:rsidRPr="009F2AFE">
        <w:rPr>
          <w:color w:val="auto"/>
        </w:rPr>
        <w:t>Colin Miller</w:t>
      </w:r>
    </w:p>
    <w:p w:rsidR="007878ED" w:rsidRPr="009F2AFE" w:rsidRDefault="007878ED" w:rsidP="007878ED">
      <w:pPr>
        <w:pStyle w:val="TitlePage-Author"/>
        <w:rPr>
          <w:color w:val="auto"/>
        </w:rPr>
      </w:pPr>
    </w:p>
    <w:p w:rsidR="007878ED" w:rsidRPr="009F2AFE" w:rsidRDefault="007878ED" w:rsidP="007878ED">
      <w:pPr>
        <w:pStyle w:val="TitlePage-Author"/>
        <w:rPr>
          <w:color w:val="auto"/>
        </w:rPr>
      </w:pPr>
    </w:p>
    <w:p w:rsidR="007878ED" w:rsidRPr="009F2AFE" w:rsidRDefault="007878ED" w:rsidP="007878ED">
      <w:pPr>
        <w:jc w:val="center"/>
        <w:rPr>
          <w:rFonts w:ascii="Garamond" w:hAnsi="Garamond" w:cs="Arial"/>
          <w:sz w:val="27"/>
          <w:szCs w:val="27"/>
        </w:rPr>
      </w:pPr>
    </w:p>
    <w:p w:rsidR="007878ED" w:rsidRPr="009F2AFE" w:rsidRDefault="007878ED" w:rsidP="007878ED">
      <w:pPr>
        <w:jc w:val="center"/>
        <w:rPr>
          <w:rFonts w:ascii="Garamond" w:hAnsi="Garamond" w:cs="Arial"/>
          <w:sz w:val="27"/>
          <w:szCs w:val="27"/>
        </w:rPr>
      </w:pPr>
    </w:p>
    <w:p w:rsidR="007878ED" w:rsidRPr="009F2AFE" w:rsidRDefault="007878ED" w:rsidP="007878ED">
      <w:pPr>
        <w:jc w:val="center"/>
        <w:rPr>
          <w:rFonts w:ascii="Garamond" w:hAnsi="Garamond" w:cs="Arial"/>
          <w:sz w:val="27"/>
          <w:szCs w:val="27"/>
        </w:rPr>
      </w:pPr>
    </w:p>
    <w:p w:rsidR="007878ED" w:rsidRPr="009F2AFE" w:rsidRDefault="007878ED" w:rsidP="007878ED">
      <w:pPr>
        <w:jc w:val="center"/>
        <w:rPr>
          <w:rFonts w:ascii="Garamond" w:hAnsi="Garamond" w:cs="Arial"/>
          <w:sz w:val="27"/>
          <w:szCs w:val="27"/>
        </w:rPr>
      </w:pPr>
    </w:p>
    <w:p w:rsidR="007878ED" w:rsidRPr="009F2AFE" w:rsidRDefault="007878ED" w:rsidP="00F679D3">
      <w:pPr>
        <w:pStyle w:val="TitlePage-Author"/>
        <w:sectPr w:rsidR="007878ED" w:rsidRPr="009F2AFE" w:rsidSect="00485E87">
          <w:pgSz w:w="12240" w:h="15840"/>
          <w:pgMar w:top="2160" w:right="2880" w:bottom="2160" w:left="2880" w:header="720" w:footer="720" w:gutter="0"/>
          <w:pgNumType w:fmt="lowerRoman"/>
          <w:cols w:space="720"/>
          <w:titlePg/>
          <w:docGrid w:linePitch="360"/>
        </w:sectPr>
      </w:pPr>
      <w:bookmarkStart w:id="0" w:name="_Toc315879646"/>
      <w:r w:rsidRPr="009F2AFE">
        <w:t>CALI eLangdell</w:t>
      </w:r>
      <w:r w:rsidR="00732174" w:rsidRPr="00732174">
        <w:rPr>
          <w:sz w:val="48"/>
          <w:vertAlign w:val="superscript"/>
        </w:rPr>
        <w:t>®</w:t>
      </w:r>
      <w:r w:rsidRPr="009F2AFE">
        <w:t xml:space="preserve"> Press 201</w:t>
      </w:r>
      <w:bookmarkEnd w:id="0"/>
      <w:r w:rsidRPr="009F2AFE">
        <w:t>2</w:t>
      </w:r>
    </w:p>
    <w:p w:rsidR="003072EC" w:rsidRPr="009F2AFE" w:rsidRDefault="003072EC" w:rsidP="003072EC">
      <w:pPr>
        <w:pStyle w:val="ChapterName"/>
        <w:rPr>
          <w:color w:val="auto"/>
        </w:rPr>
      </w:pPr>
      <w:bookmarkStart w:id="1" w:name="_Toc319930285"/>
      <w:bookmarkStart w:id="2" w:name="_Toc320342471"/>
      <w:bookmarkStart w:id="3" w:name="_Toc315873670"/>
      <w:r w:rsidRPr="009F2AFE">
        <w:rPr>
          <w:color w:val="auto"/>
        </w:rPr>
        <w:lastRenderedPageBreak/>
        <w:t>Notices</w:t>
      </w:r>
      <w:bookmarkEnd w:id="1"/>
      <w:bookmarkEnd w:id="2"/>
    </w:p>
    <w:p w:rsidR="003072EC" w:rsidRPr="00732174" w:rsidRDefault="003072EC" w:rsidP="003072EC">
      <w:pPr>
        <w:pStyle w:val="Body"/>
        <w:rPr>
          <w:color w:val="auto"/>
          <w:sz w:val="24"/>
          <w:szCs w:val="24"/>
        </w:rPr>
      </w:pPr>
      <w:r w:rsidRPr="009F2AFE">
        <w:rPr>
          <w:noProof/>
          <w:color w:val="auto"/>
        </w:rPr>
        <w:drawing>
          <wp:anchor distT="0" distB="0" distL="114300" distR="114300" simplePos="0" relativeHeight="251659264" behindDoc="1" locked="0" layoutInCell="1" allowOverlap="1" wp14:anchorId="0A9C1A4E" wp14:editId="21A9D6DD">
            <wp:simplePos x="0" y="0"/>
            <wp:positionH relativeFrom="column">
              <wp:posOffset>53340</wp:posOffset>
            </wp:positionH>
            <wp:positionV relativeFrom="paragraph">
              <wp:posOffset>59690</wp:posOffset>
            </wp:positionV>
            <wp:extent cx="835025" cy="299085"/>
            <wp:effectExtent l="19050" t="0" r="3175" b="0"/>
            <wp:wrapTight wrapText="bothSides">
              <wp:wrapPolygon edited="0">
                <wp:start x="-493" y="0"/>
                <wp:lineTo x="-493" y="20637"/>
                <wp:lineTo x="21682" y="20637"/>
                <wp:lineTo x="21682" y="0"/>
                <wp:lineTo x="-493" y="0"/>
              </wp:wrapPolygon>
            </wp:wrapTight>
            <wp:docPr id="2" name="internal-source-marker_0.1848440370914166" descr="https://lh5.googleusercontent.com/r3HOyG_rooFQE51yWW9CPjgkmU7LZ3Gi_UZ4-raf2bvbVF1-IHd3jUhzeo6nveWT36pHVgSoSqbJTBJw2eAcx8UFtfBQ4zedNYYTqzWX1STDo2yQ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1848440370914166" descr="https://lh5.googleusercontent.com/r3HOyG_rooFQE51yWW9CPjgkmU7LZ3Gi_UZ4-raf2bvbVF1-IHd3jUhzeo6nveWT36pHVgSoSqbJTBJw2eAcx8UFtfBQ4zedNYYTqzWX1STDo2yQLFg"/>
                    <pic:cNvPicPr>
                      <a:picLocks noChangeAspect="1" noChangeArrowheads="1"/>
                    </pic:cNvPicPr>
                  </pic:nvPicPr>
                  <pic:blipFill>
                    <a:blip r:embed="rId13" r:link="rId14" cstate="print"/>
                    <a:srcRect/>
                    <a:stretch>
                      <a:fillRect/>
                    </a:stretch>
                  </pic:blipFill>
                  <pic:spPr bwMode="auto">
                    <a:xfrm>
                      <a:off x="0" y="0"/>
                      <a:ext cx="835025" cy="299085"/>
                    </a:xfrm>
                    <a:prstGeom prst="rect">
                      <a:avLst/>
                    </a:prstGeom>
                    <a:noFill/>
                    <a:ln w="9525">
                      <a:noFill/>
                      <a:miter lim="800000"/>
                      <a:headEnd/>
                      <a:tailEnd/>
                    </a:ln>
                  </pic:spPr>
                </pic:pic>
              </a:graphicData>
            </a:graphic>
          </wp:anchor>
        </w:drawing>
      </w:r>
      <w:r w:rsidRPr="009F2AFE">
        <w:rPr>
          <w:color w:val="auto"/>
          <w:szCs w:val="21"/>
        </w:rPr>
        <w:t>T</w:t>
      </w:r>
      <w:r w:rsidRPr="00732174">
        <w:rPr>
          <w:color w:val="auto"/>
          <w:sz w:val="24"/>
          <w:szCs w:val="24"/>
        </w:rPr>
        <w:t>his work by Colin Miller is licensed and published by</w:t>
      </w:r>
      <w:hyperlink r:id="rId15" w:history="1">
        <w:r w:rsidRPr="00732174">
          <w:rPr>
            <w:rStyle w:val="Hyperlink"/>
            <w:color w:val="auto"/>
            <w:sz w:val="24"/>
            <w:szCs w:val="24"/>
          </w:rPr>
          <w:t xml:space="preserve"> CALI eLangdell Press</w:t>
        </w:r>
      </w:hyperlink>
      <w:r w:rsidRPr="00732174">
        <w:rPr>
          <w:color w:val="auto"/>
          <w:sz w:val="24"/>
          <w:szCs w:val="24"/>
        </w:rPr>
        <w:t xml:space="preserve"> under a </w:t>
      </w:r>
      <w:hyperlink r:id="rId16" w:history="1">
        <w:r w:rsidRPr="00732174">
          <w:rPr>
            <w:rStyle w:val="Hyperlink"/>
            <w:color w:val="auto"/>
            <w:sz w:val="24"/>
            <w:szCs w:val="24"/>
          </w:rPr>
          <w:t>Creative Commons Attribution-NonCommercial-ShareAlike 3.0 Unported License</w:t>
        </w:r>
      </w:hyperlink>
      <w:r w:rsidRPr="00732174">
        <w:rPr>
          <w:color w:val="auto"/>
          <w:sz w:val="24"/>
          <w:szCs w:val="24"/>
        </w:rPr>
        <w:t xml:space="preserve">. CALI and CALI eLangdell Press reserve under copyright all rights not expressly granted by this Creative Commons license. </w:t>
      </w:r>
      <w:r w:rsidRPr="00732174">
        <w:rPr>
          <w:color w:val="auto"/>
          <w:sz w:val="24"/>
          <w:szCs w:val="24"/>
          <w:shd w:val="clear" w:color="auto" w:fill="FFFFFF"/>
        </w:rPr>
        <w:t xml:space="preserve">CALI and CALI eLangdell Press do not assert copyright in US Government works or other public domain material included herein. </w:t>
      </w:r>
      <w:r w:rsidRPr="00732174">
        <w:rPr>
          <w:color w:val="auto"/>
          <w:sz w:val="24"/>
          <w:szCs w:val="24"/>
        </w:rPr>
        <w:t xml:space="preserve">Permissions beyond the scope of this license may be available through </w:t>
      </w:r>
      <w:hyperlink r:id="rId17" w:history="1">
        <w:r w:rsidRPr="00732174">
          <w:rPr>
            <w:color w:val="auto"/>
            <w:sz w:val="24"/>
            <w:szCs w:val="24"/>
          </w:rPr>
          <w:t>feedback@cali.org</w:t>
        </w:r>
      </w:hyperlink>
      <w:r w:rsidRPr="00732174">
        <w:rPr>
          <w:color w:val="auto"/>
          <w:sz w:val="24"/>
          <w:szCs w:val="24"/>
        </w:rPr>
        <w:t>.</w:t>
      </w:r>
    </w:p>
    <w:p w:rsidR="003072EC" w:rsidRPr="00732174" w:rsidRDefault="003072EC" w:rsidP="003072EC">
      <w:pPr>
        <w:pStyle w:val="Body"/>
        <w:rPr>
          <w:color w:val="auto"/>
          <w:sz w:val="24"/>
          <w:szCs w:val="24"/>
        </w:rPr>
      </w:pPr>
      <w:r w:rsidRPr="00732174">
        <w:rPr>
          <w:color w:val="auto"/>
          <w:sz w:val="24"/>
          <w:szCs w:val="24"/>
          <w:shd w:val="clear" w:color="auto" w:fill="FFFFFF"/>
        </w:rPr>
        <w:t>In brief, the terms of that license are that you may copy, distribute, and display this work, or make derivative works, so long as</w:t>
      </w:r>
    </w:p>
    <w:p w:rsidR="003072EC" w:rsidRPr="00732174" w:rsidRDefault="003072EC" w:rsidP="003072EC">
      <w:pPr>
        <w:pStyle w:val="Body"/>
        <w:ind w:left="720" w:hanging="360"/>
        <w:rPr>
          <w:color w:val="auto"/>
          <w:sz w:val="24"/>
          <w:szCs w:val="24"/>
        </w:rPr>
      </w:pPr>
      <w:r w:rsidRPr="00732174">
        <w:rPr>
          <w:rFonts w:ascii="Symbol" w:hAnsi="Symbol"/>
          <w:color w:val="auto"/>
          <w:sz w:val="24"/>
          <w:szCs w:val="24"/>
        </w:rPr>
        <w:t></w:t>
      </w:r>
      <w:r w:rsidRPr="00732174">
        <w:rPr>
          <w:rFonts w:ascii="Symbol" w:hAnsi="Symbol"/>
          <w:color w:val="auto"/>
          <w:sz w:val="24"/>
          <w:szCs w:val="24"/>
        </w:rPr>
        <w:tab/>
      </w:r>
      <w:proofErr w:type="gramStart"/>
      <w:r w:rsidRPr="00732174">
        <w:rPr>
          <w:color w:val="auto"/>
          <w:sz w:val="24"/>
          <w:szCs w:val="24"/>
          <w:shd w:val="clear" w:color="auto" w:fill="FFFFFF"/>
        </w:rPr>
        <w:t>you</w:t>
      </w:r>
      <w:proofErr w:type="gramEnd"/>
      <w:r w:rsidRPr="00732174">
        <w:rPr>
          <w:color w:val="auto"/>
          <w:sz w:val="24"/>
          <w:szCs w:val="24"/>
          <w:shd w:val="clear" w:color="auto" w:fill="FFFFFF"/>
        </w:rPr>
        <w:t xml:space="preserve"> give CALI eLangdell Press and the author credit;</w:t>
      </w:r>
    </w:p>
    <w:p w:rsidR="003072EC" w:rsidRPr="00732174" w:rsidRDefault="003072EC" w:rsidP="003072EC">
      <w:pPr>
        <w:pStyle w:val="Body"/>
        <w:ind w:left="720" w:hanging="360"/>
        <w:rPr>
          <w:color w:val="auto"/>
          <w:sz w:val="24"/>
          <w:szCs w:val="24"/>
        </w:rPr>
      </w:pPr>
      <w:r w:rsidRPr="00732174">
        <w:rPr>
          <w:rFonts w:ascii="Symbol" w:hAnsi="Symbol"/>
          <w:color w:val="auto"/>
          <w:sz w:val="24"/>
          <w:szCs w:val="24"/>
        </w:rPr>
        <w:t></w:t>
      </w:r>
      <w:r w:rsidRPr="00732174">
        <w:rPr>
          <w:rFonts w:ascii="Symbol" w:hAnsi="Symbol"/>
          <w:color w:val="auto"/>
          <w:sz w:val="24"/>
          <w:szCs w:val="24"/>
        </w:rPr>
        <w:tab/>
      </w:r>
      <w:proofErr w:type="gramStart"/>
      <w:r w:rsidRPr="00732174">
        <w:rPr>
          <w:color w:val="auto"/>
          <w:sz w:val="24"/>
          <w:szCs w:val="24"/>
          <w:shd w:val="clear" w:color="auto" w:fill="FFFFFF"/>
        </w:rPr>
        <w:t>you</w:t>
      </w:r>
      <w:proofErr w:type="gramEnd"/>
      <w:r w:rsidRPr="00732174">
        <w:rPr>
          <w:color w:val="auto"/>
          <w:sz w:val="24"/>
          <w:szCs w:val="24"/>
          <w:shd w:val="clear" w:color="auto" w:fill="FFFFFF"/>
        </w:rPr>
        <w:t xml:space="preserve"> do not use this work for commercial purposes; and</w:t>
      </w:r>
    </w:p>
    <w:p w:rsidR="003072EC" w:rsidRPr="00732174" w:rsidRDefault="003072EC" w:rsidP="003072EC">
      <w:pPr>
        <w:pStyle w:val="Body"/>
        <w:ind w:left="720" w:hanging="360"/>
        <w:rPr>
          <w:color w:val="auto"/>
          <w:sz w:val="24"/>
          <w:szCs w:val="24"/>
        </w:rPr>
      </w:pPr>
      <w:r w:rsidRPr="00732174">
        <w:rPr>
          <w:rFonts w:ascii="Symbol" w:hAnsi="Symbol"/>
          <w:color w:val="auto"/>
          <w:sz w:val="24"/>
          <w:szCs w:val="24"/>
        </w:rPr>
        <w:t></w:t>
      </w:r>
      <w:r w:rsidRPr="00732174">
        <w:rPr>
          <w:rFonts w:ascii="Symbol" w:hAnsi="Symbol"/>
          <w:color w:val="auto"/>
          <w:sz w:val="24"/>
          <w:szCs w:val="24"/>
        </w:rPr>
        <w:tab/>
      </w:r>
      <w:proofErr w:type="gramStart"/>
      <w:r w:rsidRPr="00732174">
        <w:rPr>
          <w:color w:val="auto"/>
          <w:sz w:val="24"/>
          <w:szCs w:val="24"/>
          <w:shd w:val="clear" w:color="auto" w:fill="FFFFFF"/>
        </w:rPr>
        <w:t>you</w:t>
      </w:r>
      <w:proofErr w:type="gramEnd"/>
      <w:r w:rsidRPr="00732174">
        <w:rPr>
          <w:color w:val="auto"/>
          <w:sz w:val="24"/>
          <w:szCs w:val="24"/>
          <w:shd w:val="clear" w:color="auto" w:fill="FFFFFF"/>
        </w:rPr>
        <w:t xml:space="preserve"> distribute any works derived from this one under the same licensing terms as this.</w:t>
      </w:r>
    </w:p>
    <w:p w:rsidR="003072EC" w:rsidRPr="00732174" w:rsidRDefault="003072EC" w:rsidP="003072EC">
      <w:pPr>
        <w:pStyle w:val="Body"/>
        <w:rPr>
          <w:color w:val="auto"/>
          <w:sz w:val="24"/>
          <w:szCs w:val="24"/>
        </w:rPr>
      </w:pPr>
      <w:r w:rsidRPr="00732174">
        <w:rPr>
          <w:color w:val="auto"/>
          <w:sz w:val="24"/>
          <w:szCs w:val="24"/>
        </w:rPr>
        <w:t>Suggested attribution format for original work:</w:t>
      </w:r>
    </w:p>
    <w:p w:rsidR="003072EC" w:rsidRPr="00732174" w:rsidRDefault="003072EC" w:rsidP="003072EC">
      <w:pPr>
        <w:pStyle w:val="Body"/>
        <w:rPr>
          <w:color w:val="auto"/>
          <w:sz w:val="24"/>
          <w:szCs w:val="24"/>
        </w:rPr>
      </w:pPr>
      <w:r w:rsidRPr="00732174">
        <w:rPr>
          <w:color w:val="auto"/>
          <w:sz w:val="24"/>
          <w:szCs w:val="24"/>
        </w:rPr>
        <w:t xml:space="preserve">Colin Miller, Evidence: </w:t>
      </w:r>
      <w:r w:rsidR="009B5C99" w:rsidRPr="00732174">
        <w:rPr>
          <w:color w:val="auto"/>
          <w:sz w:val="24"/>
          <w:szCs w:val="24"/>
        </w:rPr>
        <w:t>Rape Shield Rule</w:t>
      </w:r>
      <w:r w:rsidRPr="00732174">
        <w:rPr>
          <w:color w:val="auto"/>
          <w:sz w:val="24"/>
          <w:szCs w:val="24"/>
        </w:rPr>
        <w:t xml:space="preserve">, Published by CALI eLangdell Press. </w:t>
      </w:r>
      <w:proofErr w:type="gramStart"/>
      <w:r w:rsidRPr="00732174">
        <w:rPr>
          <w:color w:val="auto"/>
          <w:sz w:val="24"/>
          <w:szCs w:val="24"/>
        </w:rPr>
        <w:t>Available under a Creative Commons BY-NC-SA 3.0 License.</w:t>
      </w:r>
      <w:proofErr w:type="gramEnd"/>
    </w:p>
    <w:p w:rsidR="003072EC" w:rsidRPr="00732174" w:rsidRDefault="003072EC" w:rsidP="003072EC">
      <w:pPr>
        <w:pStyle w:val="Body"/>
        <w:rPr>
          <w:color w:val="auto"/>
          <w:sz w:val="24"/>
          <w:szCs w:val="24"/>
        </w:rPr>
      </w:pPr>
      <w:r w:rsidRPr="00732174">
        <w:rPr>
          <w:color w:val="auto"/>
          <w:sz w:val="24"/>
          <w:szCs w:val="24"/>
          <w:shd w:val="clear" w:color="auto" w:fill="FFFFFF"/>
        </w:rPr>
        <w:t>CALI® and eLangdell® are United States federally registered trademarks owned by the Center for Computer-Assisted Legal Instruction. The cover art design is a copyrighted work of CALI, all rights reserved. The CALI graphical logo is a trademark and may not be used without permission.</w:t>
      </w:r>
    </w:p>
    <w:p w:rsidR="003072EC" w:rsidRPr="00732174" w:rsidRDefault="003072EC" w:rsidP="003072EC">
      <w:pPr>
        <w:pStyle w:val="Body"/>
        <w:rPr>
          <w:color w:val="auto"/>
          <w:sz w:val="24"/>
          <w:szCs w:val="24"/>
          <w:shd w:val="clear" w:color="auto" w:fill="FFFFFF"/>
        </w:rPr>
      </w:pPr>
      <w:r w:rsidRPr="00732174">
        <w:rPr>
          <w:color w:val="auto"/>
          <w:sz w:val="24"/>
          <w:szCs w:val="24"/>
          <w:shd w:val="clear" w:color="auto" w:fill="FFFFFF"/>
        </w:rPr>
        <w:t>Should you create derivative works based on the text of this book or other Creative Commons materials therein, you may not use this book’s cover art and the aforementioned logos, or any derivative thereof, to imply endorsement or otherwise without written permission from CALI.</w:t>
      </w:r>
    </w:p>
    <w:p w:rsidR="003072EC" w:rsidRPr="00732174" w:rsidRDefault="003072EC" w:rsidP="003072EC">
      <w:pPr>
        <w:pStyle w:val="Body"/>
        <w:rPr>
          <w:color w:val="auto"/>
          <w:sz w:val="24"/>
          <w:szCs w:val="24"/>
          <w:shd w:val="clear" w:color="auto" w:fill="FFFFFF"/>
        </w:rPr>
      </w:pPr>
      <w:r w:rsidRPr="00732174">
        <w:rPr>
          <w:color w:val="auto"/>
          <w:sz w:val="24"/>
          <w:szCs w:val="24"/>
          <w:shd w:val="clear" w:color="auto" w:fill="FFFFFF"/>
        </w:rPr>
        <w:lastRenderedPageBreak/>
        <w:t>This material does not contain nor is intended to be legal advice. Users seeking legal advice should consult with a licensed attorney in their jurisdiction. The editors have endeavored to provide complete and accurate information in this book. However, CALI does not warrant that the information provided is complete and accurate. CALI disclaims all liability to any person for any loss caused by errors or omissions in this collection of information.</w:t>
      </w:r>
    </w:p>
    <w:p w:rsidR="003072EC" w:rsidRPr="009F2AFE" w:rsidRDefault="003072EC" w:rsidP="003072EC">
      <w:pPr>
        <w:pStyle w:val="ChapterName"/>
        <w:rPr>
          <w:color w:val="auto"/>
        </w:rPr>
        <w:sectPr w:rsidR="003072EC" w:rsidRPr="009F2AFE" w:rsidSect="00485E87">
          <w:pgSz w:w="12240" w:h="15840"/>
          <w:pgMar w:top="2160" w:right="2880" w:bottom="2160" w:left="2880" w:header="720" w:footer="720" w:gutter="0"/>
          <w:pgNumType w:fmt="lowerRoman" w:start="2"/>
          <w:cols w:space="720"/>
          <w:docGrid w:linePitch="326"/>
        </w:sectPr>
      </w:pPr>
    </w:p>
    <w:p w:rsidR="003072EC" w:rsidRPr="009F2AFE" w:rsidRDefault="003072EC" w:rsidP="003072EC">
      <w:pPr>
        <w:pStyle w:val="ChapterName"/>
        <w:rPr>
          <w:color w:val="auto"/>
        </w:rPr>
      </w:pPr>
      <w:bookmarkStart w:id="4" w:name="_Toc320342472"/>
      <w:r w:rsidRPr="009F2AFE">
        <w:rPr>
          <w:color w:val="auto"/>
        </w:rPr>
        <w:lastRenderedPageBreak/>
        <w:t>About the Author</w:t>
      </w:r>
      <w:bookmarkEnd w:id="4"/>
    </w:p>
    <w:p w:rsidR="003072EC" w:rsidRPr="00732174" w:rsidRDefault="003072EC" w:rsidP="003072EC">
      <w:pPr>
        <w:pStyle w:val="Body"/>
        <w:rPr>
          <w:color w:val="auto"/>
          <w:sz w:val="24"/>
        </w:rPr>
      </w:pPr>
      <w:r w:rsidRPr="00732174">
        <w:rPr>
          <w:color w:val="auto"/>
          <w:sz w:val="24"/>
        </w:rPr>
        <w:t xml:space="preserve">Professor Miller teaches Evidence, Criminal Procedure, Criminal Law, and Civil Procedure. He is the creator and Blog Editor of </w:t>
      </w:r>
      <w:hyperlink r:id="rId18" w:history="1">
        <w:r w:rsidRPr="00732174">
          <w:rPr>
            <w:rStyle w:val="Hyperlink"/>
            <w:color w:val="auto"/>
            <w:sz w:val="24"/>
          </w:rPr>
          <w:t>EvidenceProf Blog</w:t>
        </w:r>
      </w:hyperlink>
      <w:r w:rsidR="002442A1" w:rsidRPr="00732174">
        <w:rPr>
          <w:color w:val="auto"/>
          <w:sz w:val="24"/>
        </w:rPr>
        <w:t xml:space="preserve"> </w:t>
      </w:r>
      <w:r w:rsidRPr="00732174">
        <w:rPr>
          <w:color w:val="auto"/>
          <w:sz w:val="24"/>
        </w:rPr>
        <w:t>of the Law Professor Blogs Network. He is the Editor of Illinois Criminal Procedure and drafted a 100 page report comparing the Federal Rules of Evidence to Illinois evidentiary principles, which was used in the creation of the first Illinois Rules of Evidence.</w:t>
      </w:r>
    </w:p>
    <w:p w:rsidR="003072EC" w:rsidRPr="00732174" w:rsidRDefault="003072EC" w:rsidP="003072EC">
      <w:pPr>
        <w:pStyle w:val="Body"/>
        <w:rPr>
          <w:color w:val="auto"/>
          <w:sz w:val="24"/>
        </w:rPr>
      </w:pPr>
      <w:r w:rsidRPr="00732174">
        <w:rPr>
          <w:color w:val="auto"/>
          <w:sz w:val="24"/>
        </w:rPr>
        <w:t>Professor Miller received his B.A. degree with distinction from the University of Virginia and his J.D. (Order of the Coif) from the William &amp; Mary Law School.</w:t>
      </w:r>
    </w:p>
    <w:p w:rsidR="003072EC" w:rsidRPr="009F2AFE" w:rsidRDefault="003072EC" w:rsidP="003072EC">
      <w:pPr>
        <w:pStyle w:val="Body"/>
        <w:rPr>
          <w:color w:val="auto"/>
        </w:rPr>
        <w:sectPr w:rsidR="003072EC" w:rsidRPr="009F2AFE" w:rsidSect="00485E87">
          <w:pgSz w:w="12240" w:h="15840"/>
          <w:pgMar w:top="2160" w:right="2880" w:bottom="2160" w:left="2880" w:header="720" w:footer="720" w:gutter="0"/>
          <w:pgNumType w:fmt="lowerRoman"/>
          <w:cols w:space="720"/>
          <w:docGrid w:linePitch="326"/>
        </w:sectPr>
      </w:pPr>
    </w:p>
    <w:p w:rsidR="003072EC" w:rsidRPr="009F2AFE" w:rsidRDefault="003072EC" w:rsidP="003072EC">
      <w:pPr>
        <w:pStyle w:val="ChapterName"/>
        <w:rPr>
          <w:color w:val="auto"/>
          <w:szCs w:val="21"/>
          <w:shd w:val="clear" w:color="auto" w:fill="FFFFFF"/>
        </w:rPr>
      </w:pPr>
      <w:bookmarkStart w:id="5" w:name="_Toc319930287"/>
      <w:bookmarkStart w:id="6" w:name="_Toc320342473"/>
      <w:r w:rsidRPr="009F2AFE">
        <w:rPr>
          <w:color w:val="auto"/>
          <w:szCs w:val="21"/>
          <w:shd w:val="clear" w:color="auto" w:fill="FFFFFF"/>
        </w:rPr>
        <w:lastRenderedPageBreak/>
        <w:t>About CALI eLangdell Press</w:t>
      </w:r>
      <w:bookmarkEnd w:id="5"/>
      <w:bookmarkEnd w:id="6"/>
    </w:p>
    <w:p w:rsidR="003072EC" w:rsidRPr="00732174" w:rsidRDefault="007020D3" w:rsidP="003072EC">
      <w:pPr>
        <w:pStyle w:val="Body"/>
        <w:rPr>
          <w:color w:val="auto"/>
          <w:sz w:val="24"/>
        </w:rPr>
      </w:pPr>
      <w:hyperlink r:id="rId19" w:history="1">
        <w:r w:rsidR="003072EC" w:rsidRPr="00732174">
          <w:rPr>
            <w:rStyle w:val="Hyperlink"/>
            <w:color w:val="auto"/>
            <w:sz w:val="24"/>
            <w:szCs w:val="21"/>
          </w:rPr>
          <w:t>The Center for Computer-Assisted Legal Instruction</w:t>
        </w:r>
      </w:hyperlink>
      <w:r w:rsidR="003072EC" w:rsidRPr="00732174">
        <w:rPr>
          <w:color w:val="auto"/>
          <w:sz w:val="24"/>
          <w:szCs w:val="21"/>
        </w:rPr>
        <w:t xml:space="preserve"> (CALI®) is: a nonprofit organization with over 200 member US law schools, an innovative force pushing legal education toward change for the better. There are </w:t>
      </w:r>
      <w:hyperlink r:id="rId20" w:history="1">
        <w:r w:rsidR="003072EC" w:rsidRPr="00732174">
          <w:rPr>
            <w:rStyle w:val="Hyperlink"/>
            <w:color w:val="auto"/>
            <w:sz w:val="24"/>
            <w:szCs w:val="21"/>
          </w:rPr>
          <w:t>benefits to CALI membership</w:t>
        </w:r>
      </w:hyperlink>
      <w:r w:rsidR="003072EC" w:rsidRPr="00732174">
        <w:rPr>
          <w:color w:val="auto"/>
          <w:sz w:val="24"/>
          <w:szCs w:val="21"/>
        </w:rPr>
        <w:t xml:space="preserve"> for your school, firm, or organization. </w:t>
      </w:r>
      <w:hyperlink r:id="rId21" w:history="1">
        <w:proofErr w:type="gramStart"/>
        <w:r w:rsidR="003072EC" w:rsidRPr="00732174">
          <w:rPr>
            <w:rStyle w:val="Hyperlink"/>
            <w:color w:val="auto"/>
            <w:sz w:val="24"/>
            <w:szCs w:val="21"/>
          </w:rPr>
          <w:t>eLangdell</w:t>
        </w:r>
        <w:proofErr w:type="gramEnd"/>
      </w:hyperlink>
      <w:r w:rsidR="003072EC" w:rsidRPr="00732174">
        <w:rPr>
          <w:color w:val="auto"/>
          <w:sz w:val="24"/>
          <w:szCs w:val="21"/>
        </w:rPr>
        <w:t xml:space="preserve">® is our electronic press with a mission to publish more open books for legal education. </w:t>
      </w:r>
    </w:p>
    <w:p w:rsidR="003072EC" w:rsidRPr="00732174" w:rsidRDefault="003072EC" w:rsidP="003072EC">
      <w:pPr>
        <w:pStyle w:val="Body"/>
        <w:rPr>
          <w:color w:val="auto"/>
          <w:sz w:val="24"/>
        </w:rPr>
      </w:pPr>
      <w:r w:rsidRPr="00732174">
        <w:rPr>
          <w:color w:val="auto"/>
          <w:sz w:val="24"/>
          <w:szCs w:val="21"/>
        </w:rPr>
        <w:t xml:space="preserve">How do we define "open?" </w:t>
      </w:r>
    </w:p>
    <w:p w:rsidR="003072EC" w:rsidRPr="00732174" w:rsidRDefault="003072EC" w:rsidP="00054A76">
      <w:pPr>
        <w:pStyle w:val="Body"/>
        <w:numPr>
          <w:ilvl w:val="0"/>
          <w:numId w:val="7"/>
        </w:numPr>
        <w:rPr>
          <w:color w:val="auto"/>
          <w:sz w:val="24"/>
        </w:rPr>
      </w:pPr>
      <w:r w:rsidRPr="00732174">
        <w:rPr>
          <w:color w:val="auto"/>
          <w:sz w:val="24"/>
          <w:szCs w:val="21"/>
        </w:rPr>
        <w:t>Compatibility with devices like smartphones, tablets, and e-readers; as well as print.</w:t>
      </w:r>
    </w:p>
    <w:p w:rsidR="003072EC" w:rsidRPr="00732174" w:rsidRDefault="003072EC" w:rsidP="00054A76">
      <w:pPr>
        <w:pStyle w:val="Body"/>
        <w:numPr>
          <w:ilvl w:val="0"/>
          <w:numId w:val="7"/>
        </w:numPr>
        <w:rPr>
          <w:color w:val="auto"/>
          <w:sz w:val="24"/>
          <w:szCs w:val="21"/>
        </w:rPr>
      </w:pPr>
      <w:r w:rsidRPr="00732174">
        <w:rPr>
          <w:color w:val="auto"/>
          <w:sz w:val="24"/>
          <w:szCs w:val="21"/>
        </w:rPr>
        <w:t>The right for educators to remix the materials through more lenient copyright policies.</w:t>
      </w:r>
    </w:p>
    <w:p w:rsidR="003072EC" w:rsidRPr="00732174" w:rsidRDefault="003072EC" w:rsidP="00054A76">
      <w:pPr>
        <w:pStyle w:val="Body"/>
        <w:numPr>
          <w:ilvl w:val="0"/>
          <w:numId w:val="7"/>
        </w:numPr>
        <w:rPr>
          <w:color w:val="auto"/>
          <w:sz w:val="24"/>
          <w:szCs w:val="21"/>
        </w:rPr>
      </w:pPr>
      <w:r w:rsidRPr="00732174">
        <w:rPr>
          <w:color w:val="auto"/>
          <w:sz w:val="24"/>
          <w:szCs w:val="21"/>
        </w:rPr>
        <w:t>The ability for educators and students to adopt the materials for free.</w:t>
      </w:r>
    </w:p>
    <w:p w:rsidR="003072EC" w:rsidRPr="00732174" w:rsidRDefault="003072EC" w:rsidP="003072EC">
      <w:pPr>
        <w:pStyle w:val="Body"/>
        <w:rPr>
          <w:color w:val="auto"/>
          <w:sz w:val="24"/>
          <w:szCs w:val="21"/>
        </w:rPr>
      </w:pPr>
      <w:r w:rsidRPr="00732174">
        <w:rPr>
          <w:color w:val="auto"/>
          <w:sz w:val="24"/>
          <w:szCs w:val="21"/>
        </w:rPr>
        <w:t xml:space="preserve">Find available and upcoming eLangdell titles at </w:t>
      </w:r>
      <w:hyperlink r:id="rId22" w:history="1">
        <w:r w:rsidRPr="00732174">
          <w:rPr>
            <w:rStyle w:val="Hyperlink"/>
            <w:color w:val="auto"/>
            <w:sz w:val="24"/>
            <w:szCs w:val="21"/>
          </w:rPr>
          <w:t>elangdell.cali.org</w:t>
        </w:r>
      </w:hyperlink>
      <w:r w:rsidRPr="00732174">
        <w:rPr>
          <w:color w:val="auto"/>
          <w:sz w:val="24"/>
          <w:szCs w:val="21"/>
        </w:rPr>
        <w:t xml:space="preserve">. Show support for CALI by following us on </w:t>
      </w:r>
      <w:hyperlink r:id="rId23" w:history="1">
        <w:r w:rsidRPr="00732174">
          <w:rPr>
            <w:rStyle w:val="Hyperlink"/>
            <w:color w:val="auto"/>
            <w:sz w:val="24"/>
            <w:szCs w:val="21"/>
          </w:rPr>
          <w:t>Facebook</w:t>
        </w:r>
      </w:hyperlink>
      <w:r w:rsidRPr="00732174">
        <w:rPr>
          <w:color w:val="auto"/>
          <w:sz w:val="24"/>
          <w:szCs w:val="21"/>
        </w:rPr>
        <w:t xml:space="preserve"> and </w:t>
      </w:r>
      <w:hyperlink r:id="rId24" w:history="1">
        <w:r w:rsidRPr="00732174">
          <w:rPr>
            <w:rStyle w:val="Hyperlink"/>
            <w:color w:val="auto"/>
            <w:sz w:val="24"/>
            <w:szCs w:val="21"/>
          </w:rPr>
          <w:t>Twitter</w:t>
        </w:r>
      </w:hyperlink>
      <w:r w:rsidRPr="00732174">
        <w:rPr>
          <w:color w:val="auto"/>
          <w:sz w:val="24"/>
          <w:szCs w:val="21"/>
        </w:rPr>
        <w:t>, and by telling your friends and colleagues where you received your free book.</w:t>
      </w:r>
    </w:p>
    <w:p w:rsidR="003072EC" w:rsidRPr="009F2AFE" w:rsidRDefault="003072EC" w:rsidP="00E31D10">
      <w:pPr>
        <w:pStyle w:val="ChapterName"/>
        <w:rPr>
          <w:color w:val="auto"/>
        </w:rPr>
        <w:sectPr w:rsidR="003072EC" w:rsidRPr="009F2AFE" w:rsidSect="00485E87">
          <w:headerReference w:type="even" r:id="rId25"/>
          <w:pgSz w:w="12240" w:h="15840"/>
          <w:pgMar w:top="2160" w:right="2880" w:bottom="2160" w:left="2880" w:header="720" w:footer="720" w:gutter="0"/>
          <w:pgNumType w:fmt="lowerRoman"/>
          <w:cols w:space="720"/>
          <w:docGrid w:linePitch="326"/>
        </w:sectPr>
      </w:pPr>
    </w:p>
    <w:p w:rsidR="00E31D10" w:rsidRPr="009F2AFE" w:rsidRDefault="00E31D10" w:rsidP="00E31D10">
      <w:pPr>
        <w:pStyle w:val="ChapterName"/>
        <w:rPr>
          <w:color w:val="auto"/>
        </w:rPr>
      </w:pPr>
      <w:bookmarkStart w:id="7" w:name="_Toc320342474"/>
      <w:r w:rsidRPr="009F2AFE">
        <w:rPr>
          <w:color w:val="auto"/>
        </w:rPr>
        <w:lastRenderedPageBreak/>
        <w:t>Table of Contents</w:t>
      </w:r>
      <w:bookmarkEnd w:id="3"/>
      <w:bookmarkEnd w:id="7"/>
    </w:p>
    <w:p w:rsidR="00F679D3" w:rsidRDefault="00467D35" w:rsidP="00054A76">
      <w:pPr>
        <w:pStyle w:val="TOC1"/>
        <w:rPr>
          <w:rFonts w:asciiTheme="minorHAnsi" w:eastAsiaTheme="minorEastAsia" w:hAnsiTheme="minorHAnsi" w:cstheme="minorBidi"/>
          <w:noProof/>
          <w:sz w:val="22"/>
          <w:szCs w:val="22"/>
        </w:rPr>
      </w:pPr>
      <w:r w:rsidRPr="009F2AFE">
        <w:fldChar w:fldCharType="begin"/>
      </w:r>
      <w:r w:rsidR="00F42F3A" w:rsidRPr="009F2AFE">
        <w:instrText xml:space="preserve"> TOC \h \z \t "Chapter Name,1,Heading,1,Subheading,2,Case Heading,2" </w:instrText>
      </w:r>
      <w:r w:rsidRPr="009F2AFE">
        <w:fldChar w:fldCharType="separate"/>
      </w:r>
      <w:hyperlink w:anchor="_Toc320342471" w:history="1">
        <w:r w:rsidR="00F679D3" w:rsidRPr="00B62C77">
          <w:rPr>
            <w:rStyle w:val="Hyperlink"/>
            <w:noProof/>
          </w:rPr>
          <w:t>Notices</w:t>
        </w:r>
        <w:r w:rsidR="00F679D3">
          <w:rPr>
            <w:noProof/>
            <w:webHidden/>
          </w:rPr>
          <w:tab/>
        </w:r>
        <w:r>
          <w:rPr>
            <w:noProof/>
            <w:webHidden/>
          </w:rPr>
          <w:fldChar w:fldCharType="begin"/>
        </w:r>
        <w:r w:rsidR="00F679D3">
          <w:rPr>
            <w:noProof/>
            <w:webHidden/>
          </w:rPr>
          <w:instrText xml:space="preserve"> PAGEREF _Toc320342471 \h </w:instrText>
        </w:r>
        <w:r>
          <w:rPr>
            <w:noProof/>
            <w:webHidden/>
          </w:rPr>
        </w:r>
        <w:r>
          <w:rPr>
            <w:noProof/>
            <w:webHidden/>
          </w:rPr>
          <w:fldChar w:fldCharType="separate"/>
        </w:r>
        <w:r w:rsidR="00054A76">
          <w:rPr>
            <w:noProof/>
            <w:webHidden/>
          </w:rPr>
          <w:t>ii</w:t>
        </w:r>
        <w:r>
          <w:rPr>
            <w:noProof/>
            <w:webHidden/>
          </w:rPr>
          <w:fldChar w:fldCharType="end"/>
        </w:r>
      </w:hyperlink>
    </w:p>
    <w:p w:rsidR="00F679D3" w:rsidRDefault="007020D3" w:rsidP="00054A76">
      <w:pPr>
        <w:pStyle w:val="TOC1"/>
        <w:rPr>
          <w:rFonts w:asciiTheme="minorHAnsi" w:eastAsiaTheme="minorEastAsia" w:hAnsiTheme="minorHAnsi" w:cstheme="minorBidi"/>
          <w:noProof/>
          <w:color w:val="auto"/>
          <w:sz w:val="22"/>
          <w:szCs w:val="22"/>
        </w:rPr>
      </w:pPr>
      <w:hyperlink w:anchor="_Toc320342472" w:history="1">
        <w:r w:rsidR="00F679D3" w:rsidRPr="00B62C77">
          <w:rPr>
            <w:rStyle w:val="Hyperlink"/>
            <w:noProof/>
          </w:rPr>
          <w:t>About the Author</w:t>
        </w:r>
        <w:r w:rsidR="00F679D3">
          <w:rPr>
            <w:noProof/>
            <w:webHidden/>
          </w:rPr>
          <w:tab/>
        </w:r>
        <w:r w:rsidR="00467D35">
          <w:rPr>
            <w:noProof/>
            <w:webHidden/>
          </w:rPr>
          <w:fldChar w:fldCharType="begin"/>
        </w:r>
        <w:r w:rsidR="00F679D3">
          <w:rPr>
            <w:noProof/>
            <w:webHidden/>
          </w:rPr>
          <w:instrText xml:space="preserve"> PAGEREF _Toc320342472 \h </w:instrText>
        </w:r>
        <w:r w:rsidR="00467D35">
          <w:rPr>
            <w:noProof/>
            <w:webHidden/>
          </w:rPr>
        </w:r>
        <w:r w:rsidR="00467D35">
          <w:rPr>
            <w:noProof/>
            <w:webHidden/>
          </w:rPr>
          <w:fldChar w:fldCharType="separate"/>
        </w:r>
        <w:r w:rsidR="00054A76">
          <w:rPr>
            <w:noProof/>
            <w:webHidden/>
          </w:rPr>
          <w:t>iv</w:t>
        </w:r>
        <w:r w:rsidR="00467D35">
          <w:rPr>
            <w:noProof/>
            <w:webHidden/>
          </w:rPr>
          <w:fldChar w:fldCharType="end"/>
        </w:r>
      </w:hyperlink>
    </w:p>
    <w:p w:rsidR="00F679D3" w:rsidRDefault="007020D3" w:rsidP="00054A76">
      <w:pPr>
        <w:pStyle w:val="TOC1"/>
        <w:rPr>
          <w:rFonts w:asciiTheme="minorHAnsi" w:eastAsiaTheme="minorEastAsia" w:hAnsiTheme="minorHAnsi" w:cstheme="minorBidi"/>
          <w:noProof/>
          <w:color w:val="auto"/>
          <w:sz w:val="22"/>
          <w:szCs w:val="22"/>
        </w:rPr>
      </w:pPr>
      <w:hyperlink w:anchor="_Toc320342473" w:history="1">
        <w:r w:rsidR="00F679D3" w:rsidRPr="00B62C77">
          <w:rPr>
            <w:rStyle w:val="Hyperlink"/>
            <w:noProof/>
            <w:shd w:val="clear" w:color="auto" w:fill="FFFFFF"/>
          </w:rPr>
          <w:t>About CALI eLangdell Press</w:t>
        </w:r>
        <w:r w:rsidR="00F679D3">
          <w:rPr>
            <w:noProof/>
            <w:webHidden/>
          </w:rPr>
          <w:tab/>
        </w:r>
        <w:r w:rsidR="00467D35">
          <w:rPr>
            <w:noProof/>
            <w:webHidden/>
          </w:rPr>
          <w:fldChar w:fldCharType="begin"/>
        </w:r>
        <w:r w:rsidR="00F679D3">
          <w:rPr>
            <w:noProof/>
            <w:webHidden/>
          </w:rPr>
          <w:instrText xml:space="preserve"> PAGEREF _Toc320342473 \h </w:instrText>
        </w:r>
        <w:r w:rsidR="00467D35">
          <w:rPr>
            <w:noProof/>
            <w:webHidden/>
          </w:rPr>
        </w:r>
        <w:r w:rsidR="00467D35">
          <w:rPr>
            <w:noProof/>
            <w:webHidden/>
          </w:rPr>
          <w:fldChar w:fldCharType="separate"/>
        </w:r>
        <w:r w:rsidR="00054A76">
          <w:rPr>
            <w:noProof/>
            <w:webHidden/>
          </w:rPr>
          <w:t>v</w:t>
        </w:r>
        <w:r w:rsidR="00467D35">
          <w:rPr>
            <w:noProof/>
            <w:webHidden/>
          </w:rPr>
          <w:fldChar w:fldCharType="end"/>
        </w:r>
      </w:hyperlink>
    </w:p>
    <w:p w:rsidR="00F679D3" w:rsidRDefault="007020D3" w:rsidP="00054A76">
      <w:pPr>
        <w:pStyle w:val="TOC1"/>
        <w:rPr>
          <w:rFonts w:asciiTheme="minorHAnsi" w:eastAsiaTheme="minorEastAsia" w:hAnsiTheme="minorHAnsi" w:cstheme="minorBidi"/>
          <w:noProof/>
          <w:color w:val="auto"/>
          <w:sz w:val="22"/>
          <w:szCs w:val="22"/>
        </w:rPr>
      </w:pPr>
      <w:hyperlink w:anchor="_Toc320342474" w:history="1">
        <w:r w:rsidR="00F679D3" w:rsidRPr="00B62C77">
          <w:rPr>
            <w:rStyle w:val="Hyperlink"/>
            <w:noProof/>
          </w:rPr>
          <w:t>Table of Contents</w:t>
        </w:r>
        <w:r w:rsidR="00F679D3">
          <w:rPr>
            <w:noProof/>
            <w:webHidden/>
          </w:rPr>
          <w:tab/>
        </w:r>
        <w:r w:rsidR="00467D35">
          <w:rPr>
            <w:noProof/>
            <w:webHidden/>
          </w:rPr>
          <w:fldChar w:fldCharType="begin"/>
        </w:r>
        <w:r w:rsidR="00F679D3">
          <w:rPr>
            <w:noProof/>
            <w:webHidden/>
          </w:rPr>
          <w:instrText xml:space="preserve"> PAGEREF _Toc320342474 \h </w:instrText>
        </w:r>
        <w:r w:rsidR="00467D35">
          <w:rPr>
            <w:noProof/>
            <w:webHidden/>
          </w:rPr>
        </w:r>
        <w:r w:rsidR="00467D35">
          <w:rPr>
            <w:noProof/>
            <w:webHidden/>
          </w:rPr>
          <w:fldChar w:fldCharType="separate"/>
        </w:r>
        <w:r w:rsidR="00054A76">
          <w:rPr>
            <w:noProof/>
            <w:webHidden/>
          </w:rPr>
          <w:t>vi</w:t>
        </w:r>
        <w:r w:rsidR="00467D35">
          <w:rPr>
            <w:noProof/>
            <w:webHidden/>
          </w:rPr>
          <w:fldChar w:fldCharType="end"/>
        </w:r>
      </w:hyperlink>
    </w:p>
    <w:p w:rsidR="00F679D3" w:rsidRDefault="007020D3" w:rsidP="00054A76">
      <w:pPr>
        <w:pStyle w:val="TOC1"/>
        <w:rPr>
          <w:rFonts w:asciiTheme="minorHAnsi" w:eastAsiaTheme="minorEastAsia" w:hAnsiTheme="minorHAnsi" w:cstheme="minorBidi"/>
          <w:noProof/>
          <w:color w:val="auto"/>
          <w:sz w:val="22"/>
          <w:szCs w:val="22"/>
        </w:rPr>
      </w:pPr>
      <w:hyperlink w:anchor="_Toc320342475" w:history="1">
        <w:r w:rsidR="00F679D3" w:rsidRPr="00B62C77">
          <w:rPr>
            <w:rStyle w:val="Hyperlink"/>
            <w:noProof/>
          </w:rPr>
          <w:t>Preface</w:t>
        </w:r>
        <w:r w:rsidR="00F679D3">
          <w:rPr>
            <w:noProof/>
            <w:webHidden/>
          </w:rPr>
          <w:tab/>
        </w:r>
        <w:r w:rsidR="00467D35">
          <w:rPr>
            <w:noProof/>
            <w:webHidden/>
          </w:rPr>
          <w:fldChar w:fldCharType="begin"/>
        </w:r>
        <w:r w:rsidR="00F679D3">
          <w:rPr>
            <w:noProof/>
            <w:webHidden/>
          </w:rPr>
          <w:instrText xml:space="preserve"> PAGEREF _Toc320342475 \h </w:instrText>
        </w:r>
        <w:r w:rsidR="00467D35">
          <w:rPr>
            <w:noProof/>
            <w:webHidden/>
          </w:rPr>
        </w:r>
        <w:r w:rsidR="00467D35">
          <w:rPr>
            <w:noProof/>
            <w:webHidden/>
          </w:rPr>
          <w:fldChar w:fldCharType="separate"/>
        </w:r>
        <w:r w:rsidR="00054A76">
          <w:rPr>
            <w:noProof/>
            <w:webHidden/>
          </w:rPr>
          <w:t>vii</w:t>
        </w:r>
        <w:r w:rsidR="00467D35">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76" w:history="1">
        <w:r w:rsidR="00F679D3" w:rsidRPr="00F679D3">
          <w:rPr>
            <w:rStyle w:val="Hyperlink"/>
            <w:b/>
            <w:noProof/>
          </w:rPr>
          <w:t>Rape Shield Rule Chapter</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_Toc320342476 \h </w:instrText>
        </w:r>
        <w:r w:rsidR="00467D35" w:rsidRPr="00F679D3">
          <w:rPr>
            <w:noProof/>
            <w:webHidden/>
          </w:rPr>
        </w:r>
        <w:r w:rsidR="00467D35" w:rsidRPr="00F679D3">
          <w:rPr>
            <w:noProof/>
            <w:webHidden/>
          </w:rPr>
          <w:fldChar w:fldCharType="separate"/>
        </w:r>
        <w:r w:rsidR="00054A76">
          <w:rPr>
            <w:noProof/>
            <w:webHidden/>
          </w:rPr>
          <w:t>1</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77" w:history="1">
        <w:r w:rsidR="00F679D3" w:rsidRPr="00F679D3">
          <w:rPr>
            <w:rStyle w:val="Hyperlink"/>
            <w:b/>
            <w:noProof/>
          </w:rPr>
          <w:t>Introductory Note</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_Toc320342477 \h </w:instrText>
        </w:r>
        <w:r w:rsidR="00467D35" w:rsidRPr="00F679D3">
          <w:rPr>
            <w:noProof/>
            <w:webHidden/>
          </w:rPr>
        </w:r>
        <w:r w:rsidR="00467D35" w:rsidRPr="00F679D3">
          <w:rPr>
            <w:noProof/>
            <w:webHidden/>
          </w:rPr>
          <w:fldChar w:fldCharType="separate"/>
        </w:r>
        <w:r w:rsidR="00054A76">
          <w:rPr>
            <w:noProof/>
            <w:webHidden/>
          </w:rPr>
          <w:t>1</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78" w:history="1">
        <w:r w:rsidR="00F679D3" w:rsidRPr="00F679D3">
          <w:rPr>
            <w:rStyle w:val="Hyperlink"/>
            <w:b/>
            <w:noProof/>
          </w:rPr>
          <w:t>I. Historical Background</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_Toc320342478 \h </w:instrText>
        </w:r>
        <w:r w:rsidR="00467D35" w:rsidRPr="00F679D3">
          <w:rPr>
            <w:noProof/>
            <w:webHidden/>
          </w:rPr>
        </w:r>
        <w:r w:rsidR="00467D35" w:rsidRPr="00F679D3">
          <w:rPr>
            <w:noProof/>
            <w:webHidden/>
          </w:rPr>
          <w:fldChar w:fldCharType="separate"/>
        </w:r>
        <w:r w:rsidR="00054A76">
          <w:rPr>
            <w:noProof/>
            <w:webHidden/>
          </w:rPr>
          <w:t>1</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79" w:history="1">
        <w:r w:rsidR="00F679D3" w:rsidRPr="00F679D3">
          <w:rPr>
            <w:rStyle w:val="Hyperlink"/>
            <w:b/>
            <w:noProof/>
            <w:u w:color="0000FF"/>
          </w:rPr>
          <w:t>II. Rule 412(a)(1): The General Proscription</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_Toc320342479 \h </w:instrText>
        </w:r>
        <w:r w:rsidR="00467D35" w:rsidRPr="00F679D3">
          <w:rPr>
            <w:noProof/>
            <w:webHidden/>
          </w:rPr>
        </w:r>
        <w:r w:rsidR="00467D35" w:rsidRPr="00F679D3">
          <w:rPr>
            <w:noProof/>
            <w:webHidden/>
          </w:rPr>
          <w:fldChar w:fldCharType="separate"/>
        </w:r>
        <w:r w:rsidR="00054A76">
          <w:rPr>
            <w:noProof/>
            <w:webHidden/>
          </w:rPr>
          <w:t>2</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80" w:history="1">
        <w:r w:rsidR="00F679D3" w:rsidRPr="00F679D3">
          <w:rPr>
            <w:rStyle w:val="Hyperlink"/>
            <w:b/>
            <w:noProof/>
            <w:u w:color="0000FF"/>
          </w:rPr>
          <w:t>III. Rule 412(b)(1): Criminal Exceptions</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_Toc320342480 \h </w:instrText>
        </w:r>
        <w:r w:rsidR="00467D35" w:rsidRPr="00F679D3">
          <w:rPr>
            <w:noProof/>
            <w:webHidden/>
          </w:rPr>
        </w:r>
        <w:r w:rsidR="00467D35" w:rsidRPr="00F679D3">
          <w:rPr>
            <w:noProof/>
            <w:webHidden/>
          </w:rPr>
          <w:fldChar w:fldCharType="separate"/>
        </w:r>
        <w:r w:rsidR="00054A76">
          <w:rPr>
            <w:noProof/>
            <w:webHidden/>
          </w:rPr>
          <w:t>5</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81" w:history="1">
        <w:r w:rsidR="00F679D3" w:rsidRPr="00F679D3">
          <w:rPr>
            <w:rStyle w:val="Hyperlink"/>
            <w:b/>
            <w:noProof/>
            <w:u w:color="0000FF"/>
          </w:rPr>
          <w:t>IV. Rule 412(b)(2): Civil Exception</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_Toc320342481 \h </w:instrText>
        </w:r>
        <w:r w:rsidR="00467D35" w:rsidRPr="00F679D3">
          <w:rPr>
            <w:noProof/>
            <w:webHidden/>
          </w:rPr>
        </w:r>
        <w:r w:rsidR="00467D35" w:rsidRPr="00F679D3">
          <w:rPr>
            <w:noProof/>
            <w:webHidden/>
          </w:rPr>
          <w:fldChar w:fldCharType="separate"/>
        </w:r>
        <w:r w:rsidR="00054A76">
          <w:rPr>
            <w:noProof/>
            <w:webHidden/>
          </w:rPr>
          <w:t>11</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82" w:history="1">
        <w:r w:rsidR="00F679D3" w:rsidRPr="00F679D3">
          <w:rPr>
            <w:rStyle w:val="Hyperlink"/>
            <w:b/>
            <w:noProof/>
            <w:u w:color="0000FF"/>
          </w:rPr>
          <w:t xml:space="preserve">V. </w:t>
        </w:r>
        <w:r w:rsidR="00F679D3" w:rsidRPr="00F679D3">
          <w:rPr>
            <w:rStyle w:val="Hyperlink"/>
            <w:rFonts w:cs="Verdana"/>
            <w:b/>
            <w:noProof/>
            <w:u w:color="0000FF"/>
          </w:rPr>
          <w:t>Rule 412(c)</w:t>
        </w:r>
        <w:r w:rsidR="00F679D3" w:rsidRPr="00F679D3">
          <w:rPr>
            <w:rStyle w:val="Hyperlink"/>
            <w:b/>
            <w:noProof/>
            <w:u w:color="0000FF"/>
          </w:rPr>
          <w:t>: Procedure for Admissibility in Criminal Cases</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_Toc320342482 \h </w:instrText>
        </w:r>
        <w:r w:rsidR="00467D35" w:rsidRPr="00F679D3">
          <w:rPr>
            <w:noProof/>
            <w:webHidden/>
          </w:rPr>
        </w:r>
        <w:r w:rsidR="00467D35" w:rsidRPr="00F679D3">
          <w:rPr>
            <w:noProof/>
            <w:webHidden/>
          </w:rPr>
          <w:fldChar w:fldCharType="separate"/>
        </w:r>
        <w:r w:rsidR="00054A76">
          <w:rPr>
            <w:noProof/>
            <w:webHidden/>
          </w:rPr>
          <w:t>17</w:t>
        </w:r>
        <w:r w:rsidR="00467D35" w:rsidRPr="00F679D3">
          <w:rPr>
            <w:noProof/>
            <w:webHidden/>
          </w:rPr>
          <w:fldChar w:fldCharType="end"/>
        </w:r>
      </w:hyperlink>
    </w:p>
    <w:p w:rsidR="00F679D3" w:rsidRPr="00F679D3" w:rsidRDefault="007020D3" w:rsidP="00054A76">
      <w:pPr>
        <w:pStyle w:val="TOC1"/>
        <w:rPr>
          <w:rFonts w:asciiTheme="minorHAnsi" w:eastAsiaTheme="minorEastAsia" w:hAnsiTheme="minorHAnsi" w:cstheme="minorBidi"/>
          <w:noProof/>
          <w:color w:val="auto"/>
          <w:sz w:val="22"/>
          <w:szCs w:val="22"/>
        </w:rPr>
      </w:pPr>
      <w:hyperlink w:anchor="_Toc320342483" w:history="1">
        <w:r w:rsidR="00F679D3" w:rsidRPr="00F679D3">
          <w:rPr>
            <w:rStyle w:val="Hyperlink"/>
            <w:b/>
            <w:noProof/>
            <w:u w:color="0000FF"/>
          </w:rPr>
          <w:t>VI. Rape Shield Pleadings</w:t>
        </w:r>
        <w:r w:rsidR="00F679D3" w:rsidRPr="00F679D3">
          <w:rPr>
            <w:noProof/>
            <w:webHidden/>
          </w:rPr>
          <w:tab/>
        </w:r>
        <w:r w:rsidR="00467D35" w:rsidRPr="00F679D3">
          <w:rPr>
            <w:noProof/>
            <w:webHidden/>
          </w:rPr>
          <w:fldChar w:fldCharType="begin"/>
        </w:r>
        <w:r w:rsidR="00F679D3" w:rsidRPr="00F679D3">
          <w:rPr>
            <w:noProof/>
            <w:webHidden/>
          </w:rPr>
          <w:instrText xml:space="preserve"> PAGEREF _Toc320342483 \h </w:instrText>
        </w:r>
        <w:r w:rsidR="00467D35" w:rsidRPr="00F679D3">
          <w:rPr>
            <w:noProof/>
            <w:webHidden/>
          </w:rPr>
        </w:r>
        <w:r w:rsidR="00467D35" w:rsidRPr="00F679D3">
          <w:rPr>
            <w:noProof/>
            <w:webHidden/>
          </w:rPr>
          <w:fldChar w:fldCharType="separate"/>
        </w:r>
        <w:r w:rsidR="00054A76">
          <w:rPr>
            <w:noProof/>
            <w:webHidden/>
          </w:rPr>
          <w:t>22</w:t>
        </w:r>
        <w:r w:rsidR="00467D35" w:rsidRPr="00F679D3">
          <w:rPr>
            <w:noProof/>
            <w:webHidden/>
          </w:rPr>
          <w:fldChar w:fldCharType="end"/>
        </w:r>
      </w:hyperlink>
    </w:p>
    <w:p w:rsidR="00F475F9" w:rsidRPr="009F2AFE" w:rsidRDefault="00467D35" w:rsidP="004F1AAC">
      <w:pPr>
        <w:pStyle w:val="ChapterName"/>
        <w:rPr>
          <w:color w:val="auto"/>
        </w:rPr>
        <w:sectPr w:rsidR="00F475F9" w:rsidRPr="009F2AFE" w:rsidSect="00485E87">
          <w:pgSz w:w="12240" w:h="15840"/>
          <w:pgMar w:top="2160" w:right="2880" w:bottom="2160" w:left="2880" w:header="720" w:footer="720" w:gutter="0"/>
          <w:pgNumType w:fmt="lowerRoman"/>
          <w:cols w:space="720"/>
          <w:docGrid w:linePitch="326"/>
        </w:sectPr>
      </w:pPr>
      <w:r w:rsidRPr="009F2AFE">
        <w:rPr>
          <w:color w:val="auto"/>
        </w:rPr>
        <w:fldChar w:fldCharType="end"/>
      </w:r>
      <w:bookmarkStart w:id="8" w:name="_GoBack"/>
      <w:bookmarkEnd w:id="8"/>
    </w:p>
    <w:p w:rsidR="005855F6" w:rsidRPr="009F2AFE" w:rsidRDefault="005855F6" w:rsidP="004F1AAC">
      <w:pPr>
        <w:pStyle w:val="ChapterName"/>
        <w:rPr>
          <w:color w:val="auto"/>
        </w:rPr>
      </w:pPr>
      <w:bookmarkStart w:id="9" w:name="_Toc320342475"/>
      <w:r w:rsidRPr="009F2AFE">
        <w:rPr>
          <w:color w:val="auto"/>
        </w:rPr>
        <w:lastRenderedPageBreak/>
        <w:t>Preface</w:t>
      </w:r>
      <w:bookmarkEnd w:id="9"/>
    </w:p>
    <w:p w:rsidR="00226032" w:rsidRPr="00732174" w:rsidRDefault="005855F6" w:rsidP="009A51A8">
      <w:pPr>
        <w:pStyle w:val="Body"/>
        <w:rPr>
          <w:color w:val="auto"/>
          <w:sz w:val="24"/>
        </w:rPr>
      </w:pPr>
      <w:r w:rsidRPr="00732174">
        <w:rPr>
          <w:color w:val="auto"/>
          <w:sz w:val="24"/>
        </w:rPr>
        <w:t>The Rape Shield Rule, contained in Federal Rule of Evidence 412 and state counterparts is a Rule preventing the admission of evidence concerning the sexual predisposition and behavior of an alleged victim of sexual misconduct, subject to certain exceptions. Through a series of cases and hypotheticals drawn from actual cases, this chapter gives readers a roadmap for how to address any Rape Shield Rule issue in practice.</w:t>
      </w:r>
    </w:p>
    <w:p w:rsidR="00085B9F" w:rsidRPr="009F2AFE" w:rsidRDefault="00085B9F" w:rsidP="009A51A8">
      <w:pPr>
        <w:pStyle w:val="Body"/>
        <w:rPr>
          <w:color w:val="auto"/>
        </w:rPr>
      </w:pPr>
    </w:p>
    <w:p w:rsidR="00085B9F" w:rsidRPr="009F2AFE" w:rsidRDefault="00085B9F" w:rsidP="009A51A8">
      <w:pPr>
        <w:pStyle w:val="Body"/>
        <w:rPr>
          <w:color w:val="auto"/>
        </w:rPr>
        <w:sectPr w:rsidR="00085B9F" w:rsidRPr="009F2AFE" w:rsidSect="00485E87">
          <w:pgSz w:w="12240" w:h="15840"/>
          <w:pgMar w:top="2160" w:right="2880" w:bottom="2160" w:left="2880" w:header="720" w:footer="720" w:gutter="0"/>
          <w:pgNumType w:fmt="lowerRoman"/>
          <w:cols w:space="720"/>
          <w:docGrid w:linePitch="326"/>
        </w:sectPr>
      </w:pPr>
    </w:p>
    <w:p w:rsidR="005F0A24" w:rsidRPr="009F2AFE" w:rsidRDefault="005F0A24" w:rsidP="00B63D9E">
      <w:pPr>
        <w:pStyle w:val="ChapterName"/>
        <w:rPr>
          <w:color w:val="auto"/>
        </w:rPr>
      </w:pPr>
      <w:bookmarkStart w:id="10" w:name="_Toc315873673"/>
      <w:bookmarkStart w:id="11" w:name="_Toc320342476"/>
      <w:r w:rsidRPr="009F2AFE">
        <w:rPr>
          <w:color w:val="auto"/>
        </w:rPr>
        <w:lastRenderedPageBreak/>
        <w:t>Rape Shield Rule Chapter</w:t>
      </w:r>
      <w:bookmarkEnd w:id="10"/>
      <w:bookmarkEnd w:id="11"/>
    </w:p>
    <w:p w:rsidR="00394721" w:rsidRPr="00732174" w:rsidRDefault="00A572C3" w:rsidP="00B63D9E">
      <w:pPr>
        <w:pStyle w:val="Heading"/>
        <w:rPr>
          <w:color w:val="auto"/>
          <w:szCs w:val="24"/>
        </w:rPr>
      </w:pPr>
      <w:bookmarkStart w:id="12" w:name="_Toc320342477"/>
      <w:r w:rsidRPr="00732174">
        <w:rPr>
          <w:color w:val="auto"/>
          <w:szCs w:val="24"/>
        </w:rPr>
        <w:t>Introductory Note</w:t>
      </w:r>
      <w:bookmarkEnd w:id="12"/>
    </w:p>
    <w:p w:rsidR="00394721" w:rsidRPr="00732174" w:rsidRDefault="00394721" w:rsidP="00226032">
      <w:pPr>
        <w:pStyle w:val="Body"/>
        <w:rPr>
          <w:rFonts w:cs="Verdana"/>
          <w:color w:val="auto"/>
          <w:sz w:val="24"/>
          <w:szCs w:val="24"/>
        </w:rPr>
      </w:pPr>
      <w:r w:rsidRPr="00732174">
        <w:rPr>
          <w:rFonts w:cs="Verdana"/>
          <w:color w:val="auto"/>
          <w:sz w:val="24"/>
          <w:szCs w:val="24"/>
        </w:rPr>
        <w:t xml:space="preserve">In 2009, the </w:t>
      </w:r>
      <w:r w:rsidRPr="00732174">
        <w:rPr>
          <w:color w:val="auto"/>
          <w:sz w:val="24"/>
          <w:szCs w:val="24"/>
        </w:rPr>
        <w:t xml:space="preserve">Committee on Rules of Practice and Procedure of the Judicial Conference of the United States Courts decided to “restyle” the Federal Rules of Evidence. The goal in this project was to make the Rules more </w:t>
      </w:r>
      <w:proofErr w:type="gramStart"/>
      <w:r w:rsidRPr="00732174">
        <w:rPr>
          <w:color w:val="auto"/>
          <w:sz w:val="24"/>
          <w:szCs w:val="24"/>
        </w:rPr>
        <w:t>user</w:t>
      </w:r>
      <w:proofErr w:type="gramEnd"/>
      <w:r w:rsidRPr="00732174">
        <w:rPr>
          <w:color w:val="auto"/>
          <w:sz w:val="24"/>
          <w:szCs w:val="24"/>
        </w:rPr>
        <w:t xml:space="preserve"> friendly rather than to enact substantive changes. At the end of each section of this casebook, there is a side-by-side comparison between the prior language of each </w:t>
      </w:r>
      <w:r w:rsidR="0055093B" w:rsidRPr="00732174">
        <w:rPr>
          <w:color w:val="auto"/>
          <w:sz w:val="24"/>
          <w:szCs w:val="24"/>
        </w:rPr>
        <w:t>portion of Rule 412</w:t>
      </w:r>
      <w:r w:rsidRPr="00732174">
        <w:rPr>
          <w:color w:val="auto"/>
          <w:sz w:val="24"/>
          <w:szCs w:val="24"/>
        </w:rPr>
        <w:t xml:space="preserve"> and the language of </w:t>
      </w:r>
      <w:r w:rsidR="0055093B" w:rsidRPr="00732174">
        <w:rPr>
          <w:color w:val="auto"/>
          <w:sz w:val="24"/>
          <w:szCs w:val="24"/>
        </w:rPr>
        <w:t>the</w:t>
      </w:r>
      <w:r w:rsidRPr="00732174">
        <w:rPr>
          <w:color w:val="auto"/>
          <w:sz w:val="24"/>
          <w:szCs w:val="24"/>
        </w:rPr>
        <w:t xml:space="preserve"> new “restyled” Rule. Because the changes were intended to be stylistic only, everything discussed in this chapter should continue to be good law after the “restyled” Rules take effect on December 1, 2011. </w:t>
      </w:r>
    </w:p>
    <w:p w:rsidR="00394721" w:rsidRPr="00732174" w:rsidRDefault="00A572C3" w:rsidP="00B63D9E">
      <w:pPr>
        <w:pStyle w:val="Heading"/>
        <w:rPr>
          <w:color w:val="auto"/>
          <w:szCs w:val="24"/>
        </w:rPr>
      </w:pPr>
      <w:bookmarkStart w:id="13" w:name="_Toc320342478"/>
      <w:r w:rsidRPr="00732174">
        <w:rPr>
          <w:color w:val="auto"/>
          <w:szCs w:val="24"/>
        </w:rPr>
        <w:t xml:space="preserve">I. </w:t>
      </w:r>
      <w:r w:rsidR="00394721" w:rsidRPr="00732174">
        <w:rPr>
          <w:color w:val="auto"/>
          <w:szCs w:val="24"/>
        </w:rPr>
        <w:t>Historical Background</w:t>
      </w:r>
      <w:bookmarkEnd w:id="13"/>
    </w:p>
    <w:p w:rsidR="009F2AFE" w:rsidRPr="00732174" w:rsidRDefault="00394721" w:rsidP="00226032">
      <w:pPr>
        <w:pStyle w:val="Body"/>
        <w:rPr>
          <w:color w:val="auto"/>
          <w:sz w:val="24"/>
          <w:szCs w:val="24"/>
        </w:rPr>
      </w:pPr>
      <w:r w:rsidRPr="00732174">
        <w:rPr>
          <w:color w:val="auto"/>
          <w:sz w:val="24"/>
          <w:szCs w:val="24"/>
        </w:rPr>
        <w:t xml:space="preserve">For the better part of this country's history, defense attorneys in rape and sexual assault cases used to parade into court the alleged victim’s sexual partners to, in effect, prove that she had a propensity to consent to sexual relations and that she acted in conformity with this propensity, and thus consented, at the time of the alleged rape or </w:t>
      </w:r>
      <w:hyperlink r:id="rId26" w:history="1">
        <w:r w:rsidRPr="00732174">
          <w:rPr>
            <w:rStyle w:val="Hyperlink"/>
            <w:rFonts w:cs="Arial"/>
            <w:color w:val="auto"/>
            <w:sz w:val="24"/>
            <w:szCs w:val="24"/>
          </w:rPr>
          <w:t>sexual assault</w:t>
        </w:r>
      </w:hyperlink>
      <w:r w:rsidR="009F2AFE" w:rsidRPr="00732174">
        <w:rPr>
          <w:rStyle w:val="FootnoteReference"/>
          <w:color w:val="auto"/>
          <w:sz w:val="24"/>
          <w:szCs w:val="24"/>
        </w:rPr>
        <w:footnoteReference w:id="1"/>
      </w:r>
      <w:r w:rsidR="009F2AFE" w:rsidRPr="00732174">
        <w:rPr>
          <w:color w:val="auto"/>
          <w:sz w:val="24"/>
          <w:szCs w:val="24"/>
        </w:rPr>
        <w:t xml:space="preserve">. Or, more generally, defense attorneys used this evidence to prove that the alleged victim was </w:t>
      </w:r>
      <w:hyperlink r:id="rId27" w:history="1">
        <w:r w:rsidR="009F2AFE" w:rsidRPr="00732174">
          <w:rPr>
            <w:rStyle w:val="Hyperlink"/>
            <w:rFonts w:cs="Arial"/>
            <w:color w:val="auto"/>
            <w:sz w:val="24"/>
            <w:szCs w:val="24"/>
          </w:rPr>
          <w:t>a liar</w:t>
        </w:r>
      </w:hyperlink>
      <w:r w:rsidR="009F2AFE" w:rsidRPr="00732174">
        <w:rPr>
          <w:rStyle w:val="FootnoteReference"/>
          <w:color w:val="auto"/>
          <w:sz w:val="24"/>
          <w:szCs w:val="24"/>
        </w:rPr>
        <w:footnoteReference w:id="2"/>
      </w:r>
      <w:r w:rsidR="009F2AFE" w:rsidRPr="00732174">
        <w:rPr>
          <w:color w:val="auto"/>
          <w:sz w:val="24"/>
          <w:szCs w:val="24"/>
        </w:rPr>
        <w:t xml:space="preserve">. </w:t>
      </w:r>
    </w:p>
    <w:p w:rsidR="009F2AFE" w:rsidRPr="00732174" w:rsidRDefault="009F2AFE" w:rsidP="00226032">
      <w:pPr>
        <w:pStyle w:val="Body"/>
        <w:rPr>
          <w:rFonts w:cs="Verdana"/>
          <w:bCs/>
          <w:color w:val="auto"/>
          <w:sz w:val="24"/>
          <w:szCs w:val="24"/>
        </w:rPr>
      </w:pPr>
      <w:r w:rsidRPr="00732174">
        <w:rPr>
          <w:color w:val="auto"/>
          <w:sz w:val="24"/>
          <w:szCs w:val="24"/>
        </w:rPr>
        <w:t xml:space="preserve">Such displays impacted not only jurors, but also judges. For instance, in its 1895 opinion in </w:t>
      </w:r>
      <w:r w:rsidRPr="00732174">
        <w:rPr>
          <w:i/>
          <w:iCs/>
          <w:color w:val="auto"/>
          <w:sz w:val="24"/>
          <w:szCs w:val="24"/>
        </w:rPr>
        <w:t>State v. Sibley</w:t>
      </w:r>
      <w:r w:rsidRPr="00732174">
        <w:rPr>
          <w:color w:val="auto"/>
          <w:sz w:val="24"/>
          <w:szCs w:val="24"/>
        </w:rPr>
        <w:t>, 33 S.W. 167, 171 (Mo. 1895), the Supreme Court of Missouri inanely concluded that “[</w:t>
      </w:r>
      <w:proofErr w:type="spellStart"/>
      <w:r w:rsidRPr="00732174">
        <w:rPr>
          <w:color w:val="auto"/>
          <w:sz w:val="24"/>
          <w:szCs w:val="24"/>
        </w:rPr>
        <w:t>i</w:t>
      </w:r>
      <w:proofErr w:type="spellEnd"/>
      <w:r w:rsidRPr="00732174">
        <w:rPr>
          <w:color w:val="auto"/>
          <w:sz w:val="24"/>
          <w:szCs w:val="24"/>
        </w:rPr>
        <w:t xml:space="preserve">]t is a matter of common knowledge that the bad character of a man for chastity does not even in the remotest degree affect his character for truth, when based upon that alone, while it does that of a woman.” </w:t>
      </w:r>
      <w:r w:rsidRPr="00732174">
        <w:rPr>
          <w:i/>
          <w:color w:val="auto"/>
          <w:sz w:val="24"/>
          <w:szCs w:val="24"/>
        </w:rPr>
        <w:t>See</w:t>
      </w:r>
      <w:r w:rsidRPr="00732174">
        <w:rPr>
          <w:color w:val="auto"/>
          <w:sz w:val="24"/>
          <w:szCs w:val="24"/>
        </w:rPr>
        <w:t xml:space="preserve"> Colin </w:t>
      </w:r>
      <w:r w:rsidRPr="00732174">
        <w:rPr>
          <w:color w:val="auto"/>
          <w:sz w:val="24"/>
          <w:szCs w:val="24"/>
        </w:rPr>
        <w:lastRenderedPageBreak/>
        <w:t xml:space="preserve">Miller, </w:t>
      </w:r>
      <w:r w:rsidRPr="00732174">
        <w:rPr>
          <w:i/>
          <w:color w:val="auto"/>
          <w:sz w:val="24"/>
          <w:szCs w:val="24"/>
        </w:rPr>
        <w:t>New Zealand's New Rule</w:t>
      </w:r>
      <w:proofErr w:type="gramStart"/>
      <w:r w:rsidRPr="00732174">
        <w:rPr>
          <w:i/>
          <w:color w:val="auto"/>
          <w:sz w:val="24"/>
          <w:szCs w:val="24"/>
        </w:rPr>
        <w:t>?:</w:t>
      </w:r>
      <w:proofErr w:type="gramEnd"/>
      <w:r w:rsidRPr="00732174">
        <w:rPr>
          <w:i/>
          <w:color w:val="auto"/>
          <w:sz w:val="24"/>
          <w:szCs w:val="24"/>
        </w:rPr>
        <w:t xml:space="preserve"> NZ's Justice Ministry Proposes Rape Shield Law.</w:t>
      </w:r>
      <w:r w:rsidRPr="00732174">
        <w:rPr>
          <w:color w:val="auto"/>
          <w:sz w:val="24"/>
          <w:szCs w:val="24"/>
        </w:rPr>
        <w:t xml:space="preserve"> </w:t>
      </w:r>
      <w:proofErr w:type="gramStart"/>
      <w:r w:rsidRPr="00732174">
        <w:rPr>
          <w:color w:val="auto"/>
          <w:sz w:val="24"/>
          <w:szCs w:val="24"/>
        </w:rPr>
        <w:t xml:space="preserve">EvidenceProf Blog, (Aug. 27, 2008.) </w:t>
      </w:r>
      <w:hyperlink r:id="rId28" w:history="1">
        <w:r w:rsidRPr="00732174">
          <w:rPr>
            <w:rStyle w:val="Hyperlink"/>
            <w:color w:val="auto"/>
            <w:sz w:val="24"/>
            <w:szCs w:val="24"/>
          </w:rPr>
          <w:t>http://lawprofessors.typepad.com/evidenceprof/2008/08/nz-rape-httpwww.html</w:t>
        </w:r>
      </w:hyperlink>
      <w:r w:rsidRPr="00732174">
        <w:rPr>
          <w:color w:val="auto"/>
          <w:sz w:val="24"/>
          <w:szCs w:val="24"/>
        </w:rPr>
        <w:t>.</w:t>
      </w:r>
      <w:proofErr w:type="gramEnd"/>
      <w:r w:rsidRPr="00732174">
        <w:rPr>
          <w:color w:val="auto"/>
          <w:sz w:val="24"/>
          <w:szCs w:val="24"/>
        </w:rPr>
        <w:t xml:space="preserve"> </w:t>
      </w:r>
      <w:r w:rsidRPr="00732174">
        <w:rPr>
          <w:rFonts w:cs="Verdana"/>
          <w:bCs/>
          <w:color w:val="auto"/>
          <w:sz w:val="24"/>
          <w:szCs w:val="24"/>
        </w:rPr>
        <w:t xml:space="preserve">They also led to the underreporting of rapes and historically low conviction rates in rape and sexual assault cases. </w:t>
      </w:r>
      <w:proofErr w:type="gramStart"/>
      <w:r w:rsidRPr="00732174">
        <w:rPr>
          <w:rFonts w:cs="Verdana"/>
          <w:bCs/>
          <w:i/>
          <w:color w:val="auto"/>
          <w:sz w:val="24"/>
          <w:szCs w:val="24"/>
        </w:rPr>
        <w:t xml:space="preserve">See, e.g., State v. </w:t>
      </w:r>
      <w:proofErr w:type="spellStart"/>
      <w:r w:rsidRPr="00732174">
        <w:rPr>
          <w:rFonts w:cs="Verdana"/>
          <w:bCs/>
          <w:i/>
          <w:color w:val="auto"/>
          <w:sz w:val="24"/>
          <w:szCs w:val="24"/>
        </w:rPr>
        <w:t>Hudlow</w:t>
      </w:r>
      <w:proofErr w:type="spellEnd"/>
      <w:r w:rsidRPr="00732174">
        <w:rPr>
          <w:rFonts w:cs="Verdana"/>
          <w:bCs/>
          <w:color w:val="auto"/>
          <w:sz w:val="24"/>
          <w:szCs w:val="24"/>
        </w:rPr>
        <w:t>, 659 P.2d 514, 522-23 (Wash. 1983).</w:t>
      </w:r>
      <w:proofErr w:type="gramEnd"/>
      <w:r w:rsidRPr="00732174">
        <w:rPr>
          <w:rFonts w:cs="Verdana"/>
          <w:bCs/>
          <w:color w:val="auto"/>
          <w:sz w:val="24"/>
          <w:szCs w:val="24"/>
        </w:rPr>
        <w:t xml:space="preserve"> </w:t>
      </w:r>
    </w:p>
    <w:p w:rsidR="009F2AFE" w:rsidRPr="00732174" w:rsidRDefault="009F2AFE" w:rsidP="00226032">
      <w:pPr>
        <w:pStyle w:val="Body"/>
        <w:rPr>
          <w:rFonts w:cs="Verdana"/>
          <w:color w:val="auto"/>
          <w:sz w:val="24"/>
          <w:szCs w:val="24"/>
        </w:rPr>
      </w:pPr>
      <w:r w:rsidRPr="00732174">
        <w:rPr>
          <w:color w:val="auto"/>
          <w:sz w:val="24"/>
          <w:szCs w:val="24"/>
        </w:rPr>
        <w:t xml:space="preserve">This and related concerns led to the anti-rape movement, an offshoot of the civil rights movement of the 1960s and 1970s, being able to get rape shield laws passed in several states. </w:t>
      </w:r>
      <w:r w:rsidRPr="00732174">
        <w:rPr>
          <w:i/>
          <w:color w:val="auto"/>
          <w:sz w:val="24"/>
          <w:szCs w:val="24"/>
        </w:rPr>
        <w:t>See id</w:t>
      </w:r>
      <w:r w:rsidRPr="00732174">
        <w:rPr>
          <w:color w:val="auto"/>
          <w:sz w:val="24"/>
          <w:szCs w:val="24"/>
        </w:rPr>
        <w:t xml:space="preserve">. </w:t>
      </w:r>
      <w:r w:rsidRPr="00732174">
        <w:rPr>
          <w:rFonts w:cs="Verdana"/>
          <w:color w:val="auto"/>
          <w:sz w:val="24"/>
          <w:szCs w:val="24"/>
        </w:rPr>
        <w:t xml:space="preserve">The Supreme Court later followed suit by creating </w:t>
      </w:r>
      <w:hyperlink r:id="rId29" w:history="1">
        <w:r w:rsidRPr="00732174">
          <w:rPr>
            <w:rStyle w:val="Hyperlink"/>
            <w:rFonts w:cs="Verdana"/>
            <w:color w:val="auto"/>
            <w:sz w:val="24"/>
            <w:szCs w:val="24"/>
          </w:rPr>
          <w:t>Federal Rule of Evidence 412</w:t>
        </w:r>
      </w:hyperlink>
      <w:r w:rsidRPr="00732174">
        <w:rPr>
          <w:rFonts w:cs="Verdana"/>
          <w:color w:val="auto"/>
          <w:sz w:val="24"/>
          <w:szCs w:val="24"/>
        </w:rPr>
        <w:t xml:space="preserve">, the federal “rape shield” rule. In effect, </w:t>
      </w:r>
      <w:r w:rsidRPr="00732174">
        <w:rPr>
          <w:color w:val="auto"/>
          <w:sz w:val="24"/>
          <w:szCs w:val="24"/>
        </w:rPr>
        <w:t>rape shield rules protect complainants from having their past sexual behavior and/or predispositions exposed in the courtroom unless defense counsel can point toward a compelling theory of admissibility.</w:t>
      </w:r>
    </w:p>
    <w:p w:rsidR="009F2AFE" w:rsidRPr="00732174" w:rsidRDefault="009F2AFE" w:rsidP="00226032">
      <w:pPr>
        <w:pStyle w:val="Body"/>
        <w:rPr>
          <w:rFonts w:cs="Verdana"/>
          <w:color w:val="auto"/>
          <w:sz w:val="24"/>
          <w:szCs w:val="24"/>
          <w:u w:color="0000FF"/>
        </w:rPr>
      </w:pPr>
      <w:r w:rsidRPr="00732174">
        <w:rPr>
          <w:rFonts w:cs="Verdana"/>
          <w:color w:val="auto"/>
          <w:sz w:val="24"/>
          <w:szCs w:val="24"/>
        </w:rPr>
        <w:t xml:space="preserve">Specifically, </w:t>
      </w:r>
      <w:r w:rsidRPr="00732174">
        <w:rPr>
          <w:rFonts w:cs="Verdana"/>
          <w:color w:val="auto"/>
          <w:sz w:val="24"/>
          <w:szCs w:val="24"/>
          <w:u w:color="0000FF"/>
        </w:rPr>
        <w:t xml:space="preserve">as amended in 1994, Rule 412(a) now provides, “The following evidence is not admissible in any civil or criminal proceeding involving alleged sexual misconduct except as provided in subdivisions (b) and (c): (1) Evidence offered to prove that any alleged victim engaged in other sexual behavior. (2) Evidence offered to prove any alleged victim's </w:t>
      </w:r>
      <w:r w:rsidRPr="00732174">
        <w:rPr>
          <w:color w:val="auto"/>
          <w:sz w:val="24"/>
          <w:szCs w:val="24"/>
        </w:rPr>
        <w:t xml:space="preserve">sexual predisposition.” </w:t>
      </w:r>
      <w:hyperlink r:id="rId30" w:anchor="Rule412" w:history="1">
        <w:r w:rsidRPr="00732174">
          <w:rPr>
            <w:color w:val="auto"/>
            <w:sz w:val="24"/>
            <w:szCs w:val="24"/>
          </w:rPr>
          <w:t>Rule 412(a)</w:t>
        </w:r>
      </w:hyperlink>
      <w:r w:rsidRPr="00732174">
        <w:rPr>
          <w:color w:val="auto"/>
          <w:sz w:val="24"/>
          <w:szCs w:val="24"/>
        </w:rPr>
        <w:t xml:space="preserve"> applies not only in rape or sexual assault cases but also in other cases, including </w:t>
      </w:r>
      <w:hyperlink r:id="rId31" w:history="1">
        <w:r w:rsidRPr="00732174">
          <w:rPr>
            <w:color w:val="auto"/>
            <w:sz w:val="24"/>
            <w:szCs w:val="24"/>
          </w:rPr>
          <w:t>sexual harassment cases</w:t>
        </w:r>
      </w:hyperlink>
      <w:r w:rsidRPr="00732174">
        <w:rPr>
          <w:color w:val="auto"/>
          <w:sz w:val="24"/>
          <w:szCs w:val="24"/>
        </w:rPr>
        <w:t>.</w:t>
      </w:r>
    </w:p>
    <w:p w:rsidR="009F2AFE" w:rsidRPr="00732174" w:rsidRDefault="009F2AFE" w:rsidP="00B63D9E">
      <w:pPr>
        <w:pStyle w:val="Heading"/>
        <w:rPr>
          <w:color w:val="auto"/>
          <w:szCs w:val="24"/>
          <w:u w:color="0000FF"/>
        </w:rPr>
      </w:pPr>
      <w:bookmarkStart w:id="14" w:name="_Toc320342479"/>
      <w:r w:rsidRPr="00732174">
        <w:rPr>
          <w:color w:val="auto"/>
          <w:szCs w:val="24"/>
          <w:u w:color="0000FF"/>
        </w:rPr>
        <w:t>II. Rule 412(a</w:t>
      </w:r>
      <w:proofErr w:type="gramStart"/>
      <w:r w:rsidRPr="00732174">
        <w:rPr>
          <w:color w:val="auto"/>
          <w:szCs w:val="24"/>
          <w:u w:color="0000FF"/>
        </w:rPr>
        <w:t>)(</w:t>
      </w:r>
      <w:proofErr w:type="gramEnd"/>
      <w:r w:rsidRPr="00732174">
        <w:rPr>
          <w:color w:val="auto"/>
          <w:szCs w:val="24"/>
          <w:u w:color="0000FF"/>
        </w:rPr>
        <w:t>1): The General Proscription</w:t>
      </w:r>
      <w:bookmarkEnd w:id="14"/>
    </w:p>
    <w:p w:rsidR="009F2AFE" w:rsidRPr="00732174" w:rsidRDefault="009F2AFE" w:rsidP="00226032">
      <w:pPr>
        <w:pStyle w:val="Body"/>
        <w:rPr>
          <w:color w:val="auto"/>
          <w:sz w:val="24"/>
          <w:szCs w:val="24"/>
          <w:u w:color="0000FF"/>
        </w:rPr>
      </w:pPr>
      <w:r w:rsidRPr="00732174">
        <w:rPr>
          <w:color w:val="auto"/>
          <w:sz w:val="24"/>
          <w:szCs w:val="24"/>
          <w:u w:color="0000FF"/>
        </w:rPr>
        <w:t xml:space="preserve">Under </w:t>
      </w:r>
      <w:r w:rsidRPr="00732174">
        <w:rPr>
          <w:rFonts w:cs="Verdana"/>
          <w:color w:val="auto"/>
          <w:sz w:val="24"/>
          <w:szCs w:val="24"/>
          <w:u w:color="0000FF"/>
        </w:rPr>
        <w:t>Rule 412(a)(1)</w:t>
      </w:r>
      <w:r w:rsidRPr="00732174">
        <w:rPr>
          <w:color w:val="auto"/>
          <w:sz w:val="24"/>
          <w:szCs w:val="24"/>
          <w:u w:color="0000FF"/>
        </w:rPr>
        <w:t xml:space="preserve">, evidence of other sexual behavior by an alleged victim is now inadmissible to prove her propensity to consent to sexual acts and her likely conformity with this propensity, and thus consent, at the time of the alleged rape or similar crime in civil and criminal cases. </w:t>
      </w:r>
      <w:proofErr w:type="gramStart"/>
      <w:r w:rsidRPr="00732174">
        <w:rPr>
          <w:i/>
          <w:color w:val="auto"/>
          <w:sz w:val="24"/>
          <w:szCs w:val="24"/>
          <w:u w:color="0000FF"/>
        </w:rPr>
        <w:t xml:space="preserve">See, e.g., </w:t>
      </w:r>
      <w:hyperlink r:id="rId32" w:history="1">
        <w:r w:rsidRPr="00732174">
          <w:rPr>
            <w:rStyle w:val="Hyperlink"/>
            <w:rFonts w:cs="Verdana"/>
            <w:i/>
            <w:color w:val="auto"/>
            <w:sz w:val="24"/>
            <w:szCs w:val="24"/>
          </w:rPr>
          <w:t>Ledesma v. Gov’t of the Virgin Is.</w:t>
        </w:r>
      </w:hyperlink>
      <w:r w:rsidRPr="00732174">
        <w:rPr>
          <w:color w:val="auto"/>
          <w:sz w:val="24"/>
          <w:szCs w:val="24"/>
          <w:u w:color="0000FF"/>
        </w:rPr>
        <w:t>, 159 F. Supp.2d 863 (D.V.I. 2001).</w:t>
      </w:r>
      <w:proofErr w:type="gramEnd"/>
      <w:r w:rsidRPr="00732174">
        <w:rPr>
          <w:color w:val="auto"/>
          <w:sz w:val="24"/>
          <w:szCs w:val="24"/>
          <w:u w:color="0000FF"/>
        </w:rPr>
        <w:t xml:space="preserve"> </w:t>
      </w:r>
      <w:proofErr w:type="gramStart"/>
      <w:r w:rsidRPr="00732174">
        <w:rPr>
          <w:color w:val="auto"/>
          <w:sz w:val="24"/>
          <w:szCs w:val="24"/>
          <w:u w:color="0000FF"/>
        </w:rPr>
        <w:t xml:space="preserve">According to the </w:t>
      </w:r>
      <w:r w:rsidRPr="00732174">
        <w:rPr>
          <w:rFonts w:cs="Verdana"/>
          <w:color w:val="auto"/>
          <w:sz w:val="24"/>
          <w:szCs w:val="24"/>
          <w:u w:color="0000FF"/>
        </w:rPr>
        <w:t>Advisory Committee’s Note</w:t>
      </w:r>
      <w:r w:rsidRPr="00732174">
        <w:rPr>
          <w:color w:val="auto"/>
          <w:sz w:val="24"/>
          <w:szCs w:val="24"/>
          <w:u w:color="0000FF"/>
        </w:rPr>
        <w:t>, the phrase “other sexual behavior” includes not only</w:t>
      </w:r>
      <w:r w:rsidRPr="00732174">
        <w:rPr>
          <w:color w:val="auto"/>
          <w:sz w:val="24"/>
          <w:szCs w:val="24"/>
        </w:rPr>
        <w:t xml:space="preserve"> “all activities that involve actual physical conduct, </w:t>
      </w:r>
      <w:r w:rsidRPr="00732174">
        <w:rPr>
          <w:i/>
          <w:color w:val="auto"/>
          <w:sz w:val="24"/>
          <w:szCs w:val="24"/>
        </w:rPr>
        <w:t>i.e.</w:t>
      </w:r>
      <w:r w:rsidRPr="00732174">
        <w:rPr>
          <w:color w:val="auto"/>
          <w:sz w:val="24"/>
          <w:szCs w:val="24"/>
        </w:rPr>
        <w:t xml:space="preserve"> sexual intercourse and sexual contact, or that imply sexual intercourse or sexual contact,” but also “activities of the mind, such as fantasies or dreams.”</w:t>
      </w:r>
      <w:proofErr w:type="gramEnd"/>
      <w:r w:rsidRPr="00732174">
        <w:rPr>
          <w:color w:val="auto"/>
          <w:sz w:val="24"/>
          <w:szCs w:val="24"/>
        </w:rPr>
        <w:t xml:space="preserve"> Thus, for instance, in </w:t>
      </w:r>
      <w:hyperlink r:id="rId33" w:history="1">
        <w:r w:rsidRPr="00732174">
          <w:rPr>
            <w:rFonts w:cs="Trebuchet MS"/>
            <w:i/>
            <w:iCs/>
            <w:color w:val="auto"/>
            <w:sz w:val="24"/>
            <w:szCs w:val="24"/>
            <w:u w:val="single"/>
          </w:rPr>
          <w:t>United States v. Papakee</w:t>
        </w:r>
      </w:hyperlink>
      <w:r w:rsidRPr="00732174">
        <w:rPr>
          <w:rFonts w:cs="Trebuchet MS"/>
          <w:color w:val="auto"/>
          <w:sz w:val="24"/>
          <w:szCs w:val="24"/>
        </w:rPr>
        <w:t>, 573 F.3d 569 (8th Cir. 2009)</w:t>
      </w:r>
      <w:r w:rsidRPr="00732174">
        <w:rPr>
          <w:color w:val="auto"/>
          <w:sz w:val="24"/>
          <w:szCs w:val="24"/>
          <w:u w:color="0000FF"/>
        </w:rPr>
        <w:t xml:space="preserve">, the Eighth Circuit found that a district court properly precluded the </w:t>
      </w:r>
      <w:r w:rsidRPr="00732174">
        <w:rPr>
          <w:color w:val="auto"/>
          <w:sz w:val="24"/>
          <w:szCs w:val="24"/>
          <w:u w:color="0000FF"/>
        </w:rPr>
        <w:lastRenderedPageBreak/>
        <w:t xml:space="preserve">defendant charged with sexual abuse from introducing evidence that the alleged victim told the deputy questioning her about the crime that he was cute and asked him if he wanted to crawl into bed with her because these statements were “other sexual behavior.” Courts generally have concluded that the rape shield rule precludes the admission of evidence of the victim’s other nonconsensual, as well as consensual, “sexual behavior.” </w:t>
      </w:r>
      <w:r w:rsidRPr="00732174">
        <w:rPr>
          <w:i/>
          <w:color w:val="auto"/>
          <w:sz w:val="24"/>
          <w:szCs w:val="24"/>
          <w:u w:color="0000FF"/>
        </w:rPr>
        <w:t xml:space="preserve">See, e.g. </w:t>
      </w:r>
      <w:hyperlink r:id="rId34" w:history="1">
        <w:r w:rsidRPr="00732174">
          <w:rPr>
            <w:rStyle w:val="Hyperlink"/>
            <w:rFonts w:cs="Verdana"/>
            <w:i/>
            <w:color w:val="auto"/>
            <w:sz w:val="24"/>
            <w:szCs w:val="24"/>
          </w:rPr>
          <w:t>Bryan v. State</w:t>
        </w:r>
      </w:hyperlink>
      <w:r w:rsidRPr="00732174">
        <w:rPr>
          <w:color w:val="auto"/>
          <w:sz w:val="24"/>
          <w:szCs w:val="24"/>
          <w:u w:color="0000FF"/>
        </w:rPr>
        <w:t xml:space="preserve">, </w:t>
      </w:r>
      <w:r w:rsidRPr="00732174">
        <w:rPr>
          <w:rFonts w:cs="Trebuchet MS"/>
          <w:color w:val="auto"/>
          <w:sz w:val="24"/>
          <w:szCs w:val="24"/>
        </w:rPr>
        <w:t>2010 WL 1137038 (</w:t>
      </w:r>
      <w:proofErr w:type="spellStart"/>
      <w:r w:rsidRPr="00732174">
        <w:rPr>
          <w:rFonts w:cs="Trebuchet MS"/>
          <w:color w:val="auto"/>
          <w:sz w:val="24"/>
          <w:szCs w:val="24"/>
        </w:rPr>
        <w:t>Tex.App</w:t>
      </w:r>
      <w:proofErr w:type="spellEnd"/>
      <w:r w:rsidRPr="00732174">
        <w:rPr>
          <w:rFonts w:cs="Trebuchet MS"/>
          <w:color w:val="auto"/>
          <w:sz w:val="24"/>
          <w:szCs w:val="24"/>
        </w:rPr>
        <w:t xml:space="preserve">. 2010); </w:t>
      </w:r>
      <w:r w:rsidRPr="00732174">
        <w:rPr>
          <w:bCs/>
          <w:color w:val="auto"/>
          <w:sz w:val="24"/>
          <w:szCs w:val="24"/>
        </w:rPr>
        <w:t xml:space="preserve">Colin Miller, </w:t>
      </w:r>
      <w:r w:rsidRPr="00732174">
        <w:rPr>
          <w:bCs/>
          <w:i/>
          <w:color w:val="auto"/>
          <w:sz w:val="24"/>
          <w:szCs w:val="24"/>
        </w:rPr>
        <w:t xml:space="preserve">Invasion </w:t>
      </w:r>
      <w:proofErr w:type="gramStart"/>
      <w:r w:rsidRPr="00732174">
        <w:rPr>
          <w:bCs/>
          <w:i/>
          <w:color w:val="auto"/>
          <w:sz w:val="24"/>
          <w:szCs w:val="24"/>
        </w:rPr>
        <w:t>Of</w:t>
      </w:r>
      <w:proofErr w:type="gramEnd"/>
      <w:r w:rsidRPr="00732174">
        <w:rPr>
          <w:bCs/>
          <w:i/>
          <w:color w:val="auto"/>
          <w:sz w:val="24"/>
          <w:szCs w:val="24"/>
        </w:rPr>
        <w:t xml:space="preserve"> Privacy: Court Of Appeals Of Texas Finds Trial Court Properly Excluded Evidence Of Alleged Victim's Prior Nonconsensual Sexual Acts Under Rape Shield Rule</w:t>
      </w:r>
      <w:r w:rsidRPr="00732174">
        <w:rPr>
          <w:bCs/>
          <w:color w:val="auto"/>
          <w:sz w:val="24"/>
          <w:szCs w:val="24"/>
        </w:rPr>
        <w:t xml:space="preserve">. </w:t>
      </w:r>
      <w:proofErr w:type="gramStart"/>
      <w:r w:rsidRPr="00732174">
        <w:rPr>
          <w:bCs/>
          <w:color w:val="auto"/>
          <w:sz w:val="24"/>
          <w:szCs w:val="24"/>
        </w:rPr>
        <w:t xml:space="preserve">EvidenceProf Blog (Apr. 10, 2010) </w:t>
      </w:r>
      <w:hyperlink r:id="rId35" w:history="1">
        <w:r w:rsidRPr="00732174">
          <w:rPr>
            <w:rStyle w:val="Hyperlink"/>
            <w:bCs/>
            <w:color w:val="auto"/>
            <w:sz w:val="24"/>
            <w:szCs w:val="24"/>
          </w:rPr>
          <w:t>http://lawprofessors.typepad.com/evidenceprof/2010/04/rape-shield--desmond-w-bryan-appellant-v-the-state-of-texas-state----sw3d------2010-wl-1137038texapp-fort-worth2010.html</w:t>
        </w:r>
      </w:hyperlink>
      <w:r w:rsidRPr="00732174">
        <w:rPr>
          <w:bCs/>
          <w:color w:val="auto"/>
          <w:sz w:val="24"/>
          <w:szCs w:val="24"/>
        </w:rPr>
        <w:t>.</w:t>
      </w:r>
      <w:proofErr w:type="gramEnd"/>
      <w:r w:rsidRPr="00732174">
        <w:rPr>
          <w:bCs/>
          <w:color w:val="auto"/>
          <w:sz w:val="24"/>
          <w:szCs w:val="24"/>
        </w:rPr>
        <w:t xml:space="preserve"> </w:t>
      </w:r>
    </w:p>
    <w:p w:rsidR="009F2AFE" w:rsidRPr="00732174" w:rsidRDefault="009F2AFE" w:rsidP="00226032">
      <w:pPr>
        <w:pStyle w:val="Body"/>
        <w:rPr>
          <w:color w:val="auto"/>
          <w:sz w:val="24"/>
          <w:szCs w:val="24"/>
        </w:rPr>
      </w:pPr>
      <w:r w:rsidRPr="00732174">
        <w:rPr>
          <w:color w:val="auto"/>
          <w:sz w:val="24"/>
          <w:szCs w:val="24"/>
          <w:u w:color="0000FF"/>
        </w:rPr>
        <w:t xml:space="preserve">Moreover, under </w:t>
      </w:r>
      <w:r w:rsidRPr="00732174">
        <w:rPr>
          <w:rFonts w:cs="Verdana"/>
          <w:color w:val="auto"/>
          <w:sz w:val="24"/>
          <w:szCs w:val="24"/>
          <w:u w:color="0000FF"/>
        </w:rPr>
        <w:t>Rule 412(a</w:t>
      </w:r>
      <w:proofErr w:type="gramStart"/>
      <w:r w:rsidRPr="00732174">
        <w:rPr>
          <w:rFonts w:cs="Verdana"/>
          <w:color w:val="auto"/>
          <w:sz w:val="24"/>
          <w:szCs w:val="24"/>
          <w:u w:color="0000FF"/>
        </w:rPr>
        <w:t>)(</w:t>
      </w:r>
      <w:proofErr w:type="gramEnd"/>
      <w:r w:rsidRPr="00732174">
        <w:rPr>
          <w:rFonts w:cs="Verdana"/>
          <w:color w:val="auto"/>
          <w:sz w:val="24"/>
          <w:szCs w:val="24"/>
          <w:u w:color="0000FF"/>
        </w:rPr>
        <w:t>2)</w:t>
      </w:r>
      <w:r w:rsidRPr="00732174">
        <w:rPr>
          <w:color w:val="auto"/>
          <w:sz w:val="24"/>
          <w:szCs w:val="24"/>
          <w:u w:color="0000FF"/>
        </w:rPr>
        <w:t xml:space="preserve">, evidence of the sexual predisposition of alleged victims, such as their “mode of dress, speech, or life-style will </w:t>
      </w:r>
      <w:r w:rsidRPr="00732174">
        <w:rPr>
          <w:color w:val="auto"/>
          <w:sz w:val="24"/>
          <w:szCs w:val="24"/>
        </w:rPr>
        <w:t>not be admissible.”</w:t>
      </w:r>
      <w:r w:rsidRPr="00732174">
        <w:rPr>
          <w:color w:val="auto"/>
          <w:sz w:val="24"/>
          <w:szCs w:val="24"/>
          <w:u w:color="0000FF"/>
        </w:rPr>
        <w:t xml:space="preserve"> Thus, for instance, evidence that an alleged victim of homosexual rape had previously engaged in consensual homosexual acts is inadmissible to prove her propensity to consent to such acts and her likely conformity with this propensity at the time of the alleged rape. </w:t>
      </w:r>
      <w:proofErr w:type="gramStart"/>
      <w:r w:rsidRPr="00732174">
        <w:rPr>
          <w:i/>
          <w:color w:val="auto"/>
          <w:sz w:val="24"/>
          <w:szCs w:val="24"/>
          <w:u w:color="0000FF"/>
        </w:rPr>
        <w:t>See, e.g.,</w:t>
      </w:r>
      <w:r w:rsidRPr="00732174">
        <w:rPr>
          <w:color w:val="auto"/>
          <w:sz w:val="24"/>
          <w:szCs w:val="24"/>
          <w:u w:color="0000FF"/>
        </w:rPr>
        <w:t xml:space="preserve"> </w:t>
      </w:r>
      <w:hyperlink r:id="rId36" w:history="1">
        <w:r w:rsidRPr="00732174">
          <w:rPr>
            <w:rStyle w:val="Hyperlink"/>
            <w:rFonts w:cs="Verdana"/>
            <w:i/>
            <w:color w:val="auto"/>
            <w:sz w:val="24"/>
            <w:szCs w:val="24"/>
          </w:rPr>
          <w:t>People v. Murphy</w:t>
        </w:r>
      </w:hyperlink>
      <w:r w:rsidRPr="00732174">
        <w:rPr>
          <w:color w:val="auto"/>
          <w:sz w:val="24"/>
          <w:szCs w:val="24"/>
          <w:u w:color="0000FF"/>
        </w:rPr>
        <w:t>, 919 P.2d 191 (Colo. 1996).</w:t>
      </w:r>
      <w:proofErr w:type="gramEnd"/>
      <w:r w:rsidRPr="00732174">
        <w:rPr>
          <w:color w:val="auto"/>
          <w:sz w:val="24"/>
          <w:szCs w:val="24"/>
          <w:u w:color="0000FF"/>
        </w:rPr>
        <w:t xml:space="preserve"> Similarly, evidence that an alleged rape victim had previously engaged in consensual extramarital affairs is inadmissible to prove her propensity to consent to such affairs and her likely conformity with that propensity at the time of an alleged rape by a man other then her husband. </w:t>
      </w:r>
      <w:proofErr w:type="gramStart"/>
      <w:r w:rsidRPr="00732174">
        <w:rPr>
          <w:i/>
          <w:color w:val="auto"/>
          <w:sz w:val="24"/>
          <w:szCs w:val="24"/>
          <w:u w:color="0000FF"/>
        </w:rPr>
        <w:t>See, e.g.,</w:t>
      </w:r>
      <w:r w:rsidRPr="00732174">
        <w:rPr>
          <w:color w:val="auto"/>
          <w:sz w:val="24"/>
          <w:szCs w:val="24"/>
          <w:u w:color="0000FF"/>
        </w:rPr>
        <w:t xml:space="preserve"> </w:t>
      </w:r>
      <w:hyperlink r:id="rId37" w:history="1">
        <w:r w:rsidRPr="00732174">
          <w:rPr>
            <w:rStyle w:val="Hyperlink"/>
            <w:rFonts w:cs="Verdana"/>
            <w:i/>
            <w:color w:val="auto"/>
            <w:sz w:val="24"/>
            <w:szCs w:val="24"/>
          </w:rPr>
          <w:t>Truong v. Smith</w:t>
        </w:r>
      </w:hyperlink>
      <w:r w:rsidRPr="00732174">
        <w:rPr>
          <w:color w:val="auto"/>
          <w:sz w:val="24"/>
          <w:szCs w:val="24"/>
          <w:u w:color="0000FF"/>
        </w:rPr>
        <w:t>, 183 F.R.D. 273 (D. Colo. 1998).</w:t>
      </w:r>
      <w:proofErr w:type="gramEnd"/>
      <w:r w:rsidRPr="00732174">
        <w:rPr>
          <w:color w:val="auto"/>
          <w:sz w:val="24"/>
          <w:szCs w:val="24"/>
        </w:rPr>
        <w:t xml:space="preserve"> </w:t>
      </w:r>
    </w:p>
    <w:p w:rsidR="009F2AFE" w:rsidRPr="00732174" w:rsidRDefault="009F2AFE" w:rsidP="00A96494">
      <w:pPr>
        <w:pStyle w:val="HypoHeading"/>
        <w:rPr>
          <w:sz w:val="24"/>
          <w:szCs w:val="24"/>
        </w:rPr>
      </w:pPr>
      <w:bookmarkStart w:id="15" w:name="_Toc315873677"/>
      <w:r w:rsidRPr="00732174">
        <w:rPr>
          <w:sz w:val="24"/>
          <w:szCs w:val="24"/>
        </w:rPr>
        <w:t>Hypothetical 1</w:t>
      </w:r>
      <w:bookmarkEnd w:id="15"/>
    </w:p>
    <w:p w:rsidR="009F2AFE" w:rsidRPr="00732174" w:rsidRDefault="009F2AFE" w:rsidP="00226032">
      <w:pPr>
        <w:pStyle w:val="CaseBody"/>
        <w:rPr>
          <w:i/>
          <w:color w:val="auto"/>
          <w:sz w:val="24"/>
          <w:szCs w:val="24"/>
        </w:rPr>
      </w:pPr>
      <w:proofErr w:type="spellStart"/>
      <w:r w:rsidRPr="00732174">
        <w:rPr>
          <w:color w:val="auto"/>
          <w:sz w:val="24"/>
          <w:szCs w:val="24"/>
        </w:rPr>
        <w:t>Aleksandr</w:t>
      </w:r>
      <w:proofErr w:type="spellEnd"/>
      <w:r w:rsidRPr="00732174">
        <w:rPr>
          <w:color w:val="auto"/>
          <w:sz w:val="24"/>
          <w:szCs w:val="24"/>
        </w:rPr>
        <w:t xml:space="preserve"> </w:t>
      </w:r>
      <w:proofErr w:type="spellStart"/>
      <w:r w:rsidRPr="00732174">
        <w:rPr>
          <w:color w:val="auto"/>
          <w:sz w:val="24"/>
          <w:szCs w:val="24"/>
        </w:rPr>
        <w:t>Maksimenko</w:t>
      </w:r>
      <w:proofErr w:type="spellEnd"/>
      <w:r w:rsidRPr="00732174">
        <w:rPr>
          <w:color w:val="auto"/>
          <w:sz w:val="24"/>
          <w:szCs w:val="24"/>
        </w:rPr>
        <w:t xml:space="preserve"> is charged with several counts of criminal sexual abuse after allegedly forcing several women to engage in sexual acts with him under threat of physical force against them. Before trial, the prosecution files a motion </w:t>
      </w:r>
      <w:r w:rsidRPr="00732174">
        <w:rPr>
          <w:i/>
          <w:color w:val="auto"/>
          <w:sz w:val="24"/>
          <w:szCs w:val="24"/>
        </w:rPr>
        <w:t xml:space="preserve">in </w:t>
      </w:r>
      <w:proofErr w:type="spellStart"/>
      <w:r w:rsidRPr="00732174">
        <w:rPr>
          <w:i/>
          <w:color w:val="auto"/>
          <w:sz w:val="24"/>
          <w:szCs w:val="24"/>
        </w:rPr>
        <w:t>limine</w:t>
      </w:r>
      <w:proofErr w:type="spellEnd"/>
      <w:r w:rsidRPr="00732174">
        <w:rPr>
          <w:color w:val="auto"/>
          <w:sz w:val="24"/>
          <w:szCs w:val="24"/>
        </w:rPr>
        <w:t xml:space="preserve">, seeking to preclude the defendant from interrogating the alleged victims about their profession as exotic dancers. Should the court grant the motion? </w:t>
      </w:r>
      <w:r w:rsidRPr="00732174">
        <w:rPr>
          <w:i/>
          <w:color w:val="auto"/>
          <w:sz w:val="24"/>
          <w:szCs w:val="24"/>
        </w:rPr>
        <w:t xml:space="preserve">Cf. </w:t>
      </w:r>
      <w:hyperlink r:id="rId38" w:history="1">
        <w:r w:rsidRPr="00732174">
          <w:rPr>
            <w:rStyle w:val="Hyperlink"/>
            <w:i/>
            <w:color w:val="auto"/>
            <w:sz w:val="24"/>
            <w:szCs w:val="24"/>
          </w:rPr>
          <w:t xml:space="preserve">United States v. </w:t>
        </w:r>
        <w:proofErr w:type="spellStart"/>
        <w:r w:rsidRPr="00732174">
          <w:rPr>
            <w:rStyle w:val="Hyperlink"/>
            <w:i/>
            <w:color w:val="auto"/>
            <w:sz w:val="24"/>
            <w:szCs w:val="24"/>
          </w:rPr>
          <w:t>Maksimenko</w:t>
        </w:r>
        <w:proofErr w:type="spellEnd"/>
      </w:hyperlink>
      <w:r w:rsidRPr="00732174">
        <w:rPr>
          <w:color w:val="auto"/>
          <w:sz w:val="24"/>
          <w:szCs w:val="24"/>
        </w:rPr>
        <w:t xml:space="preserve">, 2007 WL 522708 (E.D. Mich. 2007). </w:t>
      </w:r>
    </w:p>
    <w:p w:rsidR="009F2AFE" w:rsidRPr="00732174" w:rsidRDefault="009F2AFE" w:rsidP="00A96494">
      <w:pPr>
        <w:pStyle w:val="HypoHeading"/>
        <w:rPr>
          <w:sz w:val="24"/>
          <w:szCs w:val="24"/>
        </w:rPr>
      </w:pPr>
      <w:bookmarkStart w:id="16" w:name="_Toc315873678"/>
      <w:r w:rsidRPr="00732174">
        <w:rPr>
          <w:sz w:val="24"/>
          <w:szCs w:val="24"/>
        </w:rPr>
        <w:lastRenderedPageBreak/>
        <w:t>Hypothetical 2</w:t>
      </w:r>
      <w:bookmarkEnd w:id="16"/>
    </w:p>
    <w:p w:rsidR="009F2AFE" w:rsidRPr="00732174" w:rsidRDefault="009F2AFE" w:rsidP="00226032">
      <w:pPr>
        <w:pStyle w:val="CaseBody"/>
        <w:rPr>
          <w:color w:val="auto"/>
          <w:sz w:val="24"/>
          <w:szCs w:val="24"/>
        </w:rPr>
      </w:pPr>
      <w:r w:rsidRPr="00732174">
        <w:rPr>
          <w:color w:val="auto"/>
          <w:sz w:val="24"/>
          <w:szCs w:val="24"/>
        </w:rPr>
        <w:t xml:space="preserve">Mary Wilson brings a </w:t>
      </w:r>
      <w:hyperlink r:id="rId39" w:history="1">
        <w:r w:rsidRPr="00732174">
          <w:rPr>
            <w:rStyle w:val="Hyperlink"/>
            <w:color w:val="auto"/>
            <w:sz w:val="24"/>
            <w:szCs w:val="24"/>
          </w:rPr>
          <w:t>Title VII</w:t>
        </w:r>
      </w:hyperlink>
      <w:r w:rsidRPr="00732174">
        <w:rPr>
          <w:color w:val="auto"/>
          <w:sz w:val="24"/>
          <w:szCs w:val="24"/>
        </w:rPr>
        <w:t xml:space="preserve"> action against her former employer asserting acts of discrimination based on gender and sexual harassment. According to Wilson, these acts consisted, </w:t>
      </w:r>
      <w:r w:rsidRPr="00732174">
        <w:rPr>
          <w:i/>
          <w:color w:val="auto"/>
          <w:sz w:val="24"/>
          <w:szCs w:val="24"/>
        </w:rPr>
        <w:t>inter alia</w:t>
      </w:r>
      <w:r w:rsidRPr="00732174">
        <w:rPr>
          <w:color w:val="auto"/>
          <w:sz w:val="24"/>
          <w:szCs w:val="24"/>
        </w:rPr>
        <w:t xml:space="preserve">, of coworkers referring to her as a “bitch,” “cunt,” and “slut.” The defendant seeks to present evidence of Wilson’s own engagement in sexually explicit language and behavior in the workplace, such as talking about vibrators and men’s sexual organs. Is this evidence inadmissible under the Rape Shield Rule? </w:t>
      </w:r>
      <w:r w:rsidRPr="00732174">
        <w:rPr>
          <w:i/>
          <w:color w:val="auto"/>
          <w:sz w:val="24"/>
          <w:szCs w:val="24"/>
        </w:rPr>
        <w:t xml:space="preserve">See </w:t>
      </w:r>
      <w:hyperlink r:id="rId40" w:history="1">
        <w:r w:rsidRPr="00732174">
          <w:rPr>
            <w:rStyle w:val="Hyperlink"/>
            <w:i/>
            <w:color w:val="auto"/>
            <w:sz w:val="24"/>
            <w:szCs w:val="24"/>
          </w:rPr>
          <w:t>Wilson v. City of Des Moines</w:t>
        </w:r>
      </w:hyperlink>
      <w:r w:rsidRPr="00732174">
        <w:rPr>
          <w:color w:val="auto"/>
          <w:sz w:val="24"/>
          <w:szCs w:val="24"/>
        </w:rPr>
        <w:t xml:space="preserve">, </w:t>
      </w:r>
      <w:proofErr w:type="gramStart"/>
      <w:r w:rsidRPr="00732174">
        <w:rPr>
          <w:color w:val="auto"/>
          <w:sz w:val="24"/>
          <w:szCs w:val="24"/>
        </w:rPr>
        <w:t>442 F.3d 637</w:t>
      </w:r>
      <w:proofErr w:type="gramEnd"/>
      <w:r w:rsidRPr="00732174">
        <w:rPr>
          <w:color w:val="auto"/>
          <w:sz w:val="24"/>
          <w:szCs w:val="24"/>
        </w:rPr>
        <w:t xml:space="preserve"> (8th Cir. 2006). </w:t>
      </w:r>
    </w:p>
    <w:p w:rsidR="009F2AFE" w:rsidRPr="00732174" w:rsidRDefault="009F2AFE" w:rsidP="00A96494">
      <w:pPr>
        <w:pStyle w:val="HypoHeading"/>
        <w:rPr>
          <w:sz w:val="24"/>
          <w:szCs w:val="24"/>
        </w:rPr>
      </w:pPr>
      <w:bookmarkStart w:id="17" w:name="_Toc315873679"/>
      <w:r w:rsidRPr="00732174">
        <w:rPr>
          <w:sz w:val="24"/>
          <w:szCs w:val="24"/>
        </w:rPr>
        <w:t>Hypothetical 3</w:t>
      </w:r>
      <w:bookmarkEnd w:id="17"/>
    </w:p>
    <w:p w:rsidR="009F2AFE" w:rsidRPr="00732174" w:rsidRDefault="009F2AFE" w:rsidP="00BD691E">
      <w:pPr>
        <w:pStyle w:val="CaseBody"/>
        <w:rPr>
          <w:color w:val="auto"/>
          <w:sz w:val="24"/>
          <w:szCs w:val="24"/>
        </w:rPr>
      </w:pPr>
      <w:r w:rsidRPr="00732174">
        <w:rPr>
          <w:color w:val="auto"/>
          <w:sz w:val="24"/>
          <w:szCs w:val="24"/>
        </w:rPr>
        <w:t xml:space="preserve">Preston Gaddis is charged with rape, sexual assault, and indecent assault after allegedly throwing a 19 year-old woman onto the floor and raping her in his Pennsylvania home. At trial, Gaddis seeks to introduce evidence of the alleged victim's relationship with another woman to prove that the alleged victim was uncertain about her sexual preference and was using intercourse with him as an attempt to determine whether she was homosexual or heterosexual. He claimed that when the experience did not turn out the way that she expected, she leveled the charges of rape against him despite the sex being consensual. The prosecution opposes the introduction of this evidence, claiming that it was inadmissible under Pennsylvania's version of the Rape Shield Law. How should the court rule? </w:t>
      </w:r>
      <w:r w:rsidRPr="00732174">
        <w:rPr>
          <w:i/>
          <w:color w:val="auto"/>
          <w:sz w:val="24"/>
          <w:szCs w:val="24"/>
        </w:rPr>
        <w:t xml:space="preserve">See </w:t>
      </w:r>
      <w:r w:rsidRPr="00732174">
        <w:rPr>
          <w:color w:val="auto"/>
          <w:sz w:val="24"/>
          <w:szCs w:val="24"/>
        </w:rPr>
        <w:t xml:space="preserve">Colin Miller, </w:t>
      </w:r>
      <w:r w:rsidRPr="00732174">
        <w:rPr>
          <w:i/>
          <w:color w:val="auto"/>
          <w:sz w:val="24"/>
          <w:szCs w:val="24"/>
        </w:rPr>
        <w:t>Keystone Case: Pennsylvania Court Finds Evidence of Lesbian Relationship Inadmissible Under Rape Shield Law.</w:t>
      </w:r>
      <w:r w:rsidRPr="00732174">
        <w:rPr>
          <w:color w:val="auto"/>
          <w:sz w:val="24"/>
          <w:szCs w:val="24"/>
        </w:rPr>
        <w:t xml:space="preserve"> </w:t>
      </w:r>
      <w:proofErr w:type="gramStart"/>
      <w:r w:rsidRPr="00732174">
        <w:rPr>
          <w:color w:val="auto"/>
          <w:sz w:val="24"/>
          <w:szCs w:val="24"/>
        </w:rPr>
        <w:t xml:space="preserve">EvidenceProf Blog (Jan. 24, 2008) </w:t>
      </w:r>
      <w:hyperlink r:id="rId41" w:history="1">
        <w:r w:rsidR="00A96494" w:rsidRPr="00732174">
          <w:rPr>
            <w:rStyle w:val="Hyperlink"/>
            <w:color w:val="auto"/>
            <w:sz w:val="24"/>
            <w:szCs w:val="24"/>
          </w:rPr>
          <w:t>http://lawprofessors.typepad.com/evidenceprof/2008/01/ last-april-pres.html</w:t>
        </w:r>
      </w:hyperlink>
      <w:r w:rsidRPr="00732174">
        <w:rPr>
          <w:color w:val="auto"/>
          <w:sz w:val="24"/>
          <w:szCs w:val="24"/>
        </w:rPr>
        <w:t>.</w:t>
      </w:r>
      <w:proofErr w:type="gramEnd"/>
      <w:r w:rsidRPr="00732174">
        <w:rPr>
          <w:color w:val="auto"/>
          <w:sz w:val="24"/>
          <w:szCs w:val="24"/>
        </w:rPr>
        <w:t xml:space="preserve"> </w:t>
      </w:r>
    </w:p>
    <w:tbl>
      <w:tblPr>
        <w:tblW w:w="0" w:type="auto"/>
        <w:tblInd w:w="108" w:type="dxa"/>
        <w:tblBorders>
          <w:insideV w:val="single" w:sz="4" w:space="0" w:color="auto"/>
        </w:tblBorders>
        <w:tblLook w:val="0000" w:firstRow="0" w:lastRow="0" w:firstColumn="0" w:lastColumn="0" w:noHBand="0" w:noVBand="0"/>
      </w:tblPr>
      <w:tblGrid>
        <w:gridCol w:w="3385"/>
        <w:gridCol w:w="3203"/>
      </w:tblGrid>
      <w:tr w:rsidR="009F2AFE" w:rsidRPr="00732174">
        <w:trPr>
          <w:trHeight w:val="2700"/>
        </w:trPr>
        <w:tc>
          <w:tcPr>
            <w:tcW w:w="5040" w:type="dxa"/>
          </w:tcPr>
          <w:p w:rsidR="009F2AFE" w:rsidRPr="00732174" w:rsidRDefault="009F2AFE" w:rsidP="0061498C">
            <w:pPr>
              <w:pStyle w:val="TableHeading"/>
              <w:keepNext w:val="0"/>
              <w:ind w:left="0"/>
              <w:rPr>
                <w:color w:val="auto"/>
                <w:sz w:val="24"/>
                <w:szCs w:val="24"/>
              </w:rPr>
            </w:pPr>
            <w:r w:rsidRPr="00732174">
              <w:rPr>
                <w:color w:val="auto"/>
                <w:sz w:val="24"/>
                <w:szCs w:val="24"/>
              </w:rPr>
              <w:lastRenderedPageBreak/>
              <w:t>Prior Rules Language:</w:t>
            </w:r>
          </w:p>
          <w:p w:rsidR="009F2AFE" w:rsidRPr="00732174" w:rsidRDefault="009F2AFE" w:rsidP="00B63D9E">
            <w:pPr>
              <w:pStyle w:val="TableBody"/>
              <w:keepLines/>
              <w:spacing w:after="120"/>
              <w:jc w:val="left"/>
              <w:rPr>
                <w:color w:val="auto"/>
                <w:sz w:val="24"/>
                <w:szCs w:val="24"/>
              </w:rPr>
            </w:pPr>
            <w:r w:rsidRPr="00732174">
              <w:rPr>
                <w:b/>
                <w:color w:val="auto"/>
                <w:sz w:val="24"/>
                <w:szCs w:val="24"/>
              </w:rPr>
              <w:t>(a) Evidence Generally Inadmissible.</w:t>
            </w:r>
            <w:r w:rsidRPr="00732174">
              <w:rPr>
                <w:color w:val="auto"/>
                <w:sz w:val="24"/>
                <w:szCs w:val="24"/>
              </w:rPr>
              <w:t xml:space="preserve"> The following evidence is not admissible in any civil or criminal proceeding involving alleged sexual misconduct except as provided in subdivisions (b) and (c):</w:t>
            </w:r>
          </w:p>
          <w:p w:rsidR="009F2AFE" w:rsidRPr="00732174" w:rsidRDefault="009F2AFE" w:rsidP="00B63D9E">
            <w:pPr>
              <w:pStyle w:val="TableBody"/>
              <w:keepLines/>
              <w:spacing w:after="120"/>
              <w:ind w:left="342"/>
              <w:jc w:val="left"/>
              <w:rPr>
                <w:color w:val="auto"/>
                <w:sz w:val="24"/>
                <w:szCs w:val="24"/>
              </w:rPr>
            </w:pPr>
            <w:r w:rsidRPr="00732174">
              <w:rPr>
                <w:b/>
                <w:color w:val="auto"/>
                <w:sz w:val="24"/>
                <w:szCs w:val="24"/>
              </w:rPr>
              <w:t>(1)</w:t>
            </w:r>
            <w:r w:rsidRPr="00732174">
              <w:rPr>
                <w:color w:val="auto"/>
                <w:sz w:val="24"/>
                <w:szCs w:val="24"/>
              </w:rPr>
              <w:t xml:space="preserve"> Evidence offered to prove that any alleged victim engaged in other sexual behavior.</w:t>
            </w:r>
          </w:p>
          <w:p w:rsidR="009F2AFE" w:rsidRPr="00732174" w:rsidRDefault="009F2AFE" w:rsidP="00B63D9E">
            <w:pPr>
              <w:pStyle w:val="TableBody"/>
              <w:keepLines/>
              <w:spacing w:after="120"/>
              <w:ind w:left="342"/>
              <w:jc w:val="left"/>
              <w:rPr>
                <w:color w:val="auto"/>
                <w:sz w:val="24"/>
                <w:szCs w:val="24"/>
              </w:rPr>
            </w:pPr>
            <w:r w:rsidRPr="00732174">
              <w:rPr>
                <w:b/>
                <w:color w:val="auto"/>
                <w:sz w:val="24"/>
                <w:szCs w:val="24"/>
              </w:rPr>
              <w:t>(2)</w:t>
            </w:r>
            <w:r w:rsidRPr="00732174">
              <w:rPr>
                <w:color w:val="auto"/>
                <w:sz w:val="24"/>
                <w:szCs w:val="24"/>
              </w:rPr>
              <w:t xml:space="preserve"> Evidence offered to prove any alleged victim’s sexual predisposition.</w:t>
            </w:r>
          </w:p>
        </w:tc>
        <w:tc>
          <w:tcPr>
            <w:tcW w:w="4860" w:type="dxa"/>
          </w:tcPr>
          <w:p w:rsidR="009F2AFE" w:rsidRPr="00732174" w:rsidRDefault="009F2AFE" w:rsidP="0061498C">
            <w:pPr>
              <w:pStyle w:val="TableHeading"/>
              <w:keepNext w:val="0"/>
              <w:ind w:left="19"/>
              <w:rPr>
                <w:color w:val="auto"/>
                <w:sz w:val="24"/>
                <w:szCs w:val="24"/>
              </w:rPr>
            </w:pPr>
            <w:r w:rsidRPr="00732174">
              <w:rPr>
                <w:color w:val="auto"/>
                <w:sz w:val="24"/>
                <w:szCs w:val="24"/>
              </w:rPr>
              <w:t>Restyled Rules Language:</w:t>
            </w:r>
          </w:p>
          <w:p w:rsidR="009F2AFE" w:rsidRPr="00732174" w:rsidRDefault="009F2AFE" w:rsidP="00B63D9E">
            <w:pPr>
              <w:pStyle w:val="Body"/>
              <w:keepLines/>
              <w:jc w:val="left"/>
              <w:rPr>
                <w:color w:val="auto"/>
                <w:sz w:val="24"/>
                <w:szCs w:val="24"/>
              </w:rPr>
            </w:pPr>
            <w:r w:rsidRPr="00732174">
              <w:rPr>
                <w:b/>
                <w:color w:val="auto"/>
                <w:sz w:val="24"/>
                <w:szCs w:val="24"/>
              </w:rPr>
              <w:t>(a) Prohibited Uses.</w:t>
            </w:r>
            <w:r w:rsidRPr="00732174">
              <w:rPr>
                <w:color w:val="auto"/>
                <w:sz w:val="24"/>
                <w:szCs w:val="24"/>
              </w:rPr>
              <w:t xml:space="preserve"> The following evidence is not admissible in a civil or criminal proceeding involving alleged sexual misconduct:</w:t>
            </w:r>
          </w:p>
          <w:p w:rsidR="009F2AFE" w:rsidRPr="00732174" w:rsidRDefault="009F2AFE" w:rsidP="00B63D9E">
            <w:pPr>
              <w:pStyle w:val="Body"/>
              <w:keepLines/>
              <w:ind w:left="157"/>
              <w:jc w:val="left"/>
              <w:rPr>
                <w:color w:val="auto"/>
                <w:sz w:val="24"/>
                <w:szCs w:val="24"/>
              </w:rPr>
            </w:pPr>
            <w:r w:rsidRPr="00732174">
              <w:rPr>
                <w:b/>
                <w:color w:val="auto"/>
                <w:sz w:val="24"/>
                <w:szCs w:val="24"/>
              </w:rPr>
              <w:t>(1)</w:t>
            </w:r>
            <w:r w:rsidRPr="00732174">
              <w:rPr>
                <w:color w:val="auto"/>
                <w:sz w:val="24"/>
                <w:szCs w:val="24"/>
              </w:rPr>
              <w:t xml:space="preserve"> evidence</w:t>
            </w:r>
            <w:r w:rsidRPr="00732174">
              <w:rPr>
                <w:b/>
                <w:color w:val="auto"/>
                <w:sz w:val="24"/>
                <w:szCs w:val="24"/>
              </w:rPr>
              <w:t xml:space="preserve"> </w:t>
            </w:r>
            <w:r w:rsidRPr="00732174">
              <w:rPr>
                <w:color w:val="auto"/>
                <w:sz w:val="24"/>
                <w:szCs w:val="24"/>
              </w:rPr>
              <w:t>offered to prove that a victim engaged in other sexual behavior; or</w:t>
            </w:r>
          </w:p>
          <w:p w:rsidR="009F2AFE" w:rsidRPr="00732174" w:rsidRDefault="009F2AFE" w:rsidP="00B63D9E">
            <w:pPr>
              <w:pStyle w:val="Body"/>
              <w:keepLines/>
              <w:ind w:left="157"/>
              <w:jc w:val="left"/>
              <w:rPr>
                <w:color w:val="auto"/>
                <w:sz w:val="24"/>
                <w:szCs w:val="24"/>
              </w:rPr>
            </w:pPr>
            <w:r w:rsidRPr="00732174">
              <w:rPr>
                <w:b/>
                <w:color w:val="auto"/>
                <w:sz w:val="24"/>
                <w:szCs w:val="24"/>
              </w:rPr>
              <w:t xml:space="preserve">(2) </w:t>
            </w:r>
            <w:proofErr w:type="gramStart"/>
            <w:r w:rsidRPr="00732174">
              <w:rPr>
                <w:color w:val="auto"/>
                <w:sz w:val="24"/>
                <w:szCs w:val="24"/>
              </w:rPr>
              <w:t>evidence</w:t>
            </w:r>
            <w:proofErr w:type="gramEnd"/>
            <w:r w:rsidRPr="00732174">
              <w:rPr>
                <w:color w:val="auto"/>
                <w:sz w:val="24"/>
                <w:szCs w:val="24"/>
              </w:rPr>
              <w:t xml:space="preserve"> offered to prove a victim’s sexual predisposition.</w:t>
            </w:r>
          </w:p>
          <w:p w:rsidR="009F2AFE" w:rsidRPr="00732174" w:rsidRDefault="009F2AFE" w:rsidP="00B63D9E">
            <w:pPr>
              <w:keepLines/>
              <w:spacing w:line="276" w:lineRule="auto"/>
              <w:rPr>
                <w:rFonts w:ascii="Garamond" w:hAnsi="Garamond"/>
              </w:rPr>
            </w:pPr>
          </w:p>
        </w:tc>
      </w:tr>
    </w:tbl>
    <w:p w:rsidR="009F2AFE" w:rsidRPr="00732174" w:rsidRDefault="009F2AFE" w:rsidP="00B63D9E">
      <w:pPr>
        <w:pStyle w:val="Heading"/>
        <w:rPr>
          <w:color w:val="auto"/>
          <w:szCs w:val="24"/>
          <w:u w:color="0000FF"/>
        </w:rPr>
      </w:pPr>
      <w:bookmarkStart w:id="18" w:name="_Toc320342480"/>
      <w:r w:rsidRPr="00732174">
        <w:rPr>
          <w:color w:val="auto"/>
          <w:szCs w:val="24"/>
          <w:u w:color="0000FF"/>
        </w:rPr>
        <w:t>III. Rule 412(b</w:t>
      </w:r>
      <w:proofErr w:type="gramStart"/>
      <w:r w:rsidRPr="00732174">
        <w:rPr>
          <w:color w:val="auto"/>
          <w:szCs w:val="24"/>
          <w:u w:color="0000FF"/>
        </w:rPr>
        <w:t>)(</w:t>
      </w:r>
      <w:proofErr w:type="gramEnd"/>
      <w:r w:rsidRPr="00732174">
        <w:rPr>
          <w:color w:val="auto"/>
          <w:szCs w:val="24"/>
          <w:u w:color="0000FF"/>
        </w:rPr>
        <w:t>1): Criminal Exceptions</w:t>
      </w:r>
      <w:bookmarkEnd w:id="18"/>
    </w:p>
    <w:p w:rsidR="009F2AFE" w:rsidRPr="00732174" w:rsidRDefault="009F2AFE" w:rsidP="00B63D9E">
      <w:pPr>
        <w:pStyle w:val="Body"/>
        <w:jc w:val="left"/>
        <w:rPr>
          <w:color w:val="auto"/>
          <w:sz w:val="24"/>
          <w:szCs w:val="24"/>
          <w:u w:color="0000FF"/>
        </w:rPr>
      </w:pPr>
      <w:r w:rsidRPr="00732174">
        <w:rPr>
          <w:rFonts w:cs="Verdana"/>
          <w:color w:val="auto"/>
          <w:sz w:val="24"/>
          <w:szCs w:val="24"/>
          <w:u w:color="0000FF"/>
        </w:rPr>
        <w:t>Federal Rule of Evidence 412(b</w:t>
      </w:r>
      <w:proofErr w:type="gramStart"/>
      <w:r w:rsidRPr="00732174">
        <w:rPr>
          <w:rFonts w:cs="Verdana"/>
          <w:color w:val="auto"/>
          <w:sz w:val="24"/>
          <w:szCs w:val="24"/>
          <w:u w:color="0000FF"/>
        </w:rPr>
        <w:t>)(</w:t>
      </w:r>
      <w:proofErr w:type="gramEnd"/>
      <w:r w:rsidRPr="00732174">
        <w:rPr>
          <w:rFonts w:cs="Verdana"/>
          <w:color w:val="auto"/>
          <w:sz w:val="24"/>
          <w:szCs w:val="24"/>
          <w:u w:color="0000FF"/>
        </w:rPr>
        <w:t>1)</w:t>
      </w:r>
      <w:r w:rsidRPr="00732174">
        <w:rPr>
          <w:color w:val="auto"/>
          <w:sz w:val="24"/>
          <w:szCs w:val="24"/>
          <w:u w:color="0000FF"/>
        </w:rPr>
        <w:t>, however, provides certain exceptions to this rule in criminal cases. It states that:</w:t>
      </w:r>
    </w:p>
    <w:p w:rsidR="009F2AFE" w:rsidRPr="00732174" w:rsidRDefault="009F2AFE" w:rsidP="00B63D9E">
      <w:pPr>
        <w:widowControl w:val="0"/>
        <w:autoSpaceDE w:val="0"/>
        <w:autoSpaceDN w:val="0"/>
        <w:adjustRightInd w:val="0"/>
        <w:spacing w:after="120" w:line="276" w:lineRule="auto"/>
        <w:ind w:left="720"/>
        <w:rPr>
          <w:rFonts w:ascii="Garamond" w:hAnsi="Garamond" w:cs="Verdana"/>
          <w:u w:color="0000FF"/>
        </w:rPr>
      </w:pPr>
      <w:r w:rsidRPr="00732174">
        <w:rPr>
          <w:rFonts w:ascii="Garamond" w:hAnsi="Garamond" w:cs="Verdana"/>
          <w:u w:color="0000FF"/>
        </w:rPr>
        <w:t>(1) In a criminal case, the following evidence is admissible, if otherwise admissible under these rules:</w:t>
      </w:r>
    </w:p>
    <w:p w:rsidR="009F2AFE" w:rsidRPr="00732174" w:rsidRDefault="009F2AFE" w:rsidP="00B63D9E">
      <w:pPr>
        <w:widowControl w:val="0"/>
        <w:autoSpaceDE w:val="0"/>
        <w:autoSpaceDN w:val="0"/>
        <w:adjustRightInd w:val="0"/>
        <w:spacing w:after="120" w:line="276" w:lineRule="auto"/>
        <w:ind w:left="1440"/>
        <w:rPr>
          <w:rFonts w:ascii="Garamond" w:hAnsi="Garamond" w:cs="Verdana"/>
          <w:u w:color="0000FF"/>
        </w:rPr>
      </w:pPr>
      <w:r w:rsidRPr="00732174">
        <w:rPr>
          <w:rFonts w:ascii="Garamond" w:hAnsi="Garamond" w:cs="Verdana"/>
          <w:u w:color="0000FF"/>
        </w:rPr>
        <w:t xml:space="preserve">(A) </w:t>
      </w:r>
      <w:proofErr w:type="gramStart"/>
      <w:r w:rsidRPr="00732174">
        <w:rPr>
          <w:rFonts w:ascii="Garamond" w:hAnsi="Garamond" w:cs="Verdana"/>
          <w:u w:color="0000FF"/>
        </w:rPr>
        <w:t>evidence</w:t>
      </w:r>
      <w:proofErr w:type="gramEnd"/>
      <w:r w:rsidRPr="00732174">
        <w:rPr>
          <w:rFonts w:ascii="Garamond" w:hAnsi="Garamond" w:cs="Verdana"/>
          <w:u w:color="0000FF"/>
        </w:rPr>
        <w:t xml:space="preserve"> of specific instances of sexual behavior by the alleged victim offered to prove that a person other than the accused was the source of semen, injury, or other physical evidence;</w:t>
      </w:r>
    </w:p>
    <w:p w:rsidR="009F2AFE" w:rsidRPr="00732174" w:rsidRDefault="009F2AFE" w:rsidP="00B63D9E">
      <w:pPr>
        <w:widowControl w:val="0"/>
        <w:autoSpaceDE w:val="0"/>
        <w:autoSpaceDN w:val="0"/>
        <w:adjustRightInd w:val="0"/>
        <w:spacing w:after="120" w:line="276" w:lineRule="auto"/>
        <w:ind w:left="1440"/>
        <w:rPr>
          <w:rFonts w:ascii="Garamond" w:hAnsi="Garamond" w:cs="Verdana"/>
          <w:u w:color="0000FF"/>
        </w:rPr>
      </w:pPr>
      <w:r w:rsidRPr="00732174">
        <w:rPr>
          <w:rFonts w:ascii="Garamond" w:hAnsi="Garamond" w:cs="Verdana"/>
          <w:u w:color="0000FF"/>
        </w:rPr>
        <w:t>(B) evidence of specific instances of sexual behavior by the alleged victim with respect to the person accused of the sexual misconduct offered by the accused to prove consent or by the prosecution; and</w:t>
      </w:r>
    </w:p>
    <w:p w:rsidR="009F2AFE" w:rsidRPr="00732174" w:rsidRDefault="009F2AFE" w:rsidP="00B63D9E">
      <w:pPr>
        <w:widowControl w:val="0"/>
        <w:autoSpaceDE w:val="0"/>
        <w:autoSpaceDN w:val="0"/>
        <w:adjustRightInd w:val="0"/>
        <w:spacing w:after="120" w:line="276" w:lineRule="auto"/>
        <w:ind w:left="1440"/>
        <w:rPr>
          <w:rFonts w:ascii="Garamond" w:hAnsi="Garamond" w:cs="Verdana"/>
          <w:u w:val="single" w:color="0000FF"/>
        </w:rPr>
      </w:pPr>
      <w:r w:rsidRPr="00732174">
        <w:rPr>
          <w:rFonts w:ascii="Garamond" w:hAnsi="Garamond" w:cs="Verdana"/>
          <w:u w:color="0000FF"/>
        </w:rPr>
        <w:t xml:space="preserve">(C) </w:t>
      </w:r>
      <w:proofErr w:type="gramStart"/>
      <w:r w:rsidRPr="00732174">
        <w:rPr>
          <w:rFonts w:ascii="Garamond" w:hAnsi="Garamond" w:cs="Verdana"/>
          <w:u w:color="0000FF"/>
        </w:rPr>
        <w:t>evidence</w:t>
      </w:r>
      <w:proofErr w:type="gramEnd"/>
      <w:r w:rsidRPr="00732174">
        <w:rPr>
          <w:rFonts w:ascii="Garamond" w:hAnsi="Garamond" w:cs="Verdana"/>
          <w:u w:color="0000FF"/>
        </w:rPr>
        <w:t xml:space="preserve"> the exclusion of which would violate the constitutional rights of the defendant. </w:t>
      </w:r>
    </w:p>
    <w:p w:rsidR="009F2AFE" w:rsidRPr="00732174" w:rsidRDefault="009F2AFE" w:rsidP="00226032">
      <w:pPr>
        <w:pStyle w:val="Body"/>
        <w:rPr>
          <w:color w:val="auto"/>
          <w:sz w:val="24"/>
          <w:szCs w:val="24"/>
          <w:u w:color="0000FF"/>
        </w:rPr>
      </w:pPr>
      <w:r w:rsidRPr="00732174">
        <w:rPr>
          <w:color w:val="auto"/>
          <w:sz w:val="24"/>
          <w:szCs w:val="24"/>
          <w:u w:color="0000FF"/>
        </w:rPr>
        <w:t xml:space="preserve">An example of a court applying the exception contained in </w:t>
      </w:r>
      <w:r w:rsidRPr="00732174">
        <w:rPr>
          <w:rFonts w:cs="Verdana"/>
          <w:color w:val="auto"/>
          <w:sz w:val="24"/>
          <w:szCs w:val="24"/>
          <w:u w:color="0000FF"/>
        </w:rPr>
        <w:t>Rule 412(b</w:t>
      </w:r>
      <w:proofErr w:type="gramStart"/>
      <w:r w:rsidRPr="00732174">
        <w:rPr>
          <w:rFonts w:cs="Verdana"/>
          <w:color w:val="auto"/>
          <w:sz w:val="24"/>
          <w:szCs w:val="24"/>
          <w:u w:color="0000FF"/>
        </w:rPr>
        <w:t>)(</w:t>
      </w:r>
      <w:proofErr w:type="gramEnd"/>
      <w:r w:rsidRPr="00732174">
        <w:rPr>
          <w:rFonts w:cs="Verdana"/>
          <w:color w:val="auto"/>
          <w:sz w:val="24"/>
          <w:szCs w:val="24"/>
          <w:u w:color="0000FF"/>
        </w:rPr>
        <w:t>1)(A)</w:t>
      </w:r>
      <w:r w:rsidRPr="00732174">
        <w:rPr>
          <w:color w:val="auto"/>
          <w:sz w:val="24"/>
          <w:szCs w:val="24"/>
          <w:u w:color="0000FF"/>
        </w:rPr>
        <w:t xml:space="preserve"> can be found in </w:t>
      </w:r>
      <w:hyperlink r:id="rId42" w:history="1">
        <w:r w:rsidRPr="00732174">
          <w:rPr>
            <w:rStyle w:val="Hyperlink"/>
            <w:rFonts w:cs="Verdana"/>
            <w:i/>
            <w:color w:val="auto"/>
            <w:sz w:val="24"/>
            <w:szCs w:val="24"/>
          </w:rPr>
          <w:t>United States v. Begay</w:t>
        </w:r>
      </w:hyperlink>
      <w:r w:rsidRPr="00732174">
        <w:rPr>
          <w:color w:val="auto"/>
          <w:sz w:val="24"/>
          <w:szCs w:val="24"/>
          <w:u w:color="0000FF"/>
        </w:rPr>
        <w:t xml:space="preserve">, 937 F.2d 515 (10th </w:t>
      </w:r>
      <w:r w:rsidRPr="00732174">
        <w:rPr>
          <w:color w:val="auto"/>
          <w:sz w:val="24"/>
          <w:szCs w:val="24"/>
          <w:u w:color="0000FF"/>
        </w:rPr>
        <w:lastRenderedPageBreak/>
        <w:t xml:space="preserve">Cir. 1991), where the trial court refused to allow the defendant, who was charged with aggravated sexual abuse, to present evidence that the eight year-old alleged victim had been sexually assaulted on several occasions in the months preceding the crime at issue. On the defendant's appeal, the Tenth Circuit reversed, finding that the prosecutor presented evidence about the alleged victim's enlarged </w:t>
      </w:r>
      <w:proofErr w:type="spellStart"/>
      <w:r w:rsidRPr="00732174">
        <w:rPr>
          <w:color w:val="auto"/>
          <w:sz w:val="24"/>
          <w:szCs w:val="24"/>
          <w:u w:color="0000FF"/>
        </w:rPr>
        <w:t>hymenal</w:t>
      </w:r>
      <w:proofErr w:type="spellEnd"/>
      <w:r w:rsidRPr="00732174">
        <w:rPr>
          <w:color w:val="auto"/>
          <w:sz w:val="24"/>
          <w:szCs w:val="24"/>
          <w:u w:color="0000FF"/>
        </w:rPr>
        <w:t xml:space="preserve"> opening and a vaginal abrasion; consequently, evidence of the sexual assaults by other men was admissible, not to prove propensity and conformity, but to prove that those assaults, rather than the defendant's alleged crime, could have caused her injuries. </w:t>
      </w:r>
      <w:r w:rsidRPr="00732174">
        <w:rPr>
          <w:i/>
          <w:color w:val="auto"/>
          <w:sz w:val="24"/>
          <w:szCs w:val="24"/>
          <w:u w:color="0000FF"/>
        </w:rPr>
        <w:t xml:space="preserve">See, </w:t>
      </w:r>
      <w:r w:rsidRPr="00732174">
        <w:rPr>
          <w:rFonts w:cs="Verdana"/>
          <w:i/>
          <w:color w:val="auto"/>
          <w:sz w:val="24"/>
          <w:szCs w:val="24"/>
          <w:u w:color="0000FF"/>
        </w:rPr>
        <w:t>Id</w:t>
      </w:r>
      <w:r w:rsidRPr="00732174">
        <w:rPr>
          <w:rFonts w:cs="Verdana"/>
          <w:color w:val="auto"/>
          <w:sz w:val="24"/>
          <w:szCs w:val="24"/>
          <w:u w:color="0000FF"/>
        </w:rPr>
        <w:t>. at 520</w:t>
      </w:r>
      <w:r w:rsidRPr="00732174">
        <w:rPr>
          <w:color w:val="auto"/>
          <w:sz w:val="24"/>
          <w:szCs w:val="24"/>
          <w:u w:color="0000FF"/>
        </w:rPr>
        <w:t xml:space="preserve">. </w:t>
      </w:r>
    </w:p>
    <w:p w:rsidR="009F2AFE" w:rsidRPr="00732174" w:rsidRDefault="009F2AFE" w:rsidP="00226032">
      <w:pPr>
        <w:pStyle w:val="Body"/>
        <w:rPr>
          <w:color w:val="auto"/>
          <w:sz w:val="24"/>
          <w:szCs w:val="24"/>
          <w:u w:color="0000FF"/>
        </w:rPr>
      </w:pPr>
      <w:r w:rsidRPr="00732174">
        <w:rPr>
          <w:color w:val="auto"/>
          <w:sz w:val="24"/>
          <w:szCs w:val="24"/>
          <w:u w:color="0000FF"/>
        </w:rPr>
        <w:t xml:space="preserve">Additionally, under </w:t>
      </w:r>
      <w:r w:rsidRPr="00732174">
        <w:rPr>
          <w:rFonts w:cs="Verdana"/>
          <w:color w:val="auto"/>
          <w:sz w:val="24"/>
          <w:szCs w:val="24"/>
          <w:u w:color="0000FF"/>
        </w:rPr>
        <w:t>Rule 412(b)(1)(B)</w:t>
      </w:r>
      <w:r w:rsidRPr="00732174">
        <w:rPr>
          <w:color w:val="auto"/>
          <w:sz w:val="24"/>
          <w:szCs w:val="24"/>
          <w:u w:color="0000FF"/>
        </w:rPr>
        <w:t xml:space="preserve">, evidence of previous consensual sexual acts between the alleged victim and the defendant are admissible to prove that there are specific reasons to believe that the alleged victim may have consented to sexual relations with the defendant at the time of an alleged rape or sexual assault. For instance, in </w:t>
      </w:r>
      <w:hyperlink r:id="rId43" w:history="1">
        <w:r w:rsidRPr="00732174">
          <w:rPr>
            <w:rStyle w:val="Hyperlink"/>
            <w:rFonts w:cs="Verdana"/>
            <w:i/>
            <w:color w:val="auto"/>
            <w:sz w:val="24"/>
            <w:szCs w:val="24"/>
          </w:rPr>
          <w:t>State v. Sanchez-</w:t>
        </w:r>
        <w:proofErr w:type="spellStart"/>
        <w:r w:rsidRPr="00732174">
          <w:rPr>
            <w:rStyle w:val="Hyperlink"/>
            <w:rFonts w:cs="Verdana"/>
            <w:i/>
            <w:color w:val="auto"/>
            <w:sz w:val="24"/>
            <w:szCs w:val="24"/>
          </w:rPr>
          <w:t>Lahora</w:t>
        </w:r>
        <w:proofErr w:type="spellEnd"/>
      </w:hyperlink>
      <w:r w:rsidRPr="00732174">
        <w:rPr>
          <w:color w:val="auto"/>
          <w:sz w:val="24"/>
          <w:szCs w:val="24"/>
          <w:u w:color="0000FF"/>
        </w:rPr>
        <w:t>, 616 N.W.2d 810 (Neb. App. 2000), the Court of Appeals of Nebraska found that a trial court erred by precluding a defendant charged with sexual assault from introducing evidence that he had previously engaged in sexual relations with the alleged victim when they dated to rebut her claim that they dated but never had sexual intercourse.</w:t>
      </w:r>
    </w:p>
    <w:p w:rsidR="009F2AFE" w:rsidRPr="00732174" w:rsidRDefault="009F2AFE" w:rsidP="00226032">
      <w:pPr>
        <w:pStyle w:val="Body"/>
        <w:rPr>
          <w:color w:val="auto"/>
          <w:sz w:val="24"/>
          <w:szCs w:val="24"/>
          <w:u w:color="0000FF"/>
        </w:rPr>
      </w:pPr>
      <w:r w:rsidRPr="00732174">
        <w:rPr>
          <w:color w:val="auto"/>
          <w:sz w:val="24"/>
          <w:szCs w:val="24"/>
          <w:u w:color="0000FF"/>
        </w:rPr>
        <w:t xml:space="preserve">It is important to note that even if evidence satisfies either </w:t>
      </w:r>
      <w:r w:rsidRPr="00732174">
        <w:rPr>
          <w:rFonts w:cs="Verdana"/>
          <w:color w:val="auto"/>
          <w:sz w:val="24"/>
          <w:szCs w:val="24"/>
          <w:u w:color="0000FF"/>
        </w:rPr>
        <w:t>Rule 412(b)(1)(A)</w:t>
      </w:r>
      <w:r w:rsidRPr="00732174">
        <w:rPr>
          <w:color w:val="auto"/>
          <w:sz w:val="24"/>
          <w:szCs w:val="24"/>
          <w:u w:color="0000FF"/>
        </w:rPr>
        <w:t xml:space="preserve"> or </w:t>
      </w:r>
      <w:r w:rsidRPr="00732174">
        <w:rPr>
          <w:rFonts w:cs="Verdana"/>
          <w:color w:val="auto"/>
          <w:sz w:val="24"/>
          <w:szCs w:val="24"/>
          <w:u w:color="0000FF"/>
        </w:rPr>
        <w:t>(B)</w:t>
      </w:r>
      <w:r w:rsidRPr="00732174">
        <w:rPr>
          <w:color w:val="auto"/>
          <w:sz w:val="24"/>
          <w:szCs w:val="24"/>
          <w:u w:color="0000FF"/>
        </w:rPr>
        <w:t xml:space="preserve">, the court can still exclude it if its probative value is substantially outweighed by the danger of unfair prejudice or any of the other dangers listed in </w:t>
      </w:r>
      <w:hyperlink r:id="rId44" w:history="1">
        <w:r w:rsidRPr="00732174">
          <w:rPr>
            <w:rStyle w:val="Hyperlink"/>
            <w:rFonts w:cs="Verdana"/>
            <w:color w:val="auto"/>
            <w:sz w:val="24"/>
            <w:szCs w:val="24"/>
          </w:rPr>
          <w:t>Federal Rule of Evidence 403</w:t>
        </w:r>
      </w:hyperlink>
      <w:r w:rsidRPr="00732174">
        <w:rPr>
          <w:color w:val="auto"/>
          <w:sz w:val="24"/>
          <w:szCs w:val="24"/>
          <w:u w:color="0000FF"/>
        </w:rPr>
        <w:t xml:space="preserve">. Thus, for instance, in </w:t>
      </w:r>
      <w:hyperlink r:id="rId45" w:history="1">
        <w:r w:rsidRPr="00732174">
          <w:rPr>
            <w:rStyle w:val="Hyperlink"/>
            <w:rFonts w:cs="Verdana"/>
            <w:i/>
            <w:color w:val="auto"/>
            <w:sz w:val="24"/>
            <w:szCs w:val="24"/>
          </w:rPr>
          <w:t>United States v. Pumpkin Seed</w:t>
        </w:r>
      </w:hyperlink>
      <w:r w:rsidRPr="00732174">
        <w:rPr>
          <w:color w:val="auto"/>
          <w:sz w:val="24"/>
          <w:szCs w:val="24"/>
          <w:u w:color="0000FF"/>
        </w:rPr>
        <w:t>,</w:t>
      </w:r>
      <w:r w:rsidRPr="00732174">
        <w:rPr>
          <w:color w:val="auto"/>
          <w:sz w:val="24"/>
          <w:szCs w:val="24"/>
        </w:rPr>
        <w:t xml:space="preserve"> </w:t>
      </w:r>
      <w:r w:rsidRPr="00732174">
        <w:rPr>
          <w:rFonts w:cs="Arial"/>
          <w:color w:val="auto"/>
          <w:sz w:val="24"/>
          <w:szCs w:val="24"/>
        </w:rPr>
        <w:t xml:space="preserve">2009 WL 2045690 (8th Cir. 2009), the district court prevented the defendant charged with aggravated sexual abuse from presenting evidence that the alleged victim engaged in consensual sexual activity with other men within days of the alleged abuse. On appeal, the defendant claimed that this ruling was erroneous because it would have helped prove that the victim’s injuries could have come from those acts. </w:t>
      </w:r>
      <w:r w:rsidRPr="00732174">
        <w:rPr>
          <w:rFonts w:cs="Arial"/>
          <w:i/>
          <w:color w:val="auto"/>
          <w:sz w:val="24"/>
          <w:szCs w:val="24"/>
        </w:rPr>
        <w:t>See, id</w:t>
      </w:r>
      <w:r w:rsidRPr="00732174">
        <w:rPr>
          <w:rFonts w:cs="Arial"/>
          <w:color w:val="auto"/>
          <w:sz w:val="24"/>
          <w:szCs w:val="24"/>
        </w:rPr>
        <w:t xml:space="preserve">. </w:t>
      </w:r>
      <w:proofErr w:type="gramStart"/>
      <w:r w:rsidRPr="00732174">
        <w:rPr>
          <w:rFonts w:cs="Arial"/>
          <w:color w:val="auto"/>
          <w:sz w:val="24"/>
          <w:szCs w:val="24"/>
        </w:rPr>
        <w:t>at</w:t>
      </w:r>
      <w:proofErr w:type="gramEnd"/>
      <w:r w:rsidRPr="00732174">
        <w:rPr>
          <w:rFonts w:cs="Arial"/>
          <w:color w:val="auto"/>
          <w:sz w:val="24"/>
          <w:szCs w:val="24"/>
        </w:rPr>
        <w:t xml:space="preserve"> 557. The Eight Circuit disagreed, concluding that the type and extent of injuries suffered by the victim were generally inconsistent with </w:t>
      </w:r>
      <w:r w:rsidRPr="00732174">
        <w:rPr>
          <w:rFonts w:cs="Arial"/>
          <w:color w:val="auto"/>
          <w:sz w:val="24"/>
          <w:szCs w:val="24"/>
        </w:rPr>
        <w:lastRenderedPageBreak/>
        <w:t>consensual activity and that the evidence would have a high risk of unfair prejudice and confusion.</w:t>
      </w:r>
      <w:r w:rsidRPr="00732174">
        <w:rPr>
          <w:color w:val="auto"/>
          <w:sz w:val="24"/>
          <w:szCs w:val="24"/>
          <w:u w:color="0000FF"/>
        </w:rPr>
        <w:t xml:space="preserve"> </w:t>
      </w:r>
      <w:r w:rsidRPr="00732174">
        <w:rPr>
          <w:i/>
          <w:color w:val="auto"/>
          <w:sz w:val="24"/>
          <w:szCs w:val="24"/>
          <w:u w:color="0000FF"/>
        </w:rPr>
        <w:t xml:space="preserve">See </w:t>
      </w:r>
      <w:r w:rsidRPr="00732174">
        <w:rPr>
          <w:rFonts w:cs="Verdana"/>
          <w:i/>
          <w:color w:val="auto"/>
          <w:sz w:val="24"/>
          <w:szCs w:val="24"/>
          <w:u w:color="0000FF"/>
        </w:rPr>
        <w:t>Id</w:t>
      </w:r>
      <w:r w:rsidRPr="00732174">
        <w:rPr>
          <w:rFonts w:cs="Verdana"/>
          <w:color w:val="auto"/>
          <w:sz w:val="24"/>
          <w:szCs w:val="24"/>
          <w:u w:color="0000FF"/>
        </w:rPr>
        <w:t>. at 558-59</w:t>
      </w:r>
      <w:r w:rsidRPr="00732174">
        <w:rPr>
          <w:color w:val="auto"/>
          <w:sz w:val="24"/>
          <w:szCs w:val="24"/>
          <w:u w:color="0000FF"/>
        </w:rPr>
        <w:t>.</w:t>
      </w:r>
    </w:p>
    <w:p w:rsidR="009F2AFE" w:rsidRPr="00732174" w:rsidRDefault="009F2AFE" w:rsidP="00226032">
      <w:pPr>
        <w:pStyle w:val="Body"/>
        <w:rPr>
          <w:color w:val="auto"/>
          <w:sz w:val="24"/>
          <w:szCs w:val="24"/>
          <w:u w:color="0000FF"/>
        </w:rPr>
      </w:pPr>
      <w:r w:rsidRPr="00732174">
        <w:rPr>
          <w:color w:val="auto"/>
          <w:sz w:val="24"/>
          <w:szCs w:val="24"/>
          <w:u w:color="0000FF"/>
        </w:rPr>
        <w:t xml:space="preserve">Finally, </w:t>
      </w:r>
      <w:r w:rsidRPr="00732174">
        <w:rPr>
          <w:rFonts w:cs="Verdana"/>
          <w:color w:val="auto"/>
          <w:sz w:val="24"/>
          <w:szCs w:val="24"/>
          <w:u w:color="0000FF"/>
        </w:rPr>
        <w:t>Rule 412(b)(1)(C)</w:t>
      </w:r>
      <w:r w:rsidRPr="00732174">
        <w:rPr>
          <w:color w:val="auto"/>
          <w:sz w:val="24"/>
          <w:szCs w:val="24"/>
          <w:u w:color="0000FF"/>
        </w:rPr>
        <w:t xml:space="preserve"> is a catch-all exception, which allows for the admission of an alleged victim's sexual history and predisposition for purposes other than those covered by </w:t>
      </w:r>
      <w:r w:rsidRPr="00732174">
        <w:rPr>
          <w:rFonts w:cs="Verdana"/>
          <w:color w:val="auto"/>
          <w:sz w:val="24"/>
          <w:szCs w:val="24"/>
          <w:u w:color="0000FF"/>
        </w:rPr>
        <w:t>Rules 412(b)(1)(A)</w:t>
      </w:r>
      <w:r w:rsidRPr="00732174">
        <w:rPr>
          <w:color w:val="auto"/>
          <w:sz w:val="24"/>
          <w:szCs w:val="24"/>
          <w:u w:color="0000FF"/>
        </w:rPr>
        <w:t xml:space="preserve"> and </w:t>
      </w:r>
      <w:r w:rsidRPr="00732174">
        <w:rPr>
          <w:rFonts w:cs="Verdana"/>
          <w:color w:val="auto"/>
          <w:sz w:val="24"/>
          <w:szCs w:val="24"/>
          <w:u w:color="0000FF"/>
        </w:rPr>
        <w:t>(B)</w:t>
      </w:r>
      <w:r w:rsidRPr="00732174">
        <w:rPr>
          <w:color w:val="auto"/>
          <w:sz w:val="24"/>
          <w:szCs w:val="24"/>
          <w:u w:color="0000FF"/>
        </w:rPr>
        <w:t xml:space="preserve"> when its exclusion would violate Constitutional rights such as the </w:t>
      </w:r>
      <w:r w:rsidRPr="00732174">
        <w:rPr>
          <w:rFonts w:cs="Verdana"/>
          <w:color w:val="auto"/>
          <w:sz w:val="24"/>
          <w:szCs w:val="24"/>
          <w:u w:color="0000FF"/>
        </w:rPr>
        <w:t>Due Process</w:t>
      </w:r>
      <w:r w:rsidRPr="00732174">
        <w:rPr>
          <w:color w:val="auto"/>
          <w:sz w:val="24"/>
          <w:szCs w:val="24"/>
          <w:u w:color="0000FF"/>
        </w:rPr>
        <w:t xml:space="preserve"> or </w:t>
      </w:r>
      <w:r w:rsidRPr="00732174">
        <w:rPr>
          <w:rFonts w:cs="Verdana"/>
          <w:color w:val="auto"/>
          <w:sz w:val="24"/>
          <w:szCs w:val="24"/>
          <w:u w:color="0000FF"/>
        </w:rPr>
        <w:t>Confrontation Clause</w:t>
      </w:r>
      <w:r w:rsidRPr="00732174">
        <w:rPr>
          <w:color w:val="auto"/>
          <w:sz w:val="24"/>
          <w:szCs w:val="24"/>
          <w:u w:color="0000FF"/>
        </w:rPr>
        <w:t xml:space="preserve"> rights of a criminal defendant. The case cited by the </w:t>
      </w:r>
      <w:r w:rsidRPr="00732174">
        <w:rPr>
          <w:color w:val="auto"/>
          <w:sz w:val="24"/>
          <w:szCs w:val="24"/>
        </w:rPr>
        <w:t>Advisory Committee</w:t>
      </w:r>
      <w:r w:rsidRPr="00732174">
        <w:rPr>
          <w:color w:val="auto"/>
          <w:sz w:val="24"/>
          <w:szCs w:val="24"/>
          <w:u w:color="0000FF"/>
        </w:rPr>
        <w:t xml:space="preserve"> in support of this exception involved a criminal defendant seeking to impeach his alleged victim by showing that an extramarital affair gave her a motive to lie, </w:t>
      </w:r>
      <w:hyperlink r:id="rId46" w:history="1">
        <w:r w:rsidRPr="00732174">
          <w:rPr>
            <w:rStyle w:val="Hyperlink"/>
            <w:rFonts w:cs="Verdana"/>
            <w:i/>
            <w:color w:val="auto"/>
            <w:sz w:val="24"/>
            <w:szCs w:val="24"/>
          </w:rPr>
          <w:t>Olden v. Kentucky</w:t>
        </w:r>
      </w:hyperlink>
      <w:r w:rsidRPr="00732174">
        <w:rPr>
          <w:color w:val="auto"/>
          <w:sz w:val="24"/>
          <w:szCs w:val="24"/>
          <w:u w:color="0000FF"/>
        </w:rPr>
        <w:t xml:space="preserve">, 488 U.S. 227 (1988); thereafter, the exception has since most commonly been used for impeachment purposes. For instance, in </w:t>
      </w:r>
      <w:hyperlink r:id="rId47" w:history="1">
        <w:r w:rsidRPr="00732174">
          <w:rPr>
            <w:rStyle w:val="Hyperlink"/>
            <w:rFonts w:cs="Verdana"/>
            <w:i/>
            <w:color w:val="auto"/>
            <w:sz w:val="24"/>
            <w:szCs w:val="24"/>
          </w:rPr>
          <w:t>In re K.W.</w:t>
        </w:r>
      </w:hyperlink>
      <w:r w:rsidRPr="00732174">
        <w:rPr>
          <w:color w:val="auto"/>
          <w:sz w:val="24"/>
          <w:szCs w:val="24"/>
          <w:u w:color="0000FF"/>
        </w:rPr>
        <w:t xml:space="preserve">, 666 S.E.2d 490 (N.C. App. 2008), the Court of Appeals of North Carolina found that a trial court erred in precluding a defendant from impeaching an alleged rape victim who claimed to be a virgin with suggestive photos and captions on her MySpace page implying that she was not a virgin. </w:t>
      </w:r>
      <w:r w:rsidRPr="00732174">
        <w:rPr>
          <w:i/>
          <w:color w:val="auto"/>
          <w:sz w:val="24"/>
          <w:szCs w:val="24"/>
          <w:u w:color="0000FF"/>
        </w:rPr>
        <w:t>See</w:t>
      </w:r>
      <w:r w:rsidRPr="00732174">
        <w:rPr>
          <w:color w:val="auto"/>
          <w:sz w:val="24"/>
          <w:szCs w:val="24"/>
        </w:rPr>
        <w:t xml:space="preserve"> Colin Miller, </w:t>
      </w:r>
      <w:r w:rsidRPr="00732174">
        <w:rPr>
          <w:i/>
          <w:color w:val="auto"/>
          <w:sz w:val="24"/>
          <w:szCs w:val="24"/>
        </w:rPr>
        <w:t>It's My Space.</w:t>
      </w:r>
      <w:r w:rsidRPr="00732174">
        <w:rPr>
          <w:color w:val="auto"/>
          <w:sz w:val="24"/>
          <w:szCs w:val="24"/>
        </w:rPr>
        <w:t xml:space="preserve"> </w:t>
      </w:r>
      <w:r w:rsidRPr="00732174">
        <w:rPr>
          <w:i/>
          <w:color w:val="auto"/>
          <w:sz w:val="24"/>
          <w:szCs w:val="24"/>
        </w:rPr>
        <w:t>That's Why They Call It MySpace, Take 3: North Carolina Court Makes Erroneous MySpace Ruling In Rape Shield Case</w:t>
      </w:r>
      <w:r w:rsidRPr="00732174">
        <w:rPr>
          <w:bCs/>
          <w:i/>
          <w:color w:val="auto"/>
          <w:sz w:val="24"/>
          <w:szCs w:val="24"/>
        </w:rPr>
        <w:t>.</w:t>
      </w:r>
      <w:r w:rsidRPr="00732174">
        <w:rPr>
          <w:bCs/>
          <w:color w:val="auto"/>
          <w:sz w:val="24"/>
          <w:szCs w:val="24"/>
        </w:rPr>
        <w:t xml:space="preserve"> </w:t>
      </w:r>
      <w:proofErr w:type="gramStart"/>
      <w:r w:rsidRPr="00732174">
        <w:rPr>
          <w:bCs/>
          <w:color w:val="auto"/>
          <w:sz w:val="24"/>
          <w:szCs w:val="24"/>
        </w:rPr>
        <w:t xml:space="preserve">EvidenceProf Blog (Sept., 18 2008) </w:t>
      </w:r>
      <w:hyperlink r:id="rId48" w:history="1">
        <w:r w:rsidRPr="00732174">
          <w:rPr>
            <w:rStyle w:val="Hyperlink"/>
            <w:bCs/>
            <w:color w:val="auto"/>
            <w:sz w:val="24"/>
            <w:szCs w:val="24"/>
          </w:rPr>
          <w:t>http://lawprofessors.typepad.com/evidenceprof/2008/09/myspace-412-in.html</w:t>
        </w:r>
      </w:hyperlink>
      <w:r w:rsidRPr="00732174">
        <w:rPr>
          <w:bCs/>
          <w:color w:val="auto"/>
          <w:sz w:val="24"/>
          <w:szCs w:val="24"/>
        </w:rPr>
        <w:t>.</w:t>
      </w:r>
      <w:proofErr w:type="gramEnd"/>
      <w:r w:rsidRPr="00732174">
        <w:rPr>
          <w:bCs/>
          <w:color w:val="auto"/>
          <w:sz w:val="24"/>
          <w:szCs w:val="24"/>
        </w:rPr>
        <w:t xml:space="preserve"> </w:t>
      </w:r>
    </w:p>
    <w:p w:rsidR="009F2AFE" w:rsidRPr="00732174" w:rsidRDefault="009F2AFE" w:rsidP="00226032">
      <w:pPr>
        <w:pStyle w:val="Body"/>
        <w:rPr>
          <w:color w:val="auto"/>
          <w:sz w:val="24"/>
          <w:szCs w:val="24"/>
        </w:rPr>
      </w:pPr>
      <w:r w:rsidRPr="00732174">
        <w:rPr>
          <w:color w:val="auto"/>
          <w:sz w:val="24"/>
          <w:szCs w:val="24"/>
        </w:rPr>
        <w:t>It is important to note that some state counterparts are more restrictive than Federal Rule of Evidence 412(b</w:t>
      </w:r>
      <w:proofErr w:type="gramStart"/>
      <w:r w:rsidRPr="00732174">
        <w:rPr>
          <w:color w:val="auto"/>
          <w:sz w:val="24"/>
          <w:szCs w:val="24"/>
        </w:rPr>
        <w:t>)(</w:t>
      </w:r>
      <w:proofErr w:type="gramEnd"/>
      <w:r w:rsidRPr="00732174">
        <w:rPr>
          <w:color w:val="auto"/>
          <w:sz w:val="24"/>
          <w:szCs w:val="24"/>
        </w:rPr>
        <w:t xml:space="preserve">1). For instance, unlike Federal Rule of Evidence 412(b)(1)(A), Minnesota’s counterpart, </w:t>
      </w:r>
      <w:hyperlink r:id="rId49" w:anchor="e412" w:history="1">
        <w:r w:rsidRPr="00732174">
          <w:rPr>
            <w:rStyle w:val="Hyperlink"/>
            <w:color w:val="auto"/>
            <w:sz w:val="24"/>
            <w:szCs w:val="24"/>
          </w:rPr>
          <w:t>Minnesota Rule of Evidence 412(1)(B)</w:t>
        </w:r>
      </w:hyperlink>
      <w:r w:rsidRPr="00732174">
        <w:rPr>
          <w:color w:val="auto"/>
          <w:sz w:val="24"/>
          <w:szCs w:val="24"/>
        </w:rPr>
        <w:t xml:space="preserve">, does not allow a defendant to present evidence of an alleged victim’s other sexual behavior to prove that someone else caused her physical injuries. </w:t>
      </w:r>
      <w:r w:rsidRPr="00732174">
        <w:rPr>
          <w:i/>
          <w:color w:val="auto"/>
          <w:sz w:val="24"/>
          <w:szCs w:val="24"/>
        </w:rPr>
        <w:t xml:space="preserve">See, e.g., </w:t>
      </w:r>
      <w:hyperlink r:id="rId50" w:history="1">
        <w:r w:rsidRPr="00732174">
          <w:rPr>
            <w:rStyle w:val="Hyperlink"/>
            <w:i/>
            <w:color w:val="auto"/>
            <w:sz w:val="24"/>
            <w:szCs w:val="24"/>
          </w:rPr>
          <w:t>State v. McBroom</w:t>
        </w:r>
      </w:hyperlink>
      <w:r w:rsidRPr="00732174">
        <w:rPr>
          <w:color w:val="auto"/>
          <w:sz w:val="24"/>
          <w:szCs w:val="24"/>
        </w:rPr>
        <w:t xml:space="preserve">, </w:t>
      </w:r>
      <w:r w:rsidRPr="00732174">
        <w:rPr>
          <w:rFonts w:cs="Arial"/>
          <w:color w:val="auto"/>
          <w:sz w:val="24"/>
          <w:szCs w:val="24"/>
        </w:rPr>
        <w:t>2009 WL 4251080 (</w:t>
      </w:r>
      <w:proofErr w:type="spellStart"/>
      <w:r w:rsidRPr="00732174">
        <w:rPr>
          <w:rFonts w:cs="Arial"/>
          <w:color w:val="auto"/>
          <w:sz w:val="24"/>
          <w:szCs w:val="24"/>
        </w:rPr>
        <w:t>Minn</w:t>
      </w:r>
      <w:proofErr w:type="spellEnd"/>
      <w:r w:rsidRPr="00732174">
        <w:rPr>
          <w:rFonts w:cs="Arial"/>
          <w:color w:val="auto"/>
          <w:sz w:val="24"/>
          <w:szCs w:val="24"/>
        </w:rPr>
        <w:t xml:space="preserve"> .App. 2009)</w:t>
      </w:r>
      <w:r w:rsidRPr="00732174">
        <w:rPr>
          <w:color w:val="auto"/>
          <w:sz w:val="24"/>
          <w:szCs w:val="24"/>
        </w:rPr>
        <w:t xml:space="preserve">; Colin Miller, </w:t>
      </w:r>
      <w:r w:rsidRPr="00732174">
        <w:rPr>
          <w:i/>
          <w:color w:val="auto"/>
          <w:sz w:val="24"/>
          <w:szCs w:val="24"/>
        </w:rPr>
        <w:t xml:space="preserve">Excepted Exception: Appeal Reveals Limited Applicability </w:t>
      </w:r>
      <w:proofErr w:type="gramStart"/>
      <w:r w:rsidRPr="00732174">
        <w:rPr>
          <w:i/>
          <w:color w:val="auto"/>
          <w:sz w:val="24"/>
          <w:szCs w:val="24"/>
        </w:rPr>
        <w:t>Of</w:t>
      </w:r>
      <w:proofErr w:type="gramEnd"/>
      <w:r w:rsidRPr="00732174">
        <w:rPr>
          <w:i/>
          <w:color w:val="auto"/>
          <w:sz w:val="24"/>
          <w:szCs w:val="24"/>
        </w:rPr>
        <w:t xml:space="preserve"> Minnesota's Other Source Rape Shield Exception</w:t>
      </w:r>
      <w:r w:rsidRPr="00732174">
        <w:rPr>
          <w:bCs/>
          <w:i/>
          <w:color w:val="auto"/>
          <w:sz w:val="24"/>
          <w:szCs w:val="24"/>
        </w:rPr>
        <w:t>.</w:t>
      </w:r>
      <w:r w:rsidRPr="00732174">
        <w:rPr>
          <w:bCs/>
          <w:color w:val="auto"/>
          <w:sz w:val="24"/>
          <w:szCs w:val="24"/>
        </w:rPr>
        <w:t xml:space="preserve"> </w:t>
      </w:r>
      <w:proofErr w:type="gramStart"/>
      <w:r w:rsidRPr="00732174">
        <w:rPr>
          <w:bCs/>
          <w:color w:val="auto"/>
          <w:sz w:val="24"/>
          <w:szCs w:val="24"/>
        </w:rPr>
        <w:t xml:space="preserve">EvidenceProf Blog (Dec. 6, 2009) </w:t>
      </w:r>
      <w:hyperlink r:id="rId51" w:history="1">
        <w:r w:rsidRPr="00732174">
          <w:rPr>
            <w:rStyle w:val="Hyperlink"/>
            <w:bCs/>
            <w:color w:val="auto"/>
            <w:sz w:val="24"/>
            <w:szCs w:val="24"/>
          </w:rPr>
          <w:t>http://lawprofessors.typepad.com/ evidenceprof/ 2009/12/412-semenstate-of-minnesota-respondent-v-james-david-mcbroom-appellant----nw2d------2009-wl-4251080minnapp2009.html</w:t>
        </w:r>
      </w:hyperlink>
      <w:r w:rsidRPr="00732174">
        <w:rPr>
          <w:bCs/>
          <w:color w:val="auto"/>
          <w:sz w:val="24"/>
          <w:szCs w:val="24"/>
        </w:rPr>
        <w:t>.</w:t>
      </w:r>
      <w:proofErr w:type="gramEnd"/>
      <w:r w:rsidRPr="00732174">
        <w:rPr>
          <w:bCs/>
          <w:color w:val="auto"/>
          <w:sz w:val="24"/>
          <w:szCs w:val="24"/>
        </w:rPr>
        <w:t xml:space="preserve"> On the other hand, other state counterparts add exceptions not contained in </w:t>
      </w:r>
      <w:r w:rsidRPr="00732174">
        <w:rPr>
          <w:rFonts w:cs="Verdana"/>
          <w:bCs/>
          <w:color w:val="auto"/>
          <w:sz w:val="24"/>
          <w:szCs w:val="24"/>
        </w:rPr>
        <w:t xml:space="preserve">Federal Rule of </w:t>
      </w:r>
      <w:r w:rsidRPr="00732174">
        <w:rPr>
          <w:rFonts w:cs="Verdana"/>
          <w:bCs/>
          <w:color w:val="auto"/>
          <w:sz w:val="24"/>
          <w:szCs w:val="24"/>
        </w:rPr>
        <w:lastRenderedPageBreak/>
        <w:t>Evidence 412(b</w:t>
      </w:r>
      <w:proofErr w:type="gramStart"/>
      <w:r w:rsidRPr="00732174">
        <w:rPr>
          <w:rFonts w:cs="Verdana"/>
          <w:bCs/>
          <w:color w:val="auto"/>
          <w:sz w:val="24"/>
          <w:szCs w:val="24"/>
        </w:rPr>
        <w:t>)(</w:t>
      </w:r>
      <w:proofErr w:type="gramEnd"/>
      <w:r w:rsidRPr="00732174">
        <w:rPr>
          <w:rFonts w:cs="Verdana"/>
          <w:bCs/>
          <w:color w:val="auto"/>
          <w:sz w:val="24"/>
          <w:szCs w:val="24"/>
        </w:rPr>
        <w:t>1)</w:t>
      </w:r>
      <w:r w:rsidRPr="00732174">
        <w:rPr>
          <w:bCs/>
          <w:color w:val="auto"/>
          <w:sz w:val="24"/>
          <w:szCs w:val="24"/>
        </w:rPr>
        <w:t xml:space="preserve">. As an example, </w:t>
      </w:r>
      <w:hyperlink r:id="rId52" w:history="1">
        <w:r w:rsidRPr="00732174">
          <w:rPr>
            <w:rStyle w:val="Hyperlink"/>
            <w:rFonts w:cs="Verdana"/>
            <w:bCs/>
            <w:color w:val="auto"/>
            <w:sz w:val="24"/>
            <w:szCs w:val="24"/>
          </w:rPr>
          <w:t>North Carolina Rule of Evidence 412(b)(4)</w:t>
        </w:r>
      </w:hyperlink>
      <w:r w:rsidRPr="00732174">
        <w:rPr>
          <w:bCs/>
          <w:color w:val="auto"/>
          <w:sz w:val="24"/>
          <w:szCs w:val="24"/>
        </w:rPr>
        <w:t xml:space="preserve"> contains an exception to North Carolina’s rape shield rule for “</w:t>
      </w:r>
      <w:r w:rsidRPr="00732174">
        <w:rPr>
          <w:color w:val="auto"/>
          <w:sz w:val="24"/>
          <w:szCs w:val="24"/>
        </w:rPr>
        <w:t xml:space="preserve">evidence of sexual behavior offered as the basis of expert psychological or psychiatric opinion that the complainant fantasized or invented the act or acts charged.” </w:t>
      </w:r>
      <w:r w:rsidRPr="00732174">
        <w:rPr>
          <w:i/>
          <w:color w:val="auto"/>
          <w:sz w:val="24"/>
          <w:szCs w:val="24"/>
        </w:rPr>
        <w:t>See</w:t>
      </w:r>
      <w:r w:rsidRPr="00732174">
        <w:rPr>
          <w:color w:val="auto"/>
          <w:sz w:val="24"/>
          <w:szCs w:val="24"/>
        </w:rPr>
        <w:t xml:space="preserve"> Colin Miller, </w:t>
      </w:r>
      <w:r w:rsidRPr="00732174">
        <w:rPr>
          <w:i/>
          <w:color w:val="auto"/>
          <w:sz w:val="24"/>
          <w:szCs w:val="24"/>
        </w:rPr>
        <w:t xml:space="preserve">But It Was Only </w:t>
      </w:r>
      <w:proofErr w:type="gramStart"/>
      <w:r w:rsidRPr="00732174">
        <w:rPr>
          <w:i/>
          <w:color w:val="auto"/>
          <w:sz w:val="24"/>
          <w:szCs w:val="24"/>
        </w:rPr>
        <w:t>A</w:t>
      </w:r>
      <w:proofErr w:type="gramEnd"/>
      <w:r w:rsidRPr="00732174">
        <w:rPr>
          <w:i/>
          <w:color w:val="auto"/>
          <w:sz w:val="24"/>
          <w:szCs w:val="24"/>
        </w:rPr>
        <w:t xml:space="preserve"> Fantasy: North Carolina Opinion Reveals Troubling Exception To The State's Rape Shield Rule</w:t>
      </w:r>
      <w:r w:rsidRPr="00732174">
        <w:rPr>
          <w:color w:val="auto"/>
          <w:sz w:val="24"/>
          <w:szCs w:val="24"/>
        </w:rPr>
        <w:t xml:space="preserve"> EvidenceProf Blog (Nov. 2, 2009) </w:t>
      </w:r>
      <w:hyperlink r:id="rId53" w:history="1">
        <w:r w:rsidRPr="00732174">
          <w:rPr>
            <w:rStyle w:val="Hyperlink"/>
            <w:color w:val="auto"/>
            <w:sz w:val="24"/>
            <w:szCs w:val="24"/>
          </w:rPr>
          <w:t>http://lawprofessors.typepad.com/evidenceprof/2009/11/but-it-was-only-a-fantasy-north-carolina-opinion-reveals-troubling-exception-to-the-states-rape-shie.html</w:t>
        </w:r>
      </w:hyperlink>
      <w:r w:rsidRPr="00732174">
        <w:rPr>
          <w:color w:val="auto"/>
          <w:sz w:val="24"/>
          <w:szCs w:val="24"/>
        </w:rPr>
        <w:t xml:space="preserve">. </w:t>
      </w:r>
    </w:p>
    <w:p w:rsidR="009F2AFE" w:rsidRPr="00732174" w:rsidRDefault="009F2AFE" w:rsidP="00226032">
      <w:pPr>
        <w:pStyle w:val="Body"/>
        <w:rPr>
          <w:color w:val="auto"/>
          <w:sz w:val="24"/>
          <w:szCs w:val="24"/>
        </w:rPr>
      </w:pPr>
      <w:r w:rsidRPr="00732174">
        <w:rPr>
          <w:bCs/>
          <w:color w:val="auto"/>
          <w:sz w:val="24"/>
          <w:szCs w:val="24"/>
        </w:rPr>
        <w:t xml:space="preserve">Finally, across the country, courts continue to apply a common law exception to rape shield rules under which defendants can present evidence of prior false rape, sexual assault, or child molestation allegations brought by alleged victims. Although courts differ over exactly when defendants can present such evidence when (1) the alleged victim herself admitted that the prior allegation was false; or (2) the prior allegation was “demonstrably false.” </w:t>
      </w:r>
      <w:r w:rsidRPr="00732174">
        <w:rPr>
          <w:bCs/>
          <w:i/>
          <w:color w:val="auto"/>
          <w:sz w:val="24"/>
          <w:szCs w:val="24"/>
        </w:rPr>
        <w:t>See, e.g.,</w:t>
      </w:r>
      <w:r w:rsidRPr="00732174">
        <w:rPr>
          <w:bCs/>
          <w:color w:val="auto"/>
          <w:sz w:val="24"/>
          <w:szCs w:val="24"/>
        </w:rPr>
        <w:t xml:space="preserve"> </w:t>
      </w:r>
      <w:r w:rsidRPr="00732174">
        <w:rPr>
          <w:rFonts w:cs="Verdana"/>
          <w:bCs/>
          <w:i/>
          <w:color w:val="auto"/>
          <w:sz w:val="24"/>
          <w:szCs w:val="24"/>
        </w:rPr>
        <w:t>Wells v. State</w:t>
      </w:r>
      <w:r w:rsidRPr="00732174">
        <w:rPr>
          <w:bCs/>
          <w:color w:val="auto"/>
          <w:sz w:val="24"/>
          <w:szCs w:val="24"/>
        </w:rPr>
        <w:t>, 928 N.E.2d 651 (Ind. App. 2010).</w:t>
      </w:r>
    </w:p>
    <w:p w:rsidR="009F2AFE" w:rsidRPr="00732174" w:rsidRDefault="009F2AFE" w:rsidP="00A96494">
      <w:pPr>
        <w:pStyle w:val="HypoHeading"/>
        <w:rPr>
          <w:sz w:val="24"/>
          <w:szCs w:val="24"/>
        </w:rPr>
      </w:pPr>
      <w:bookmarkStart w:id="19" w:name="_Toc315873681"/>
      <w:r w:rsidRPr="00732174">
        <w:rPr>
          <w:sz w:val="24"/>
          <w:szCs w:val="24"/>
        </w:rPr>
        <w:t>Hypothetical 4</w:t>
      </w:r>
      <w:bookmarkEnd w:id="19"/>
    </w:p>
    <w:p w:rsidR="00394721" w:rsidRPr="00732174" w:rsidRDefault="009F2AFE" w:rsidP="00226032">
      <w:pPr>
        <w:pStyle w:val="CaseBody"/>
        <w:rPr>
          <w:color w:val="auto"/>
          <w:sz w:val="24"/>
          <w:szCs w:val="24"/>
        </w:rPr>
      </w:pPr>
      <w:r w:rsidRPr="00732174">
        <w:rPr>
          <w:color w:val="auto"/>
          <w:sz w:val="24"/>
          <w:szCs w:val="24"/>
        </w:rPr>
        <w:t xml:space="preserve">Basketball player Kobe Bryant is charged with sexually assaulting a 19 year-old woman at a Colorado hotel. The woman claims that she only had sex once in the days surrounding the Bryant incident and that the man wore a condom. In a closed hearing in the case, a DNA expert testifies that the accuser had another man's semen on her thigh and inside her vagina during her medical examination. It was noted that a physical exam of Bryant after the incident produced no indication of a second man's DNA, leading the expert to say that she believed that the accuser had sex with the other man in the hours after she was with Bryant. Will Bryant be able to present this evidence at trial? </w:t>
      </w:r>
      <w:r w:rsidRPr="00732174">
        <w:rPr>
          <w:i/>
          <w:color w:val="auto"/>
          <w:sz w:val="24"/>
          <w:szCs w:val="24"/>
        </w:rPr>
        <w:t>See</w:t>
      </w:r>
      <w:r w:rsidRPr="00732174">
        <w:rPr>
          <w:color w:val="auto"/>
          <w:sz w:val="24"/>
          <w:szCs w:val="24"/>
        </w:rPr>
        <w:t xml:space="preserve"> Lance </w:t>
      </w:r>
      <w:proofErr w:type="spellStart"/>
      <w:r w:rsidRPr="00732174">
        <w:rPr>
          <w:color w:val="auto"/>
          <w:sz w:val="24"/>
          <w:szCs w:val="24"/>
        </w:rPr>
        <w:t>Pugmire</w:t>
      </w:r>
      <w:proofErr w:type="spellEnd"/>
      <w:r w:rsidRPr="00732174">
        <w:rPr>
          <w:color w:val="auto"/>
          <w:sz w:val="24"/>
          <w:szCs w:val="24"/>
        </w:rPr>
        <w:t xml:space="preserve"> and David Wharton, </w:t>
      </w:r>
      <w:hyperlink r:id="rId54" w:history="1">
        <w:r w:rsidRPr="00732174">
          <w:rPr>
            <w:color w:val="auto"/>
            <w:sz w:val="24"/>
            <w:szCs w:val="24"/>
          </w:rPr>
          <w:t>Case Shadowed Cracks, Experts Say</w:t>
        </w:r>
      </w:hyperlink>
      <w:r w:rsidRPr="00732174">
        <w:rPr>
          <w:color w:val="auto"/>
          <w:sz w:val="24"/>
          <w:szCs w:val="24"/>
        </w:rPr>
        <w:t xml:space="preserve">. Los Angeles Times, Sept. 2, 2004; Order Re: Defendant’s Motion to Admit Evidence Pursuant to C.R.S. § 18-3-407 and People’s Motions in Limine #5 and #7 (court’s </w:t>
      </w:r>
      <w:r w:rsidRPr="00732174">
        <w:rPr>
          <w:color w:val="auto"/>
          <w:sz w:val="24"/>
          <w:szCs w:val="24"/>
        </w:rPr>
        <w:lastRenderedPageBreak/>
        <w:t xml:space="preserve">rape shield ruling), </w:t>
      </w:r>
      <w:r w:rsidRPr="00732174">
        <w:rPr>
          <w:i/>
          <w:color w:val="auto"/>
          <w:sz w:val="24"/>
          <w:szCs w:val="24"/>
        </w:rPr>
        <w:t>People v. Bryant</w:t>
      </w:r>
      <w:r w:rsidRPr="00732174">
        <w:rPr>
          <w:color w:val="auto"/>
          <w:sz w:val="24"/>
          <w:szCs w:val="24"/>
        </w:rPr>
        <w:t>, 94 P. 3d 624 (2004) (No. 03CR204)</w:t>
      </w:r>
      <w:r w:rsidRPr="00732174">
        <w:rPr>
          <w:rStyle w:val="FootnoteReference"/>
          <w:color w:val="auto"/>
          <w:sz w:val="24"/>
          <w:szCs w:val="24"/>
        </w:rPr>
        <w:footnoteReference w:id="3"/>
      </w:r>
      <w:r w:rsidRPr="00732174">
        <w:rPr>
          <w:color w:val="auto"/>
          <w:sz w:val="24"/>
          <w:szCs w:val="24"/>
        </w:rPr>
        <w:t>.</w:t>
      </w:r>
    </w:p>
    <w:p w:rsidR="008F7B19" w:rsidRPr="00732174" w:rsidRDefault="00394721" w:rsidP="00A96494">
      <w:pPr>
        <w:pStyle w:val="HypoHeading"/>
        <w:rPr>
          <w:sz w:val="24"/>
          <w:szCs w:val="24"/>
        </w:rPr>
      </w:pPr>
      <w:bookmarkStart w:id="20" w:name="_Toc315873682"/>
      <w:r w:rsidRPr="00732174">
        <w:rPr>
          <w:sz w:val="24"/>
          <w:szCs w:val="24"/>
        </w:rPr>
        <w:t>Hypothetical 5</w:t>
      </w:r>
      <w:bookmarkEnd w:id="20"/>
    </w:p>
    <w:p w:rsidR="00394721" w:rsidRPr="00732174" w:rsidRDefault="00394721" w:rsidP="00226032">
      <w:pPr>
        <w:pStyle w:val="CaseBody"/>
        <w:rPr>
          <w:color w:val="auto"/>
          <w:sz w:val="24"/>
          <w:szCs w:val="24"/>
        </w:rPr>
      </w:pPr>
      <w:r w:rsidRPr="00732174">
        <w:rPr>
          <w:color w:val="auto"/>
          <w:sz w:val="24"/>
          <w:szCs w:val="24"/>
        </w:rPr>
        <w:t>Monty Ramone is charged with sexually assaulting his ex-girlfriend.</w:t>
      </w:r>
      <w:r w:rsidR="00AA0B31" w:rsidRPr="00732174">
        <w:rPr>
          <w:color w:val="auto"/>
          <w:sz w:val="24"/>
          <w:szCs w:val="24"/>
        </w:rPr>
        <w:t xml:space="preserve"> </w:t>
      </w:r>
      <w:r w:rsidRPr="00732174">
        <w:rPr>
          <w:color w:val="auto"/>
          <w:sz w:val="24"/>
          <w:szCs w:val="24"/>
        </w:rPr>
        <w:t>According to the ex-girlfriend, after they had broken up, Ramone showed up at her home drunk and high on drugs and proceeded to violently sexually assault her.</w:t>
      </w:r>
      <w:r w:rsidR="00AA0B31" w:rsidRPr="00732174">
        <w:rPr>
          <w:color w:val="auto"/>
          <w:sz w:val="24"/>
          <w:szCs w:val="24"/>
        </w:rPr>
        <w:t xml:space="preserve"> </w:t>
      </w:r>
      <w:r w:rsidRPr="00732174">
        <w:rPr>
          <w:color w:val="auto"/>
          <w:sz w:val="24"/>
          <w:szCs w:val="24"/>
        </w:rPr>
        <w:t>As a result of this assault, the ex-girlfriend was left with a deep scalp wound along her hairline, a swollen eye, a swollen hand, a bruised hip, and lips so swollen that she was unable to speak for a day or two.</w:t>
      </w:r>
      <w:r w:rsidR="00AA0B31" w:rsidRPr="00732174">
        <w:rPr>
          <w:color w:val="auto"/>
          <w:sz w:val="24"/>
          <w:szCs w:val="24"/>
        </w:rPr>
        <w:t xml:space="preserve"> </w:t>
      </w:r>
      <w:r w:rsidRPr="00732174">
        <w:rPr>
          <w:color w:val="auto"/>
          <w:sz w:val="24"/>
          <w:szCs w:val="24"/>
        </w:rPr>
        <w:t>Ramone admitted that he beat his ex-girlfriend but alleged that she consented to the sexual acts.</w:t>
      </w:r>
      <w:r w:rsidR="00AA0B31" w:rsidRPr="00732174">
        <w:rPr>
          <w:color w:val="auto"/>
          <w:sz w:val="24"/>
          <w:szCs w:val="24"/>
        </w:rPr>
        <w:t xml:space="preserve"> </w:t>
      </w:r>
      <w:r w:rsidRPr="00732174">
        <w:rPr>
          <w:color w:val="auto"/>
          <w:sz w:val="24"/>
          <w:szCs w:val="24"/>
        </w:rPr>
        <w:t>In his defense, he seeks to present evidence that his ex-girlfriend and he previously engaged in several consensual sexual acts while they were dating.</w:t>
      </w:r>
      <w:r w:rsidR="00AA0B31" w:rsidRPr="00732174">
        <w:rPr>
          <w:color w:val="auto"/>
          <w:sz w:val="24"/>
          <w:szCs w:val="24"/>
        </w:rPr>
        <w:t xml:space="preserve"> </w:t>
      </w:r>
      <w:r w:rsidRPr="00732174">
        <w:rPr>
          <w:color w:val="auto"/>
          <w:sz w:val="24"/>
          <w:szCs w:val="24"/>
        </w:rPr>
        <w:t xml:space="preserve">Should the court allow for the admission of this evidence? </w:t>
      </w:r>
      <w:r w:rsidRPr="00732174">
        <w:rPr>
          <w:i/>
          <w:color w:val="auto"/>
          <w:sz w:val="24"/>
          <w:szCs w:val="24"/>
        </w:rPr>
        <w:t xml:space="preserve">See </w:t>
      </w:r>
      <w:hyperlink r:id="rId55" w:history="1">
        <w:r w:rsidRPr="00732174">
          <w:rPr>
            <w:rStyle w:val="Hyperlink"/>
            <w:i/>
            <w:color w:val="auto"/>
            <w:sz w:val="24"/>
            <w:szCs w:val="24"/>
          </w:rPr>
          <w:t>United States v. Ramone</w:t>
        </w:r>
      </w:hyperlink>
      <w:r w:rsidRPr="00732174">
        <w:rPr>
          <w:color w:val="auto"/>
          <w:sz w:val="24"/>
          <w:szCs w:val="24"/>
        </w:rPr>
        <w:t xml:space="preserve">, </w:t>
      </w:r>
      <w:proofErr w:type="gramStart"/>
      <w:r w:rsidRPr="00732174">
        <w:rPr>
          <w:color w:val="auto"/>
          <w:sz w:val="24"/>
          <w:szCs w:val="24"/>
        </w:rPr>
        <w:t>218 F.3d 1229</w:t>
      </w:r>
      <w:proofErr w:type="gramEnd"/>
      <w:r w:rsidRPr="00732174">
        <w:rPr>
          <w:color w:val="auto"/>
          <w:sz w:val="24"/>
          <w:szCs w:val="24"/>
        </w:rPr>
        <w:t xml:space="preserve"> (10</w:t>
      </w:r>
      <w:r w:rsidR="00B05F45" w:rsidRPr="00732174">
        <w:rPr>
          <w:color w:val="auto"/>
          <w:sz w:val="24"/>
          <w:szCs w:val="24"/>
        </w:rPr>
        <w:t>th</w:t>
      </w:r>
      <w:r w:rsidRPr="00732174">
        <w:rPr>
          <w:color w:val="auto"/>
          <w:sz w:val="24"/>
          <w:szCs w:val="24"/>
        </w:rPr>
        <w:t xml:space="preserve"> Cir. 2000).</w:t>
      </w:r>
    </w:p>
    <w:p w:rsidR="008F7B19" w:rsidRPr="00732174" w:rsidRDefault="00394721" w:rsidP="00A96494">
      <w:pPr>
        <w:pStyle w:val="HypoHeading"/>
        <w:rPr>
          <w:sz w:val="24"/>
          <w:szCs w:val="24"/>
        </w:rPr>
      </w:pPr>
      <w:bookmarkStart w:id="21" w:name="_Toc315873683"/>
      <w:r w:rsidRPr="00732174">
        <w:rPr>
          <w:sz w:val="24"/>
          <w:szCs w:val="24"/>
        </w:rPr>
        <w:t>Hypothetical 6</w:t>
      </w:r>
      <w:bookmarkEnd w:id="21"/>
    </w:p>
    <w:p w:rsidR="00394721" w:rsidRPr="00732174" w:rsidRDefault="00394721" w:rsidP="00226032">
      <w:pPr>
        <w:pStyle w:val="CaseBody"/>
        <w:rPr>
          <w:color w:val="auto"/>
          <w:sz w:val="24"/>
          <w:szCs w:val="24"/>
        </w:rPr>
      </w:pPr>
      <w:r w:rsidRPr="00732174">
        <w:rPr>
          <w:color w:val="auto"/>
          <w:sz w:val="24"/>
          <w:szCs w:val="24"/>
        </w:rPr>
        <w:t>Darrell Jackson was a family friend who babysat for A.C., a girl who was between ten and twelve years-old between 1999 and 2002.</w:t>
      </w:r>
      <w:r w:rsidR="00AA0B31" w:rsidRPr="00732174">
        <w:rPr>
          <w:color w:val="auto"/>
          <w:sz w:val="24"/>
          <w:szCs w:val="24"/>
        </w:rPr>
        <w:t xml:space="preserve"> </w:t>
      </w:r>
      <w:r w:rsidRPr="00732174">
        <w:rPr>
          <w:color w:val="auto"/>
          <w:sz w:val="24"/>
          <w:szCs w:val="24"/>
        </w:rPr>
        <w:t>According to A.C., during this time period, Jackson sexually assaulted her more than 50 times. At trial, the prosecution emphasized that A.C.'s behavior had deteriorated in significant ways starting about the time of the alleged offenses by Jackson and continuing up until the time of trial.</w:t>
      </w:r>
      <w:r w:rsidR="00AA0B31" w:rsidRPr="00732174">
        <w:rPr>
          <w:color w:val="auto"/>
          <w:sz w:val="24"/>
          <w:szCs w:val="24"/>
        </w:rPr>
        <w:t xml:space="preserve"> </w:t>
      </w:r>
      <w:r w:rsidRPr="00732174">
        <w:rPr>
          <w:color w:val="auto"/>
          <w:sz w:val="24"/>
          <w:szCs w:val="24"/>
        </w:rPr>
        <w:t>In his defense, Jackson sought to present evidence that between 1999 and 2002, A.C. also reported being sexually assaulted by two other juveniles, her stepfather, and an employee at the Kansas Department of Social and Rehabilitation Services. The trial court deems this evidence inadmissible because it does not quite fit within the exception contained in Rule 412(b</w:t>
      </w:r>
      <w:proofErr w:type="gramStart"/>
      <w:r w:rsidRPr="00732174">
        <w:rPr>
          <w:color w:val="auto"/>
          <w:sz w:val="24"/>
          <w:szCs w:val="24"/>
        </w:rPr>
        <w:t>)(</w:t>
      </w:r>
      <w:proofErr w:type="gramEnd"/>
      <w:r w:rsidRPr="00732174">
        <w:rPr>
          <w:color w:val="auto"/>
          <w:sz w:val="24"/>
          <w:szCs w:val="24"/>
        </w:rPr>
        <w:t>1)(A).</w:t>
      </w:r>
      <w:r w:rsidR="00AA0B31" w:rsidRPr="00732174">
        <w:rPr>
          <w:color w:val="auto"/>
          <w:sz w:val="24"/>
          <w:szCs w:val="24"/>
        </w:rPr>
        <w:t xml:space="preserve"> </w:t>
      </w:r>
      <w:r w:rsidRPr="00732174">
        <w:rPr>
          <w:color w:val="auto"/>
          <w:sz w:val="24"/>
          <w:szCs w:val="24"/>
        </w:rPr>
        <w:t xml:space="preserve">Is there another ground upon </w:t>
      </w:r>
      <w:r w:rsidRPr="00732174">
        <w:rPr>
          <w:color w:val="auto"/>
          <w:sz w:val="24"/>
          <w:szCs w:val="24"/>
        </w:rPr>
        <w:lastRenderedPageBreak/>
        <w:t xml:space="preserve">which an appellate court could reverse? </w:t>
      </w:r>
      <w:r w:rsidRPr="00732174">
        <w:rPr>
          <w:i/>
          <w:color w:val="auto"/>
          <w:sz w:val="24"/>
          <w:szCs w:val="24"/>
        </w:rPr>
        <w:t>See</w:t>
      </w:r>
      <w:r w:rsidRPr="00732174">
        <w:rPr>
          <w:color w:val="auto"/>
          <w:sz w:val="24"/>
          <w:szCs w:val="24"/>
        </w:rPr>
        <w:t xml:space="preserve"> </w:t>
      </w:r>
      <w:hyperlink r:id="rId56" w:history="1">
        <w:r w:rsidRPr="00732174">
          <w:rPr>
            <w:bCs/>
            <w:i/>
            <w:iCs/>
            <w:color w:val="auto"/>
            <w:sz w:val="24"/>
            <w:szCs w:val="24"/>
            <w:u w:val="single"/>
          </w:rPr>
          <w:t>State v. Jackson</w:t>
        </w:r>
      </w:hyperlink>
      <w:r w:rsidRPr="00732174">
        <w:rPr>
          <w:color w:val="auto"/>
          <w:sz w:val="24"/>
          <w:szCs w:val="24"/>
        </w:rPr>
        <w:t>, 2008 WL 538948 (Kan.</w:t>
      </w:r>
      <w:r w:rsidR="00590341" w:rsidRPr="00732174">
        <w:rPr>
          <w:color w:val="auto"/>
          <w:sz w:val="24"/>
          <w:szCs w:val="24"/>
        </w:rPr>
        <w:t xml:space="preserve"> Ct. </w:t>
      </w:r>
      <w:r w:rsidRPr="00732174">
        <w:rPr>
          <w:color w:val="auto"/>
          <w:sz w:val="24"/>
          <w:szCs w:val="24"/>
        </w:rPr>
        <w:t>App. 2008);</w:t>
      </w:r>
      <w:r w:rsidR="00CB3BC4" w:rsidRPr="00732174">
        <w:rPr>
          <w:color w:val="auto"/>
          <w:sz w:val="24"/>
          <w:szCs w:val="24"/>
        </w:rPr>
        <w:t xml:space="preserve"> </w:t>
      </w:r>
      <w:r w:rsidR="00CB3BC4" w:rsidRPr="00732174">
        <w:rPr>
          <w:i/>
          <w:color w:val="auto"/>
          <w:sz w:val="24"/>
          <w:szCs w:val="24"/>
        </w:rPr>
        <w:t>See</w:t>
      </w:r>
      <w:r w:rsidR="00CB3BC4" w:rsidRPr="00732174">
        <w:rPr>
          <w:color w:val="auto"/>
          <w:sz w:val="24"/>
          <w:szCs w:val="24"/>
        </w:rPr>
        <w:t xml:space="preserve"> Colin Miller, </w:t>
      </w:r>
      <w:r w:rsidR="00B05F45" w:rsidRPr="00732174">
        <w:rPr>
          <w:i/>
          <w:color w:val="auto"/>
          <w:sz w:val="24"/>
          <w:szCs w:val="24"/>
        </w:rPr>
        <w:t>Disturbing Behavior: Court of Appeals of Kansas Finds Trial Court Failed to Apply Constitutional Exception to Rape Shield Rule</w:t>
      </w:r>
      <w:r w:rsidR="00590341" w:rsidRPr="00732174">
        <w:rPr>
          <w:i/>
          <w:color w:val="auto"/>
          <w:sz w:val="24"/>
          <w:szCs w:val="24"/>
        </w:rPr>
        <w:t>,</w:t>
      </w:r>
      <w:r w:rsidR="00CB3BC4" w:rsidRPr="00732174">
        <w:rPr>
          <w:color w:val="auto"/>
          <w:sz w:val="24"/>
          <w:szCs w:val="24"/>
        </w:rPr>
        <w:t xml:space="preserve"> EvidenceProf Blog </w:t>
      </w:r>
      <w:r w:rsidR="00590341" w:rsidRPr="00732174">
        <w:rPr>
          <w:color w:val="auto"/>
          <w:sz w:val="24"/>
          <w:szCs w:val="24"/>
        </w:rPr>
        <w:t>(</w:t>
      </w:r>
      <w:r w:rsidR="00CB3BC4" w:rsidRPr="00732174">
        <w:rPr>
          <w:color w:val="auto"/>
          <w:sz w:val="24"/>
          <w:szCs w:val="24"/>
        </w:rPr>
        <w:t>Nov. 2, 2009</w:t>
      </w:r>
      <w:r w:rsidR="00590341" w:rsidRPr="00732174">
        <w:rPr>
          <w:color w:val="auto"/>
          <w:sz w:val="24"/>
          <w:szCs w:val="24"/>
        </w:rPr>
        <w:t xml:space="preserve">) </w:t>
      </w:r>
      <w:hyperlink r:id="rId57" w:history="1">
        <w:r w:rsidR="00590341" w:rsidRPr="00732174">
          <w:rPr>
            <w:rStyle w:val="Hyperlink"/>
            <w:color w:val="auto"/>
            <w:sz w:val="24"/>
            <w:szCs w:val="24"/>
          </w:rPr>
          <w:t>http://lawprofessors.typepad.com/evidenceprof/2008/03/rule-412-state.html</w:t>
        </w:r>
      </w:hyperlink>
      <w:r w:rsidR="00590341" w:rsidRPr="00732174">
        <w:rPr>
          <w:color w:val="auto"/>
          <w:sz w:val="24"/>
          <w:szCs w:val="24"/>
        </w:rPr>
        <w:t xml:space="preserve">. </w:t>
      </w:r>
    </w:p>
    <w:tbl>
      <w:tblPr>
        <w:tblW w:w="0" w:type="auto"/>
        <w:tblInd w:w="108" w:type="dxa"/>
        <w:tblBorders>
          <w:insideV w:val="single" w:sz="4" w:space="0" w:color="auto"/>
        </w:tblBorders>
        <w:tblLook w:val="0000" w:firstRow="0" w:lastRow="0" w:firstColumn="0" w:lastColumn="0" w:noHBand="0" w:noVBand="0"/>
      </w:tblPr>
      <w:tblGrid>
        <w:gridCol w:w="3315"/>
        <w:gridCol w:w="3273"/>
      </w:tblGrid>
      <w:tr w:rsidR="00394721" w:rsidRPr="00732174">
        <w:trPr>
          <w:trHeight w:val="1700"/>
        </w:trPr>
        <w:tc>
          <w:tcPr>
            <w:tcW w:w="5040" w:type="dxa"/>
          </w:tcPr>
          <w:p w:rsidR="00394721" w:rsidRPr="00732174" w:rsidRDefault="0097256C" w:rsidP="00E20C22">
            <w:pPr>
              <w:pStyle w:val="TableHeading"/>
              <w:ind w:left="0"/>
              <w:rPr>
                <w:color w:val="auto"/>
                <w:sz w:val="24"/>
                <w:szCs w:val="24"/>
              </w:rPr>
            </w:pPr>
            <w:r w:rsidRPr="00732174">
              <w:rPr>
                <w:color w:val="auto"/>
                <w:sz w:val="24"/>
                <w:szCs w:val="24"/>
              </w:rPr>
              <w:lastRenderedPageBreak/>
              <w:t>Prior Rules Language:</w:t>
            </w:r>
          </w:p>
          <w:p w:rsidR="00D05D49" w:rsidRPr="00732174" w:rsidRDefault="00394721" w:rsidP="00B63D9E">
            <w:pPr>
              <w:pStyle w:val="Body"/>
              <w:keepNext/>
              <w:keepLines/>
              <w:jc w:val="left"/>
              <w:rPr>
                <w:b/>
                <w:color w:val="auto"/>
                <w:sz w:val="24"/>
                <w:szCs w:val="24"/>
              </w:rPr>
            </w:pPr>
            <w:r w:rsidRPr="00732174">
              <w:rPr>
                <w:b/>
                <w:color w:val="auto"/>
                <w:sz w:val="24"/>
                <w:szCs w:val="24"/>
              </w:rPr>
              <w:t>(b) Exceptions.</w:t>
            </w:r>
          </w:p>
          <w:p w:rsidR="00394721" w:rsidRPr="00732174" w:rsidRDefault="00394721" w:rsidP="00B63D9E">
            <w:pPr>
              <w:pStyle w:val="Body"/>
              <w:keepNext/>
              <w:keepLines/>
              <w:ind w:left="162"/>
              <w:jc w:val="left"/>
              <w:rPr>
                <w:color w:val="auto"/>
                <w:sz w:val="24"/>
                <w:szCs w:val="24"/>
              </w:rPr>
            </w:pPr>
            <w:r w:rsidRPr="00732174">
              <w:rPr>
                <w:b/>
                <w:color w:val="auto"/>
                <w:sz w:val="24"/>
                <w:szCs w:val="24"/>
              </w:rPr>
              <w:t>(1)</w:t>
            </w:r>
            <w:r w:rsidRPr="00732174">
              <w:rPr>
                <w:color w:val="auto"/>
                <w:sz w:val="24"/>
                <w:szCs w:val="24"/>
              </w:rPr>
              <w:t xml:space="preserve"> In a criminal case, the following evidence is admissible, if otherwise admissible under these rules:</w:t>
            </w:r>
          </w:p>
          <w:p w:rsidR="00394721" w:rsidRPr="00732174" w:rsidRDefault="00394721" w:rsidP="00B63D9E">
            <w:pPr>
              <w:pStyle w:val="Body"/>
              <w:keepNext/>
              <w:keepLines/>
              <w:ind w:left="342"/>
              <w:jc w:val="left"/>
              <w:rPr>
                <w:color w:val="auto"/>
                <w:sz w:val="24"/>
                <w:szCs w:val="24"/>
              </w:rPr>
            </w:pPr>
            <w:r w:rsidRPr="00732174">
              <w:rPr>
                <w:b/>
                <w:color w:val="auto"/>
                <w:sz w:val="24"/>
                <w:szCs w:val="24"/>
              </w:rPr>
              <w:t xml:space="preserve">(A) </w:t>
            </w:r>
            <w:r w:rsidRPr="00732174">
              <w:rPr>
                <w:color w:val="auto"/>
                <w:sz w:val="24"/>
                <w:szCs w:val="24"/>
              </w:rPr>
              <w:t>evidence of specific instances of sexual behavior by the alleged victim offered to prove that a person other than the accused was the source of semen, injury or other physical evidence;</w:t>
            </w:r>
          </w:p>
          <w:p w:rsidR="00394721" w:rsidRPr="00732174" w:rsidRDefault="00394721" w:rsidP="00B63D9E">
            <w:pPr>
              <w:pStyle w:val="Body"/>
              <w:keepNext/>
              <w:keepLines/>
              <w:ind w:left="342"/>
              <w:jc w:val="left"/>
              <w:rPr>
                <w:color w:val="auto"/>
                <w:sz w:val="24"/>
                <w:szCs w:val="24"/>
              </w:rPr>
            </w:pPr>
            <w:r w:rsidRPr="00732174">
              <w:rPr>
                <w:b/>
                <w:color w:val="auto"/>
                <w:sz w:val="24"/>
                <w:szCs w:val="24"/>
              </w:rPr>
              <w:t>(B)</w:t>
            </w:r>
            <w:r w:rsidRPr="00732174">
              <w:rPr>
                <w:color w:val="auto"/>
                <w:sz w:val="24"/>
                <w:szCs w:val="24"/>
              </w:rPr>
              <w:t xml:space="preserve"> evidence of specific instances of sexual behavior by the alleged victim with respect to the person accused of the sexual misconduct offered by the accused to prove consent or by the prosecution; and</w:t>
            </w:r>
          </w:p>
          <w:p w:rsidR="00394721" w:rsidRPr="00732174" w:rsidRDefault="00394721" w:rsidP="00B63D9E">
            <w:pPr>
              <w:pStyle w:val="Body"/>
              <w:keepNext/>
              <w:keepLines/>
              <w:ind w:left="342"/>
              <w:jc w:val="left"/>
              <w:rPr>
                <w:color w:val="auto"/>
                <w:sz w:val="24"/>
                <w:szCs w:val="24"/>
              </w:rPr>
            </w:pPr>
            <w:r w:rsidRPr="00732174">
              <w:rPr>
                <w:b/>
                <w:color w:val="auto"/>
                <w:sz w:val="24"/>
                <w:szCs w:val="24"/>
              </w:rPr>
              <w:t>(C)</w:t>
            </w:r>
            <w:r w:rsidRPr="00732174">
              <w:rPr>
                <w:color w:val="auto"/>
                <w:sz w:val="24"/>
                <w:szCs w:val="24"/>
              </w:rPr>
              <w:t xml:space="preserve"> </w:t>
            </w:r>
            <w:proofErr w:type="gramStart"/>
            <w:r w:rsidRPr="00732174">
              <w:rPr>
                <w:color w:val="auto"/>
                <w:sz w:val="24"/>
                <w:szCs w:val="24"/>
              </w:rPr>
              <w:t>evidence</w:t>
            </w:r>
            <w:proofErr w:type="gramEnd"/>
            <w:r w:rsidRPr="00732174">
              <w:rPr>
                <w:color w:val="auto"/>
                <w:sz w:val="24"/>
                <w:szCs w:val="24"/>
              </w:rPr>
              <w:t xml:space="preserve"> the exclusion of which would violate the constitutional rights of the defendant.</w:t>
            </w:r>
          </w:p>
        </w:tc>
        <w:tc>
          <w:tcPr>
            <w:tcW w:w="4860" w:type="dxa"/>
          </w:tcPr>
          <w:p w:rsidR="0097256C" w:rsidRPr="00732174" w:rsidRDefault="0097256C" w:rsidP="00E20C22">
            <w:pPr>
              <w:pStyle w:val="TableHeading"/>
              <w:ind w:left="44"/>
              <w:rPr>
                <w:color w:val="auto"/>
                <w:sz w:val="24"/>
                <w:szCs w:val="24"/>
              </w:rPr>
            </w:pPr>
            <w:r w:rsidRPr="00732174">
              <w:rPr>
                <w:color w:val="auto"/>
                <w:sz w:val="24"/>
                <w:szCs w:val="24"/>
              </w:rPr>
              <w:t>Restyled Rules Language:</w:t>
            </w:r>
          </w:p>
          <w:p w:rsidR="00394721" w:rsidRPr="00732174" w:rsidRDefault="0097256C" w:rsidP="00B63D9E">
            <w:pPr>
              <w:pStyle w:val="Body"/>
              <w:keepNext/>
              <w:keepLines/>
              <w:jc w:val="left"/>
              <w:rPr>
                <w:b/>
                <w:color w:val="auto"/>
                <w:sz w:val="24"/>
                <w:szCs w:val="24"/>
              </w:rPr>
            </w:pPr>
            <w:r w:rsidRPr="00732174">
              <w:rPr>
                <w:b/>
                <w:color w:val="auto"/>
                <w:sz w:val="24"/>
                <w:szCs w:val="24"/>
              </w:rPr>
              <w:t xml:space="preserve">(b) </w:t>
            </w:r>
            <w:r w:rsidR="00394721" w:rsidRPr="00732174">
              <w:rPr>
                <w:b/>
                <w:color w:val="auto"/>
                <w:sz w:val="24"/>
                <w:szCs w:val="24"/>
              </w:rPr>
              <w:t>Exceptions.</w:t>
            </w:r>
          </w:p>
          <w:p w:rsidR="00394721" w:rsidRPr="00732174" w:rsidRDefault="0097256C" w:rsidP="00B63D9E">
            <w:pPr>
              <w:pStyle w:val="Body"/>
              <w:keepNext/>
              <w:keepLines/>
              <w:ind w:left="240"/>
              <w:jc w:val="left"/>
              <w:rPr>
                <w:color w:val="auto"/>
                <w:sz w:val="24"/>
                <w:szCs w:val="24"/>
              </w:rPr>
            </w:pPr>
            <w:r w:rsidRPr="00732174">
              <w:rPr>
                <w:b/>
                <w:color w:val="auto"/>
                <w:sz w:val="24"/>
                <w:szCs w:val="24"/>
              </w:rPr>
              <w:t xml:space="preserve">(1) </w:t>
            </w:r>
            <w:r w:rsidR="00394721" w:rsidRPr="00732174">
              <w:rPr>
                <w:b/>
                <w:i/>
                <w:color w:val="auto"/>
                <w:sz w:val="24"/>
                <w:szCs w:val="24"/>
              </w:rPr>
              <w:t>Criminal Cases.</w:t>
            </w:r>
            <w:r w:rsidR="00AA0B31" w:rsidRPr="00732174">
              <w:rPr>
                <w:b/>
                <w:color w:val="auto"/>
                <w:sz w:val="24"/>
                <w:szCs w:val="24"/>
              </w:rPr>
              <w:t xml:space="preserve"> </w:t>
            </w:r>
            <w:r w:rsidR="00394721" w:rsidRPr="00732174">
              <w:rPr>
                <w:color w:val="auto"/>
                <w:sz w:val="24"/>
                <w:szCs w:val="24"/>
              </w:rPr>
              <w:t>The court may admit the following evidence in a criminal case:</w:t>
            </w:r>
          </w:p>
          <w:p w:rsidR="00394721" w:rsidRPr="00732174" w:rsidRDefault="0097256C" w:rsidP="00B63D9E">
            <w:pPr>
              <w:pStyle w:val="Body"/>
              <w:keepNext/>
              <w:keepLines/>
              <w:ind w:left="420"/>
              <w:jc w:val="left"/>
              <w:rPr>
                <w:color w:val="auto"/>
                <w:sz w:val="24"/>
                <w:szCs w:val="24"/>
              </w:rPr>
            </w:pPr>
            <w:r w:rsidRPr="00732174">
              <w:rPr>
                <w:b/>
                <w:color w:val="auto"/>
                <w:sz w:val="24"/>
                <w:szCs w:val="24"/>
              </w:rPr>
              <w:t>(A)</w:t>
            </w:r>
            <w:r w:rsidRPr="00732174">
              <w:rPr>
                <w:color w:val="auto"/>
                <w:sz w:val="24"/>
                <w:szCs w:val="24"/>
              </w:rPr>
              <w:t xml:space="preserve"> </w:t>
            </w:r>
            <w:r w:rsidR="00394721" w:rsidRPr="00732174">
              <w:rPr>
                <w:color w:val="auto"/>
                <w:sz w:val="24"/>
                <w:szCs w:val="24"/>
              </w:rPr>
              <w:t>evidence of specific instances of a victim’s sexual behavior, if offered to prove that someone other than the defendant was the source of semen, injury, or other physical evidence;</w:t>
            </w:r>
          </w:p>
          <w:p w:rsidR="00394721" w:rsidRPr="00732174" w:rsidRDefault="0097256C" w:rsidP="00B63D9E">
            <w:pPr>
              <w:pStyle w:val="Body"/>
              <w:keepNext/>
              <w:keepLines/>
              <w:ind w:left="420"/>
              <w:jc w:val="left"/>
              <w:rPr>
                <w:color w:val="auto"/>
                <w:sz w:val="24"/>
                <w:szCs w:val="24"/>
              </w:rPr>
            </w:pPr>
            <w:r w:rsidRPr="00732174">
              <w:rPr>
                <w:b/>
                <w:color w:val="auto"/>
                <w:sz w:val="24"/>
                <w:szCs w:val="24"/>
              </w:rPr>
              <w:t>(B)</w:t>
            </w:r>
            <w:r w:rsidRPr="00732174">
              <w:rPr>
                <w:color w:val="auto"/>
                <w:sz w:val="24"/>
                <w:szCs w:val="24"/>
              </w:rPr>
              <w:t xml:space="preserve"> </w:t>
            </w:r>
            <w:r w:rsidR="00394721" w:rsidRPr="00732174">
              <w:rPr>
                <w:color w:val="auto"/>
                <w:sz w:val="24"/>
                <w:szCs w:val="24"/>
              </w:rPr>
              <w:t>evidence of specific instances of a victim’s sexual behavior with respect to the person accused of the sexual misconduct, if offered by the defendant to prove consent or if offered by the prosecutor; and</w:t>
            </w:r>
          </w:p>
          <w:p w:rsidR="00394721" w:rsidRPr="00732174" w:rsidRDefault="0097256C" w:rsidP="00B63D9E">
            <w:pPr>
              <w:pStyle w:val="Body"/>
              <w:keepNext/>
              <w:keepLines/>
              <w:ind w:left="420"/>
              <w:jc w:val="left"/>
              <w:rPr>
                <w:color w:val="auto"/>
                <w:sz w:val="24"/>
                <w:szCs w:val="24"/>
              </w:rPr>
            </w:pPr>
            <w:r w:rsidRPr="00732174">
              <w:rPr>
                <w:b/>
                <w:color w:val="auto"/>
                <w:sz w:val="24"/>
                <w:szCs w:val="24"/>
              </w:rPr>
              <w:t xml:space="preserve">(C) </w:t>
            </w:r>
            <w:proofErr w:type="gramStart"/>
            <w:r w:rsidR="00394721" w:rsidRPr="00732174">
              <w:rPr>
                <w:color w:val="auto"/>
                <w:sz w:val="24"/>
                <w:szCs w:val="24"/>
              </w:rPr>
              <w:t>evidence</w:t>
            </w:r>
            <w:proofErr w:type="gramEnd"/>
            <w:r w:rsidR="00394721" w:rsidRPr="00732174">
              <w:rPr>
                <w:color w:val="auto"/>
                <w:sz w:val="24"/>
                <w:szCs w:val="24"/>
              </w:rPr>
              <w:t xml:space="preserve"> whose exclusion would violate the defendant’s constitutional rights.</w:t>
            </w:r>
          </w:p>
        </w:tc>
      </w:tr>
    </w:tbl>
    <w:p w:rsidR="00394721" w:rsidRPr="00732174" w:rsidRDefault="00394721" w:rsidP="00B63D9E">
      <w:pPr>
        <w:pStyle w:val="Heading"/>
        <w:rPr>
          <w:color w:val="auto"/>
          <w:szCs w:val="24"/>
          <w:u w:color="0000FF"/>
        </w:rPr>
      </w:pPr>
      <w:bookmarkStart w:id="22" w:name="_Toc320342481"/>
      <w:r w:rsidRPr="00732174">
        <w:rPr>
          <w:color w:val="auto"/>
          <w:szCs w:val="24"/>
          <w:u w:color="0000FF"/>
        </w:rPr>
        <w:t>IV.</w:t>
      </w:r>
      <w:r w:rsidR="00853685" w:rsidRPr="00732174">
        <w:rPr>
          <w:color w:val="auto"/>
          <w:szCs w:val="24"/>
          <w:u w:color="0000FF"/>
        </w:rPr>
        <w:t xml:space="preserve"> </w:t>
      </w:r>
      <w:r w:rsidRPr="00732174">
        <w:rPr>
          <w:color w:val="auto"/>
          <w:szCs w:val="24"/>
          <w:u w:color="0000FF"/>
        </w:rPr>
        <w:t>Rule 412(b</w:t>
      </w:r>
      <w:proofErr w:type="gramStart"/>
      <w:r w:rsidRPr="00732174">
        <w:rPr>
          <w:color w:val="auto"/>
          <w:szCs w:val="24"/>
          <w:u w:color="0000FF"/>
        </w:rPr>
        <w:t>)(</w:t>
      </w:r>
      <w:proofErr w:type="gramEnd"/>
      <w:r w:rsidRPr="00732174">
        <w:rPr>
          <w:color w:val="auto"/>
          <w:szCs w:val="24"/>
          <w:u w:color="0000FF"/>
        </w:rPr>
        <w:t>2):</w:t>
      </w:r>
      <w:r w:rsidR="00AA0B31" w:rsidRPr="00732174">
        <w:rPr>
          <w:color w:val="auto"/>
          <w:szCs w:val="24"/>
          <w:u w:color="0000FF"/>
        </w:rPr>
        <w:t xml:space="preserve"> </w:t>
      </w:r>
      <w:r w:rsidRPr="00732174">
        <w:rPr>
          <w:color w:val="auto"/>
          <w:szCs w:val="24"/>
          <w:u w:color="0000FF"/>
        </w:rPr>
        <w:t>Civil Exception</w:t>
      </w:r>
      <w:bookmarkEnd w:id="22"/>
    </w:p>
    <w:p w:rsidR="00394721" w:rsidRPr="00732174" w:rsidRDefault="00394721" w:rsidP="00226032">
      <w:pPr>
        <w:pStyle w:val="Body"/>
        <w:rPr>
          <w:color w:val="auto"/>
          <w:sz w:val="24"/>
          <w:szCs w:val="24"/>
          <w:u w:color="0000FF"/>
        </w:rPr>
      </w:pPr>
      <w:r w:rsidRPr="00732174">
        <w:rPr>
          <w:color w:val="auto"/>
          <w:sz w:val="24"/>
          <w:szCs w:val="24"/>
          <w:u w:color="0000FF"/>
        </w:rPr>
        <w:t xml:space="preserve">Meanwhile, </w:t>
      </w:r>
      <w:r w:rsidRPr="00732174">
        <w:rPr>
          <w:rFonts w:cs="Verdana"/>
          <w:color w:val="auto"/>
          <w:sz w:val="24"/>
          <w:szCs w:val="24"/>
          <w:u w:color="0000FF"/>
        </w:rPr>
        <w:t>Federal Rule of Evidence 412(b</w:t>
      </w:r>
      <w:proofErr w:type="gramStart"/>
      <w:r w:rsidRPr="00732174">
        <w:rPr>
          <w:rFonts w:cs="Verdana"/>
          <w:color w:val="auto"/>
          <w:sz w:val="24"/>
          <w:szCs w:val="24"/>
          <w:u w:color="0000FF"/>
        </w:rPr>
        <w:t>)(</w:t>
      </w:r>
      <w:proofErr w:type="gramEnd"/>
      <w:r w:rsidRPr="00732174">
        <w:rPr>
          <w:rFonts w:cs="Verdana"/>
          <w:color w:val="auto"/>
          <w:sz w:val="24"/>
          <w:szCs w:val="24"/>
          <w:u w:color="0000FF"/>
        </w:rPr>
        <w:t>2)</w:t>
      </w:r>
      <w:r w:rsidRPr="00732174">
        <w:rPr>
          <w:color w:val="auto"/>
          <w:sz w:val="24"/>
          <w:szCs w:val="24"/>
          <w:u w:color="0000FF"/>
        </w:rPr>
        <w:t xml:space="preserve"> provides an exception to the Rape Shield Rule in civil cases:</w:t>
      </w:r>
    </w:p>
    <w:p w:rsidR="00394721" w:rsidRPr="00732174" w:rsidRDefault="00394721" w:rsidP="00226032">
      <w:pPr>
        <w:pStyle w:val="BlockQuote"/>
        <w:rPr>
          <w:color w:val="auto"/>
          <w:sz w:val="24"/>
          <w:szCs w:val="24"/>
          <w:u w:color="0000FF"/>
        </w:rPr>
      </w:pPr>
      <w:r w:rsidRPr="00732174">
        <w:rPr>
          <w:color w:val="auto"/>
          <w:sz w:val="24"/>
          <w:szCs w:val="24"/>
          <w:u w:color="0000FF"/>
        </w:rPr>
        <w:t xml:space="preserve">In a civil case, evidence offered to prove the sexual behavior or sexual predisposition of any alleged victim is admissible if it is otherwise admissible under these rules and its probative value substantially outweighs the </w:t>
      </w:r>
      <w:r w:rsidRPr="00732174">
        <w:rPr>
          <w:color w:val="auto"/>
          <w:sz w:val="24"/>
          <w:szCs w:val="24"/>
          <w:u w:color="0000FF"/>
        </w:rPr>
        <w:lastRenderedPageBreak/>
        <w:t>danger of harm to any victim and of unfair prejudice to any party. Evidence of an alleged victim's reputation is admissible only if it has been placed in controversy by the alleged victim.</w:t>
      </w:r>
    </w:p>
    <w:p w:rsidR="00394721" w:rsidRPr="00732174" w:rsidRDefault="00394721" w:rsidP="00226032">
      <w:pPr>
        <w:pStyle w:val="Body"/>
        <w:rPr>
          <w:color w:val="auto"/>
          <w:sz w:val="24"/>
          <w:szCs w:val="24"/>
          <w:u w:color="0000FF"/>
        </w:rPr>
      </w:pPr>
      <w:r w:rsidRPr="00732174">
        <w:rPr>
          <w:color w:val="auto"/>
          <w:sz w:val="24"/>
          <w:szCs w:val="24"/>
          <w:u w:color="0000FF"/>
        </w:rPr>
        <w:t xml:space="preserve">The </w:t>
      </w:r>
      <w:r w:rsidRPr="00732174">
        <w:rPr>
          <w:rFonts w:cs="Verdana"/>
          <w:color w:val="auto"/>
          <w:sz w:val="24"/>
          <w:szCs w:val="24"/>
          <w:u w:color="0000FF"/>
        </w:rPr>
        <w:t>Advisory Committee’s Note</w:t>
      </w:r>
      <w:r w:rsidRPr="00732174">
        <w:rPr>
          <w:color w:val="auto"/>
          <w:sz w:val="24"/>
          <w:szCs w:val="24"/>
          <w:u w:color="0000FF"/>
        </w:rPr>
        <w:t xml:space="preserve"> indicates that this exception was intended to be similar in effect to the criminal exception but that “[</w:t>
      </w:r>
      <w:proofErr w:type="spellStart"/>
      <w:r w:rsidRPr="00732174">
        <w:rPr>
          <w:color w:val="auto"/>
          <w:sz w:val="24"/>
          <w:szCs w:val="24"/>
          <w:u w:color="0000FF"/>
        </w:rPr>
        <w:t>i</w:t>
      </w:r>
      <w:proofErr w:type="spellEnd"/>
      <w:r w:rsidRPr="00732174">
        <w:rPr>
          <w:color w:val="auto"/>
          <w:sz w:val="24"/>
          <w:szCs w:val="24"/>
          <w:u w:color="0000FF"/>
        </w:rPr>
        <w:t xml:space="preserve">]t employs a balancing test rather than the specific exceptions stated in subdivision </w:t>
      </w:r>
      <w:r w:rsidRPr="00732174">
        <w:rPr>
          <w:rFonts w:cs="Verdana"/>
          <w:color w:val="auto"/>
          <w:sz w:val="24"/>
          <w:szCs w:val="24"/>
          <w:u w:color="0000FF"/>
        </w:rPr>
        <w:t>(b</w:t>
      </w:r>
      <w:proofErr w:type="gramStart"/>
      <w:r w:rsidRPr="00732174">
        <w:rPr>
          <w:rFonts w:cs="Verdana"/>
          <w:color w:val="auto"/>
          <w:sz w:val="24"/>
          <w:szCs w:val="24"/>
          <w:u w:color="0000FF"/>
        </w:rPr>
        <w:t>)(</w:t>
      </w:r>
      <w:proofErr w:type="gramEnd"/>
      <w:r w:rsidRPr="00732174">
        <w:rPr>
          <w:rFonts w:cs="Verdana"/>
          <w:color w:val="auto"/>
          <w:sz w:val="24"/>
          <w:szCs w:val="24"/>
          <w:u w:color="0000FF"/>
        </w:rPr>
        <w:t>1)</w:t>
      </w:r>
      <w:r w:rsidRPr="00732174">
        <w:rPr>
          <w:color w:val="auto"/>
          <w:sz w:val="24"/>
          <w:szCs w:val="24"/>
          <w:u w:color="0000FF"/>
        </w:rPr>
        <w:t xml:space="preserve"> in recognition of the difficulty of foreseeing future developments in the law,” particularly with regard to “evolving causes of action such as claims for sexual harassment.”</w:t>
      </w:r>
      <w:r w:rsidR="00AA0B31" w:rsidRPr="00732174">
        <w:rPr>
          <w:color w:val="auto"/>
          <w:sz w:val="24"/>
          <w:szCs w:val="24"/>
          <w:u w:color="0000FF"/>
        </w:rPr>
        <w:t xml:space="preserve"> </w:t>
      </w:r>
      <w:r w:rsidRPr="00732174">
        <w:rPr>
          <w:color w:val="auto"/>
          <w:sz w:val="24"/>
          <w:szCs w:val="24"/>
          <w:u w:color="0000FF"/>
        </w:rPr>
        <w:t xml:space="preserve">No judge in a civil case, however, has applied </w:t>
      </w:r>
      <w:r w:rsidRPr="00732174">
        <w:rPr>
          <w:rFonts w:cs="Verdana"/>
          <w:color w:val="auto"/>
          <w:sz w:val="24"/>
          <w:szCs w:val="24"/>
          <w:u w:color="0000FF"/>
        </w:rPr>
        <w:t>Rule 412(b)(2)</w:t>
      </w:r>
      <w:r w:rsidRPr="00732174">
        <w:rPr>
          <w:color w:val="auto"/>
          <w:sz w:val="24"/>
          <w:szCs w:val="24"/>
          <w:u w:color="0000FF"/>
        </w:rPr>
        <w:t xml:space="preserve"> to allow for the admission of evidence concerning an alleged victim's sexual history or predisposition to prove a purpose not covered by one of the specific exceptions in </w:t>
      </w:r>
      <w:r w:rsidRPr="00732174">
        <w:rPr>
          <w:rFonts w:cs="Verdana"/>
          <w:color w:val="auto"/>
          <w:sz w:val="24"/>
          <w:szCs w:val="24"/>
          <w:u w:color="0000FF"/>
        </w:rPr>
        <w:t>Rule 412(b)(1)</w:t>
      </w:r>
      <w:r w:rsidRPr="00732174">
        <w:rPr>
          <w:color w:val="auto"/>
          <w:sz w:val="24"/>
          <w:szCs w:val="24"/>
          <w:u w:color="0000FF"/>
        </w:rPr>
        <w:t>.</w:t>
      </w:r>
    </w:p>
    <w:p w:rsidR="00394721" w:rsidRPr="00732174" w:rsidRDefault="00394721" w:rsidP="00226032">
      <w:pPr>
        <w:pStyle w:val="Body"/>
        <w:rPr>
          <w:color w:val="auto"/>
          <w:sz w:val="24"/>
          <w:szCs w:val="24"/>
          <w:u w:val="single" w:color="0000FF"/>
        </w:rPr>
      </w:pPr>
      <w:r w:rsidRPr="00732174">
        <w:rPr>
          <w:color w:val="auto"/>
          <w:sz w:val="24"/>
          <w:szCs w:val="24"/>
          <w:u w:color="0000FF"/>
        </w:rPr>
        <w:t xml:space="preserve">Indeed, as the </w:t>
      </w:r>
      <w:r w:rsidRPr="00732174">
        <w:rPr>
          <w:rFonts w:cs="Verdana"/>
          <w:color w:val="auto"/>
          <w:sz w:val="24"/>
          <w:szCs w:val="24"/>
          <w:u w:color="0000FF"/>
        </w:rPr>
        <w:t>Advisory Committee's Note</w:t>
      </w:r>
      <w:r w:rsidRPr="00732174">
        <w:rPr>
          <w:color w:val="auto"/>
          <w:sz w:val="24"/>
          <w:szCs w:val="24"/>
          <w:u w:color="0000FF"/>
        </w:rPr>
        <w:t xml:space="preserve"> makes clear, </w:t>
      </w:r>
      <w:r w:rsidRPr="00732174">
        <w:rPr>
          <w:rFonts w:cs="Verdana"/>
          <w:color w:val="auto"/>
          <w:sz w:val="24"/>
          <w:szCs w:val="24"/>
          <w:u w:color="0000FF"/>
        </w:rPr>
        <w:t>Rule 412(b</w:t>
      </w:r>
      <w:proofErr w:type="gramStart"/>
      <w:r w:rsidRPr="00732174">
        <w:rPr>
          <w:rFonts w:cs="Verdana"/>
          <w:color w:val="auto"/>
          <w:sz w:val="24"/>
          <w:szCs w:val="24"/>
          <w:u w:color="0000FF"/>
        </w:rPr>
        <w:t>)(</w:t>
      </w:r>
      <w:proofErr w:type="gramEnd"/>
      <w:r w:rsidRPr="00732174">
        <w:rPr>
          <w:rFonts w:cs="Verdana"/>
          <w:color w:val="auto"/>
          <w:sz w:val="24"/>
          <w:szCs w:val="24"/>
          <w:u w:color="0000FF"/>
        </w:rPr>
        <w:t>2)</w:t>
      </w:r>
      <w:r w:rsidRPr="00732174">
        <w:rPr>
          <w:color w:val="auto"/>
          <w:sz w:val="24"/>
          <w:szCs w:val="24"/>
          <w:u w:color="0000FF"/>
        </w:rPr>
        <w:t xml:space="preserve"> was drafted to make it more difficult to admit evidence concerning an alleged victim's sexual history or predisposition in civil cases than it was in criminal cases.</w:t>
      </w:r>
      <w:r w:rsidR="00AA0B31" w:rsidRPr="00732174">
        <w:rPr>
          <w:color w:val="auto"/>
          <w:sz w:val="24"/>
          <w:szCs w:val="24"/>
          <w:u w:color="0000FF"/>
        </w:rPr>
        <w:t xml:space="preserve"> </w:t>
      </w:r>
      <w:r w:rsidRPr="00732174">
        <w:rPr>
          <w:color w:val="auto"/>
          <w:sz w:val="24"/>
          <w:szCs w:val="24"/>
          <w:u w:color="0000FF"/>
        </w:rPr>
        <w:t xml:space="preserve">This is because evidence satisfying a </w:t>
      </w:r>
      <w:r w:rsidRPr="00732174">
        <w:rPr>
          <w:rFonts w:cs="Verdana"/>
          <w:color w:val="auto"/>
          <w:sz w:val="24"/>
          <w:szCs w:val="24"/>
          <w:u w:color="0000FF"/>
        </w:rPr>
        <w:t>Rule 412(b)(1)</w:t>
      </w:r>
      <w:r w:rsidRPr="00732174">
        <w:rPr>
          <w:color w:val="auto"/>
          <w:sz w:val="24"/>
          <w:szCs w:val="24"/>
          <w:u w:color="0000FF"/>
        </w:rPr>
        <w:t xml:space="preserve"> exception is admissible as long as it does not violate </w:t>
      </w:r>
      <w:r w:rsidRPr="00732174">
        <w:rPr>
          <w:rFonts w:cs="Verdana"/>
          <w:color w:val="auto"/>
          <w:sz w:val="24"/>
          <w:szCs w:val="24"/>
          <w:u w:color="0000FF"/>
        </w:rPr>
        <w:t>Federal Rule of Evidence 403</w:t>
      </w:r>
      <w:r w:rsidRPr="00732174">
        <w:rPr>
          <w:color w:val="auto"/>
          <w:sz w:val="24"/>
          <w:szCs w:val="24"/>
          <w:u w:color="0000FF"/>
        </w:rPr>
        <w:t>, which “tilts the balance in favor of admission” of evidence by providing that relevant evidence may only “be excluded if its probative value is substantially outweighed” by concerns such as “the danger of unfair prejudice.”</w:t>
      </w:r>
      <w:r w:rsidR="00AA0B31" w:rsidRPr="00732174">
        <w:rPr>
          <w:color w:val="auto"/>
          <w:sz w:val="24"/>
          <w:szCs w:val="24"/>
          <w:u w:color="0000FF"/>
        </w:rPr>
        <w:t xml:space="preserve"> </w:t>
      </w:r>
      <w:r w:rsidRPr="00732174">
        <w:rPr>
          <w:color w:val="auto"/>
          <w:sz w:val="24"/>
          <w:szCs w:val="24"/>
          <w:u w:color="0000FF"/>
        </w:rPr>
        <w:t>In such cases, relevant evidence will likely be admitted because the burden is upon the party opposing the admission of evidence to prove affirmatively that its probative value is substantially outweighed by the danger of unfair prejudice.</w:t>
      </w:r>
    </w:p>
    <w:p w:rsidR="00394721" w:rsidRPr="00732174" w:rsidRDefault="00394721" w:rsidP="00226032">
      <w:pPr>
        <w:pStyle w:val="Body"/>
        <w:rPr>
          <w:color w:val="auto"/>
          <w:sz w:val="24"/>
          <w:szCs w:val="24"/>
        </w:rPr>
      </w:pPr>
      <w:r w:rsidRPr="00732174">
        <w:rPr>
          <w:color w:val="auto"/>
          <w:sz w:val="24"/>
          <w:szCs w:val="24"/>
          <w:u w:color="0000FF"/>
        </w:rPr>
        <w:t xml:space="preserve">Consider a hypothetical in which the prosecution charges the defendant with rape and presents evidence that the alleged victim had scratches on her wrists. The defendant might seek, pursuant to </w:t>
      </w:r>
      <w:r w:rsidRPr="00732174">
        <w:rPr>
          <w:rFonts w:cs="Verdana"/>
          <w:color w:val="auto"/>
          <w:sz w:val="24"/>
          <w:szCs w:val="24"/>
          <w:u w:color="0000FF"/>
        </w:rPr>
        <w:t>Rule 412(b)(1)(A)</w:t>
      </w:r>
      <w:r w:rsidRPr="00732174">
        <w:rPr>
          <w:color w:val="auto"/>
          <w:sz w:val="24"/>
          <w:szCs w:val="24"/>
          <w:u w:color="0000FF"/>
        </w:rPr>
        <w:t>, to present evidence of the alleged victim's other sexual acts committed in the days before and after the alleged rape to prove that they could have caused her injuries.</w:t>
      </w:r>
      <w:r w:rsidR="00AA0B31" w:rsidRPr="00732174">
        <w:rPr>
          <w:color w:val="auto"/>
          <w:sz w:val="24"/>
          <w:szCs w:val="24"/>
          <w:u w:color="0000FF"/>
        </w:rPr>
        <w:t xml:space="preserve"> </w:t>
      </w:r>
      <w:r w:rsidRPr="00732174">
        <w:rPr>
          <w:color w:val="auto"/>
          <w:sz w:val="24"/>
          <w:szCs w:val="24"/>
          <w:u w:color="0000FF"/>
        </w:rPr>
        <w:t xml:space="preserve">For the judge to exclude this evidence, the prosecutor would need to prove that its probative value for establishing that these other acts could have caused her injuries </w:t>
      </w:r>
      <w:r w:rsidRPr="00732174">
        <w:rPr>
          <w:color w:val="auto"/>
          <w:sz w:val="24"/>
          <w:szCs w:val="24"/>
          <w:u w:color="0000FF"/>
        </w:rPr>
        <w:lastRenderedPageBreak/>
        <w:t>was substantially outweighed by the danger of unfair prejudice that the jury would misuse this evidence as an indication that the alleged victim had a propensity to consent to sexual acts and thus likely consented to the sexual act at issue.</w:t>
      </w:r>
      <w:r w:rsidR="00AA0B31" w:rsidRPr="00732174">
        <w:rPr>
          <w:color w:val="auto"/>
          <w:sz w:val="24"/>
          <w:szCs w:val="24"/>
          <w:u w:color="0000FF"/>
        </w:rPr>
        <w:t xml:space="preserve"> </w:t>
      </w:r>
      <w:r w:rsidRPr="00732174">
        <w:rPr>
          <w:i/>
          <w:color w:val="auto"/>
          <w:sz w:val="24"/>
          <w:szCs w:val="24"/>
          <w:u w:color="0000FF"/>
        </w:rPr>
        <w:t xml:space="preserve">See, e.g., </w:t>
      </w:r>
      <w:hyperlink r:id="rId58" w:history="1">
        <w:r w:rsidRPr="00732174">
          <w:rPr>
            <w:rStyle w:val="Hyperlink"/>
            <w:rFonts w:cs="Verdana"/>
            <w:i/>
            <w:color w:val="auto"/>
            <w:sz w:val="24"/>
            <w:szCs w:val="24"/>
          </w:rPr>
          <w:t>United States v. Begay</w:t>
        </w:r>
      </w:hyperlink>
      <w:r w:rsidRPr="00732174">
        <w:rPr>
          <w:color w:val="auto"/>
          <w:sz w:val="24"/>
          <w:szCs w:val="24"/>
          <w:u w:color="0000FF"/>
        </w:rPr>
        <w:t>, 937 F.2d 515, 523 (10</w:t>
      </w:r>
      <w:r w:rsidR="00B05F45" w:rsidRPr="00732174">
        <w:rPr>
          <w:color w:val="auto"/>
          <w:sz w:val="24"/>
          <w:szCs w:val="24"/>
          <w:u w:color="0000FF"/>
        </w:rPr>
        <w:t>th</w:t>
      </w:r>
      <w:r w:rsidRPr="00732174">
        <w:rPr>
          <w:color w:val="auto"/>
          <w:sz w:val="24"/>
          <w:szCs w:val="24"/>
          <w:u w:color="0000FF"/>
        </w:rPr>
        <w:t xml:space="preserve"> Cir. 2001) (“</w:t>
      </w:r>
      <w:r w:rsidRPr="00732174">
        <w:rPr>
          <w:color w:val="auto"/>
          <w:sz w:val="24"/>
          <w:szCs w:val="24"/>
        </w:rPr>
        <w:t xml:space="preserve">We feel there was an abuse of discretion in holding that such evidence was more prejudicial than probative for purposes of </w:t>
      </w:r>
      <w:r w:rsidRPr="00732174">
        <w:rPr>
          <w:rFonts w:cs="Verdana"/>
          <w:color w:val="auto"/>
          <w:sz w:val="24"/>
          <w:szCs w:val="24"/>
        </w:rPr>
        <w:t>Rule 403</w:t>
      </w:r>
      <w:r w:rsidRPr="00732174">
        <w:rPr>
          <w:color w:val="auto"/>
          <w:sz w:val="24"/>
          <w:szCs w:val="24"/>
        </w:rPr>
        <w:t xml:space="preserve"> and </w:t>
      </w:r>
      <w:r w:rsidRPr="00732174">
        <w:rPr>
          <w:rFonts w:cs="Verdana"/>
          <w:color w:val="auto"/>
          <w:sz w:val="24"/>
          <w:szCs w:val="24"/>
        </w:rPr>
        <w:t>412</w:t>
      </w:r>
      <w:r w:rsidRPr="00732174">
        <w:rPr>
          <w:color w:val="auto"/>
          <w:sz w:val="24"/>
          <w:szCs w:val="24"/>
        </w:rPr>
        <w:t>”).</w:t>
      </w:r>
    </w:p>
    <w:p w:rsidR="00394721" w:rsidRPr="00732174" w:rsidRDefault="00394721" w:rsidP="00226032">
      <w:pPr>
        <w:pStyle w:val="Body"/>
        <w:rPr>
          <w:color w:val="auto"/>
          <w:sz w:val="24"/>
          <w:szCs w:val="24"/>
          <w:u w:val="single" w:color="0000FF"/>
        </w:rPr>
      </w:pPr>
      <w:r w:rsidRPr="00732174">
        <w:rPr>
          <w:color w:val="auto"/>
          <w:sz w:val="24"/>
          <w:szCs w:val="24"/>
        </w:rPr>
        <w:t xml:space="preserve">In other words, assume that probative value and unfair prejudice were scored from 1-100. If evidence of the other sexual acts had a probative value of 60 and an unfair prejudice of 40, it would be admissible because probative value would outweigh unfair prejudice. If both probative value and unfair prejudice were 50, the evidence would be admissible because probative value would equal unfair prejudice. Even if probative </w:t>
      </w:r>
      <w:r w:rsidR="00DE1BCF" w:rsidRPr="00732174">
        <w:rPr>
          <w:color w:val="auto"/>
          <w:sz w:val="24"/>
          <w:szCs w:val="24"/>
        </w:rPr>
        <w:t>value was</w:t>
      </w:r>
      <w:r w:rsidRPr="00732174">
        <w:rPr>
          <w:color w:val="auto"/>
          <w:sz w:val="24"/>
          <w:szCs w:val="24"/>
        </w:rPr>
        <w:t xml:space="preserve"> 48 and unfair </w:t>
      </w:r>
      <w:r w:rsidR="00DE1BCF" w:rsidRPr="00732174">
        <w:rPr>
          <w:color w:val="auto"/>
          <w:sz w:val="24"/>
          <w:szCs w:val="24"/>
        </w:rPr>
        <w:t>prejudice was</w:t>
      </w:r>
      <w:r w:rsidRPr="00732174">
        <w:rPr>
          <w:color w:val="auto"/>
          <w:sz w:val="24"/>
          <w:szCs w:val="24"/>
        </w:rPr>
        <w:t xml:space="preserve"> 52, the evidence would be admissible because probative value would be outweighed by unfair prejudice but not </w:t>
      </w:r>
      <w:r w:rsidRPr="00732174">
        <w:rPr>
          <w:i/>
          <w:color w:val="auto"/>
          <w:sz w:val="24"/>
          <w:szCs w:val="24"/>
        </w:rPr>
        <w:t>substantially</w:t>
      </w:r>
      <w:r w:rsidRPr="00732174">
        <w:rPr>
          <w:color w:val="auto"/>
          <w:sz w:val="24"/>
          <w:szCs w:val="24"/>
        </w:rPr>
        <w:t xml:space="preserve"> outweighed by unfair prejudice. Only if probative value (</w:t>
      </w:r>
      <w:r w:rsidRPr="00732174">
        <w:rPr>
          <w:i/>
          <w:color w:val="auto"/>
          <w:sz w:val="24"/>
          <w:szCs w:val="24"/>
        </w:rPr>
        <w:t>e.g.</w:t>
      </w:r>
      <w:r w:rsidRPr="00732174">
        <w:rPr>
          <w:color w:val="auto"/>
          <w:sz w:val="24"/>
          <w:szCs w:val="24"/>
        </w:rPr>
        <w:t>, 40) were substantially outweighed by unfair prejudice (</w:t>
      </w:r>
      <w:r w:rsidRPr="00732174">
        <w:rPr>
          <w:i/>
          <w:color w:val="auto"/>
          <w:sz w:val="24"/>
          <w:szCs w:val="24"/>
        </w:rPr>
        <w:t>e.g.,</w:t>
      </w:r>
      <w:r w:rsidRPr="00732174">
        <w:rPr>
          <w:color w:val="auto"/>
          <w:sz w:val="24"/>
          <w:szCs w:val="24"/>
        </w:rPr>
        <w:t xml:space="preserve"> 60) would the evidence be inadmissible.</w:t>
      </w:r>
    </w:p>
    <w:p w:rsidR="00394721" w:rsidRPr="00732174" w:rsidRDefault="00394721" w:rsidP="00226032">
      <w:pPr>
        <w:pStyle w:val="Body"/>
        <w:rPr>
          <w:color w:val="auto"/>
          <w:sz w:val="24"/>
          <w:szCs w:val="24"/>
          <w:u w:val="single" w:color="0000FF"/>
        </w:rPr>
      </w:pPr>
      <w:r w:rsidRPr="00732174">
        <w:rPr>
          <w:color w:val="auto"/>
          <w:sz w:val="24"/>
          <w:szCs w:val="24"/>
          <w:u w:color="0000FF"/>
        </w:rPr>
        <w:t xml:space="preserve">In contrast, by stating that similar evidence offered in civil cases is admissible only if its probative value substantially outweighs its unfairly prejudicial effect, as well as its “harm to any victim,” </w:t>
      </w:r>
      <w:r w:rsidRPr="00732174">
        <w:rPr>
          <w:rFonts w:cs="Verdana"/>
          <w:color w:val="auto"/>
          <w:sz w:val="24"/>
          <w:szCs w:val="24"/>
          <w:u w:color="0000FF"/>
        </w:rPr>
        <w:t>Rule 412(b)(2)</w:t>
      </w:r>
      <w:r w:rsidRPr="00732174">
        <w:rPr>
          <w:color w:val="auto"/>
          <w:sz w:val="24"/>
          <w:szCs w:val="24"/>
          <w:u w:color="0000FF"/>
        </w:rPr>
        <w:t xml:space="preserve"> “reverses the usual approach” and tilts the balance toward inadmissibility in three regards according to the </w:t>
      </w:r>
      <w:r w:rsidRPr="00732174">
        <w:rPr>
          <w:rFonts w:cs="Verdana"/>
          <w:color w:val="auto"/>
          <w:sz w:val="24"/>
          <w:szCs w:val="24"/>
          <w:u w:color="0000FF"/>
        </w:rPr>
        <w:t>Advisory Committee</w:t>
      </w:r>
      <w:r w:rsidRPr="00732174">
        <w:rPr>
          <w:color w:val="auto"/>
          <w:sz w:val="24"/>
          <w:szCs w:val="24"/>
          <w:u w:color="0000FF"/>
        </w:rPr>
        <w:t>.</w:t>
      </w:r>
      <w:r w:rsidR="00AA0B31" w:rsidRPr="00732174">
        <w:rPr>
          <w:color w:val="auto"/>
          <w:sz w:val="24"/>
          <w:szCs w:val="24"/>
          <w:u w:color="0000FF"/>
        </w:rPr>
        <w:t xml:space="preserve"> </w:t>
      </w:r>
      <w:r w:rsidRPr="00732174">
        <w:rPr>
          <w:color w:val="auto"/>
          <w:sz w:val="24"/>
          <w:szCs w:val="24"/>
          <w:u w:color="0000FF"/>
        </w:rPr>
        <w:t xml:space="preserve">First, it “raises the threshold for admission by requiring that the probative value of the evidence substantially outweigh the </w:t>
      </w:r>
      <w:r w:rsidR="00527C66" w:rsidRPr="00732174">
        <w:rPr>
          <w:color w:val="auto"/>
          <w:sz w:val="24"/>
          <w:szCs w:val="24"/>
        </w:rPr>
        <w:t>specified dangers.”</w:t>
      </w:r>
      <w:r w:rsidR="00AA0B31" w:rsidRPr="00732174">
        <w:rPr>
          <w:color w:val="auto"/>
          <w:sz w:val="24"/>
          <w:szCs w:val="24"/>
          <w:u w:color="0000FF"/>
        </w:rPr>
        <w:t xml:space="preserve"> </w:t>
      </w:r>
      <w:r w:rsidRPr="00732174">
        <w:rPr>
          <w:color w:val="auto"/>
          <w:sz w:val="24"/>
          <w:szCs w:val="24"/>
          <w:u w:color="0000FF"/>
        </w:rPr>
        <w:t>Second, it “</w:t>
      </w:r>
      <w:proofErr w:type="gramStart"/>
      <w:r w:rsidRPr="00732174">
        <w:rPr>
          <w:color w:val="auto"/>
          <w:sz w:val="24"/>
          <w:szCs w:val="24"/>
          <w:u w:color="0000FF"/>
        </w:rPr>
        <w:t>shift[</w:t>
      </w:r>
      <w:proofErr w:type="gramEnd"/>
      <w:r w:rsidRPr="00732174">
        <w:rPr>
          <w:color w:val="auto"/>
          <w:sz w:val="24"/>
          <w:szCs w:val="24"/>
          <w:u w:color="0000FF"/>
        </w:rPr>
        <w:t xml:space="preserve">s] the burden to the proponent to demonstrate admissibility rather than making the opponent justify exclusion of </w:t>
      </w:r>
      <w:r w:rsidR="00527C66" w:rsidRPr="00732174">
        <w:rPr>
          <w:color w:val="auto"/>
          <w:sz w:val="24"/>
          <w:szCs w:val="24"/>
        </w:rPr>
        <w:t>the evidence.”</w:t>
      </w:r>
      <w:r w:rsidR="00AA0B31" w:rsidRPr="00732174">
        <w:rPr>
          <w:color w:val="auto"/>
          <w:sz w:val="24"/>
          <w:szCs w:val="24"/>
          <w:u w:color="0000FF"/>
        </w:rPr>
        <w:t xml:space="preserve"> </w:t>
      </w:r>
      <w:r w:rsidRPr="00732174">
        <w:rPr>
          <w:color w:val="auto"/>
          <w:sz w:val="24"/>
          <w:szCs w:val="24"/>
          <w:u w:color="0000FF"/>
        </w:rPr>
        <w:t xml:space="preserve">Third, it puts “harm to the victim” “on the scale in addition to prejudice to </w:t>
      </w:r>
      <w:r w:rsidR="00527C66" w:rsidRPr="00732174">
        <w:rPr>
          <w:color w:val="auto"/>
          <w:sz w:val="24"/>
          <w:szCs w:val="24"/>
        </w:rPr>
        <w:t>the parties.”</w:t>
      </w:r>
      <w:r w:rsidRPr="00732174">
        <w:rPr>
          <w:color w:val="auto"/>
          <w:sz w:val="24"/>
          <w:szCs w:val="24"/>
          <w:u w:color="0000FF"/>
        </w:rPr>
        <w:t xml:space="preserve"> </w:t>
      </w:r>
      <w:proofErr w:type="gramStart"/>
      <w:r w:rsidRPr="00732174">
        <w:rPr>
          <w:i/>
          <w:color w:val="auto"/>
          <w:sz w:val="24"/>
          <w:szCs w:val="24"/>
          <w:u w:color="0000FF"/>
        </w:rPr>
        <w:t>See, e.g</w:t>
      </w:r>
      <w:r w:rsidR="00CB3BC4" w:rsidRPr="00732174">
        <w:rPr>
          <w:i/>
          <w:color w:val="auto"/>
          <w:sz w:val="24"/>
          <w:szCs w:val="24"/>
          <w:u w:color="0000FF"/>
        </w:rPr>
        <w:t xml:space="preserve">., </w:t>
      </w:r>
      <w:hyperlink r:id="rId59" w:history="1">
        <w:r w:rsidRPr="00732174">
          <w:rPr>
            <w:rStyle w:val="Hyperlink"/>
            <w:rFonts w:cs="Verdana"/>
            <w:i/>
            <w:color w:val="auto"/>
            <w:sz w:val="24"/>
            <w:szCs w:val="24"/>
          </w:rPr>
          <w:t>B.K.B. v. Maui Police Dept.</w:t>
        </w:r>
      </w:hyperlink>
      <w:r w:rsidRPr="00732174">
        <w:rPr>
          <w:color w:val="auto"/>
          <w:sz w:val="24"/>
          <w:szCs w:val="24"/>
          <w:u w:color="0000FF"/>
        </w:rPr>
        <w:t>, 276 F.3d 1091, 1104 (9</w:t>
      </w:r>
      <w:r w:rsidR="00B05F45" w:rsidRPr="00732174">
        <w:rPr>
          <w:color w:val="auto"/>
          <w:sz w:val="24"/>
          <w:szCs w:val="24"/>
          <w:u w:color="0000FF"/>
        </w:rPr>
        <w:t>th</w:t>
      </w:r>
      <w:r w:rsidRPr="00732174">
        <w:rPr>
          <w:color w:val="auto"/>
          <w:sz w:val="24"/>
          <w:szCs w:val="24"/>
          <w:u w:color="0000FF"/>
        </w:rPr>
        <w:t xml:space="preserve"> Cir. 2002).</w:t>
      </w:r>
      <w:proofErr w:type="gramEnd"/>
    </w:p>
    <w:p w:rsidR="00394721" w:rsidRPr="00732174" w:rsidRDefault="00394721" w:rsidP="00226032">
      <w:pPr>
        <w:pStyle w:val="Body"/>
        <w:rPr>
          <w:color w:val="auto"/>
          <w:sz w:val="24"/>
          <w:szCs w:val="24"/>
        </w:rPr>
      </w:pPr>
      <w:r w:rsidRPr="00732174">
        <w:rPr>
          <w:color w:val="auto"/>
          <w:sz w:val="24"/>
          <w:szCs w:val="24"/>
          <w:u w:color="0000FF"/>
        </w:rPr>
        <w:t>Thus, if we tweak the facts of the above hypothetical to make it a civil sexual assault trial, it drastically alters the issue of admissibility.</w:t>
      </w:r>
      <w:r w:rsidR="00AA0B31" w:rsidRPr="00732174">
        <w:rPr>
          <w:color w:val="auto"/>
          <w:sz w:val="24"/>
          <w:szCs w:val="24"/>
          <w:u w:color="0000FF"/>
        </w:rPr>
        <w:t xml:space="preserve"> </w:t>
      </w:r>
      <w:r w:rsidRPr="00732174">
        <w:rPr>
          <w:color w:val="auto"/>
          <w:sz w:val="24"/>
          <w:szCs w:val="24"/>
          <w:u w:color="0000FF"/>
        </w:rPr>
        <w:t xml:space="preserve">In this case, for the judge to admit the “other sexual act” evidence of scratches, defense counsel would need to prove that its probative value substantially outweighs (1) the danger that the jury could </w:t>
      </w:r>
      <w:r w:rsidRPr="00732174">
        <w:rPr>
          <w:color w:val="auto"/>
          <w:sz w:val="24"/>
          <w:szCs w:val="24"/>
          <w:u w:color="0000FF"/>
        </w:rPr>
        <w:lastRenderedPageBreak/>
        <w:t xml:space="preserve">misuse this evidence as an indication that the alleged victim had a propensity to consent to sexual acts and thus likely consented to the sexual act at issue (its unfairly prejudicial effect); as well as (2) the harm to the victim, including the invasion of her privacy, her potential embarrassment, and the potential for the jury to engage in stereotypical thinking with regard to her. </w:t>
      </w:r>
      <w:r w:rsidRPr="00732174">
        <w:rPr>
          <w:i/>
          <w:color w:val="auto"/>
          <w:sz w:val="24"/>
          <w:szCs w:val="24"/>
          <w:u w:color="0000FF"/>
        </w:rPr>
        <w:t xml:space="preserve">See </w:t>
      </w:r>
      <w:r w:rsidRPr="00732174">
        <w:rPr>
          <w:rFonts w:cs="Verdana"/>
          <w:color w:val="auto"/>
          <w:sz w:val="24"/>
          <w:szCs w:val="24"/>
          <w:u w:color="0000FF"/>
        </w:rPr>
        <w:t>Advisory Committee's Note</w:t>
      </w:r>
      <w:r w:rsidRPr="00732174">
        <w:rPr>
          <w:color w:val="auto"/>
          <w:sz w:val="24"/>
          <w:szCs w:val="24"/>
          <w:u w:color="0000FF"/>
        </w:rPr>
        <w:t>.</w:t>
      </w:r>
      <w:r w:rsidRPr="00732174">
        <w:rPr>
          <w:color w:val="auto"/>
          <w:sz w:val="24"/>
          <w:szCs w:val="24"/>
        </w:rPr>
        <w:t xml:space="preserve"> </w:t>
      </w:r>
    </w:p>
    <w:p w:rsidR="00394721" w:rsidRPr="00732174" w:rsidRDefault="00394721" w:rsidP="00226032">
      <w:pPr>
        <w:pStyle w:val="Body"/>
        <w:rPr>
          <w:color w:val="auto"/>
          <w:sz w:val="24"/>
          <w:szCs w:val="24"/>
        </w:rPr>
      </w:pPr>
      <w:r w:rsidRPr="00732174">
        <w:rPr>
          <w:color w:val="auto"/>
          <w:sz w:val="24"/>
          <w:szCs w:val="24"/>
        </w:rPr>
        <w:t>Again, assume that probative value and unfair prejudice (as well as harm to the victim</w:t>
      </w:r>
      <w:r w:rsidR="00AD6FA3" w:rsidRPr="00732174">
        <w:rPr>
          <w:color w:val="auto"/>
          <w:sz w:val="24"/>
          <w:szCs w:val="24"/>
        </w:rPr>
        <w:t>)</w:t>
      </w:r>
      <w:r w:rsidRPr="00732174">
        <w:rPr>
          <w:color w:val="auto"/>
          <w:sz w:val="24"/>
          <w:szCs w:val="24"/>
        </w:rPr>
        <w:t xml:space="preserve"> were scored from 1-100. Now, if evidence of the other sexual acts had a probative value equal to or lesser than unfair prejudice and harm to the victim – </w:t>
      </w:r>
      <w:r w:rsidRPr="00732174">
        <w:rPr>
          <w:i/>
          <w:color w:val="auto"/>
          <w:sz w:val="24"/>
          <w:szCs w:val="24"/>
        </w:rPr>
        <w:t>e.g.,</w:t>
      </w:r>
      <w:r w:rsidRPr="00732174">
        <w:rPr>
          <w:color w:val="auto"/>
          <w:sz w:val="24"/>
          <w:szCs w:val="24"/>
        </w:rPr>
        <w:t xml:space="preserve"> 50 vs. 50 (combined) – it would be inadmissible. Even if the probative value of the evidence were slightly higher than unfair prejudice – </w:t>
      </w:r>
      <w:r w:rsidRPr="00732174">
        <w:rPr>
          <w:i/>
          <w:color w:val="auto"/>
          <w:sz w:val="24"/>
          <w:szCs w:val="24"/>
        </w:rPr>
        <w:t>e.g.,</w:t>
      </w:r>
      <w:r w:rsidRPr="00732174">
        <w:rPr>
          <w:color w:val="auto"/>
          <w:sz w:val="24"/>
          <w:szCs w:val="24"/>
        </w:rPr>
        <w:t xml:space="preserve"> 52 vs. 48 (combined) – the evidence would be inadmissible because probative value would outweigh prejudicial effect but not </w:t>
      </w:r>
      <w:r w:rsidRPr="00732174">
        <w:rPr>
          <w:i/>
          <w:color w:val="auto"/>
          <w:sz w:val="24"/>
          <w:szCs w:val="24"/>
        </w:rPr>
        <w:t>substantially</w:t>
      </w:r>
      <w:r w:rsidRPr="00732174">
        <w:rPr>
          <w:color w:val="auto"/>
          <w:sz w:val="24"/>
          <w:szCs w:val="24"/>
        </w:rPr>
        <w:t xml:space="preserve"> outweigh prejudicial effect. Only if probative value (</w:t>
      </w:r>
      <w:r w:rsidRPr="00732174">
        <w:rPr>
          <w:i/>
          <w:color w:val="auto"/>
          <w:sz w:val="24"/>
          <w:szCs w:val="24"/>
        </w:rPr>
        <w:t>e.g.,</w:t>
      </w:r>
      <w:r w:rsidRPr="00732174">
        <w:rPr>
          <w:color w:val="auto"/>
          <w:sz w:val="24"/>
          <w:szCs w:val="24"/>
        </w:rPr>
        <w:t xml:space="preserve"> 60) substantially outweighed unfair prejudice </w:t>
      </w:r>
      <w:r w:rsidRPr="00732174">
        <w:rPr>
          <w:b/>
          <w:color w:val="auto"/>
          <w:sz w:val="24"/>
          <w:szCs w:val="24"/>
        </w:rPr>
        <w:t xml:space="preserve">and </w:t>
      </w:r>
      <w:r w:rsidRPr="00732174">
        <w:rPr>
          <w:color w:val="auto"/>
          <w:sz w:val="24"/>
          <w:szCs w:val="24"/>
        </w:rPr>
        <w:t>harm to the victim (</w:t>
      </w:r>
      <w:r w:rsidRPr="00732174">
        <w:rPr>
          <w:i/>
          <w:color w:val="auto"/>
          <w:sz w:val="24"/>
          <w:szCs w:val="24"/>
        </w:rPr>
        <w:t>e.g.,</w:t>
      </w:r>
      <w:r w:rsidRPr="00732174">
        <w:rPr>
          <w:color w:val="auto"/>
          <w:sz w:val="24"/>
          <w:szCs w:val="24"/>
        </w:rPr>
        <w:t xml:space="preserve"> 40 combined) would the evidence be admissible</w:t>
      </w:r>
    </w:p>
    <w:p w:rsidR="00394721" w:rsidRPr="00732174" w:rsidRDefault="00394721" w:rsidP="00226032">
      <w:pPr>
        <w:pStyle w:val="Body"/>
        <w:rPr>
          <w:color w:val="auto"/>
          <w:sz w:val="24"/>
          <w:szCs w:val="24"/>
        </w:rPr>
      </w:pPr>
      <w:r w:rsidRPr="00732174">
        <w:rPr>
          <w:color w:val="auto"/>
          <w:sz w:val="24"/>
          <w:szCs w:val="24"/>
        </w:rPr>
        <w:t>Rule 412(b</w:t>
      </w:r>
      <w:proofErr w:type="gramStart"/>
      <w:r w:rsidRPr="00732174">
        <w:rPr>
          <w:color w:val="auto"/>
          <w:sz w:val="24"/>
          <w:szCs w:val="24"/>
        </w:rPr>
        <w:t>)(</w:t>
      </w:r>
      <w:proofErr w:type="gramEnd"/>
      <w:r w:rsidRPr="00732174">
        <w:rPr>
          <w:color w:val="auto"/>
          <w:sz w:val="24"/>
          <w:szCs w:val="24"/>
        </w:rPr>
        <w:t>2) also provides that “[e]</w:t>
      </w:r>
      <w:proofErr w:type="spellStart"/>
      <w:r w:rsidRPr="00732174">
        <w:rPr>
          <w:color w:val="auto"/>
          <w:sz w:val="24"/>
          <w:szCs w:val="24"/>
        </w:rPr>
        <w:t>vidence</w:t>
      </w:r>
      <w:proofErr w:type="spellEnd"/>
      <w:r w:rsidRPr="00732174">
        <w:rPr>
          <w:color w:val="auto"/>
          <w:sz w:val="24"/>
          <w:szCs w:val="24"/>
        </w:rPr>
        <w:t xml:space="preserve"> of an alleged victim's reputation is admissible only if it has been placed in controversy by the alleged victim.” Thus, if a plaintiff brings an action alleging employment discrimination based upon a sexually hostile work environment but does not seek reputational damages or make allegations relating to her professional reputation, she has not opened the door for reputational evidence to be admitted. </w:t>
      </w:r>
      <w:r w:rsidRPr="00732174">
        <w:rPr>
          <w:i/>
          <w:color w:val="auto"/>
          <w:sz w:val="24"/>
          <w:szCs w:val="24"/>
        </w:rPr>
        <w:t>See, e.g.,</w:t>
      </w:r>
      <w:r w:rsidRPr="00732174">
        <w:rPr>
          <w:color w:val="auto"/>
          <w:sz w:val="24"/>
          <w:szCs w:val="24"/>
        </w:rPr>
        <w:t xml:space="preserve"> </w:t>
      </w:r>
      <w:r w:rsidRPr="00732174">
        <w:rPr>
          <w:rFonts w:cs="Verdana"/>
          <w:i/>
          <w:color w:val="auto"/>
          <w:sz w:val="24"/>
          <w:szCs w:val="24"/>
        </w:rPr>
        <w:t>Macklin v. Mendenhall</w:t>
      </w:r>
      <w:r w:rsidRPr="00732174">
        <w:rPr>
          <w:color w:val="auto"/>
          <w:sz w:val="24"/>
          <w:szCs w:val="24"/>
        </w:rPr>
        <w:t>, 257 F.R.D. 596, 604 (E.D. Cal. 2009) (“A review of the allegations and other information before the Court discloses no sufficient evidence showing that Plaintiff has placed her reputation in controversy in this matter”).</w:t>
      </w:r>
    </w:p>
    <w:p w:rsidR="00394721" w:rsidRPr="00732174" w:rsidRDefault="00394721" w:rsidP="00226032">
      <w:pPr>
        <w:pStyle w:val="Body"/>
        <w:rPr>
          <w:color w:val="auto"/>
          <w:sz w:val="24"/>
          <w:szCs w:val="24"/>
        </w:rPr>
      </w:pPr>
      <w:r w:rsidRPr="00732174">
        <w:rPr>
          <w:color w:val="auto"/>
          <w:sz w:val="24"/>
          <w:szCs w:val="24"/>
        </w:rPr>
        <w:t xml:space="preserve">This </w:t>
      </w:r>
      <w:r w:rsidRPr="00732174">
        <w:rPr>
          <w:i/>
          <w:color w:val="auto"/>
          <w:sz w:val="24"/>
          <w:szCs w:val="24"/>
        </w:rPr>
        <w:t>per se</w:t>
      </w:r>
      <w:r w:rsidRPr="00732174">
        <w:rPr>
          <w:color w:val="auto"/>
          <w:sz w:val="24"/>
          <w:szCs w:val="24"/>
        </w:rPr>
        <w:t xml:space="preserve"> portion of </w:t>
      </w:r>
      <w:r w:rsidRPr="00732174">
        <w:rPr>
          <w:rFonts w:cs="Verdana"/>
          <w:color w:val="auto"/>
          <w:sz w:val="24"/>
          <w:szCs w:val="24"/>
        </w:rPr>
        <w:t>Rule 412(b</w:t>
      </w:r>
      <w:proofErr w:type="gramStart"/>
      <w:r w:rsidRPr="00732174">
        <w:rPr>
          <w:rFonts w:cs="Verdana"/>
          <w:color w:val="auto"/>
          <w:sz w:val="24"/>
          <w:szCs w:val="24"/>
        </w:rPr>
        <w:t>)(</w:t>
      </w:r>
      <w:proofErr w:type="gramEnd"/>
      <w:r w:rsidRPr="00732174">
        <w:rPr>
          <w:rFonts w:cs="Verdana"/>
          <w:color w:val="auto"/>
          <w:sz w:val="24"/>
          <w:szCs w:val="24"/>
        </w:rPr>
        <w:t>2)</w:t>
      </w:r>
      <w:r w:rsidRPr="00732174">
        <w:rPr>
          <w:color w:val="auto"/>
          <w:sz w:val="24"/>
          <w:szCs w:val="24"/>
        </w:rPr>
        <w:t xml:space="preserve">, however, only precludes evidence related to an alleged victim’s </w:t>
      </w:r>
      <w:r w:rsidRPr="00732174">
        <w:rPr>
          <w:i/>
          <w:color w:val="auto"/>
          <w:sz w:val="24"/>
          <w:szCs w:val="24"/>
        </w:rPr>
        <w:t>reputation</w:t>
      </w:r>
      <w:r w:rsidRPr="00732174">
        <w:rPr>
          <w:color w:val="auto"/>
          <w:sz w:val="24"/>
          <w:szCs w:val="24"/>
        </w:rPr>
        <w:t xml:space="preserve"> (</w:t>
      </w:r>
      <w:r w:rsidRPr="00732174">
        <w:rPr>
          <w:i/>
          <w:color w:val="auto"/>
          <w:sz w:val="24"/>
          <w:szCs w:val="24"/>
        </w:rPr>
        <w:t>e.g.,</w:t>
      </w:r>
      <w:r w:rsidRPr="00732174">
        <w:rPr>
          <w:color w:val="auto"/>
          <w:sz w:val="24"/>
          <w:szCs w:val="24"/>
        </w:rPr>
        <w:t xml:space="preserve"> for promiscuity).</w:t>
      </w:r>
      <w:r w:rsidR="00AA0B31" w:rsidRPr="00732174">
        <w:rPr>
          <w:color w:val="auto"/>
          <w:sz w:val="24"/>
          <w:szCs w:val="24"/>
        </w:rPr>
        <w:t xml:space="preserve"> </w:t>
      </w:r>
      <w:r w:rsidRPr="00732174">
        <w:rPr>
          <w:color w:val="auto"/>
          <w:sz w:val="24"/>
          <w:szCs w:val="24"/>
        </w:rPr>
        <w:t xml:space="preserve">In </w:t>
      </w:r>
      <w:hyperlink r:id="rId60" w:history="1">
        <w:proofErr w:type="spellStart"/>
        <w:r w:rsidRPr="00732174">
          <w:rPr>
            <w:rStyle w:val="Hyperlink"/>
            <w:rFonts w:cs="Verdana"/>
            <w:i/>
            <w:color w:val="auto"/>
            <w:sz w:val="24"/>
            <w:szCs w:val="24"/>
          </w:rPr>
          <w:t>Seybert</w:t>
        </w:r>
        <w:proofErr w:type="spellEnd"/>
        <w:r w:rsidRPr="00732174">
          <w:rPr>
            <w:rStyle w:val="Hyperlink"/>
            <w:rFonts w:cs="Verdana"/>
            <w:i/>
            <w:color w:val="auto"/>
            <w:sz w:val="24"/>
            <w:szCs w:val="24"/>
          </w:rPr>
          <w:t xml:space="preserve"> v. International Group, Inc.</w:t>
        </w:r>
      </w:hyperlink>
      <w:r w:rsidRPr="00732174">
        <w:rPr>
          <w:color w:val="auto"/>
          <w:sz w:val="24"/>
          <w:szCs w:val="24"/>
        </w:rPr>
        <w:t xml:space="preserve">, 2009 WL 3297304 (E.D. Pa. 2009), the court rejected the plaintiff’s argument that emails she sent containing sexual stories, jokes, images, and metaphors were </w:t>
      </w:r>
      <w:r w:rsidRPr="00732174">
        <w:rPr>
          <w:i/>
          <w:color w:val="auto"/>
          <w:sz w:val="24"/>
          <w:szCs w:val="24"/>
        </w:rPr>
        <w:t>per se</w:t>
      </w:r>
      <w:r w:rsidRPr="00732174">
        <w:rPr>
          <w:color w:val="auto"/>
          <w:sz w:val="24"/>
          <w:szCs w:val="24"/>
        </w:rPr>
        <w:t xml:space="preserve"> inadmissible under </w:t>
      </w:r>
      <w:r w:rsidRPr="00732174">
        <w:rPr>
          <w:rFonts w:cs="Verdana"/>
          <w:color w:val="auto"/>
          <w:sz w:val="24"/>
          <w:szCs w:val="24"/>
        </w:rPr>
        <w:t>Rule 412(b</w:t>
      </w:r>
      <w:proofErr w:type="gramStart"/>
      <w:r w:rsidRPr="00732174">
        <w:rPr>
          <w:rFonts w:cs="Verdana"/>
          <w:color w:val="auto"/>
          <w:sz w:val="24"/>
          <w:szCs w:val="24"/>
        </w:rPr>
        <w:t>)(</w:t>
      </w:r>
      <w:proofErr w:type="gramEnd"/>
      <w:r w:rsidRPr="00732174">
        <w:rPr>
          <w:rFonts w:cs="Verdana"/>
          <w:color w:val="auto"/>
          <w:sz w:val="24"/>
          <w:szCs w:val="24"/>
        </w:rPr>
        <w:t>2)</w:t>
      </w:r>
      <w:r w:rsidRPr="00732174">
        <w:rPr>
          <w:color w:val="auto"/>
          <w:sz w:val="24"/>
          <w:szCs w:val="24"/>
        </w:rPr>
        <w:t xml:space="preserve">, concluding that “none of the emails bear on Mrs. </w:t>
      </w:r>
      <w:proofErr w:type="spellStart"/>
      <w:r w:rsidRPr="00732174">
        <w:rPr>
          <w:color w:val="auto"/>
          <w:sz w:val="24"/>
          <w:szCs w:val="24"/>
        </w:rPr>
        <w:t>Seybert's</w:t>
      </w:r>
      <w:proofErr w:type="spellEnd"/>
      <w:r w:rsidRPr="00732174">
        <w:rPr>
          <w:color w:val="auto"/>
          <w:sz w:val="24"/>
          <w:szCs w:val="24"/>
        </w:rPr>
        <w:t xml:space="preserve"> personal sexual “reputation” </w:t>
      </w:r>
      <w:r w:rsidRPr="00732174">
        <w:rPr>
          <w:i/>
          <w:iCs/>
          <w:color w:val="auto"/>
          <w:sz w:val="24"/>
          <w:szCs w:val="24"/>
        </w:rPr>
        <w:t>per se,</w:t>
      </w:r>
      <w:r w:rsidRPr="00732174">
        <w:rPr>
          <w:color w:val="auto"/>
          <w:sz w:val="24"/>
          <w:szCs w:val="24"/>
        </w:rPr>
        <w:t xml:space="preserve"> in </w:t>
      </w:r>
      <w:r w:rsidRPr="00732174">
        <w:rPr>
          <w:color w:val="auto"/>
          <w:sz w:val="24"/>
          <w:szCs w:val="24"/>
        </w:rPr>
        <w:lastRenderedPageBreak/>
        <w:t xml:space="preserve">that none of them involve her actual or alleged personal sexual activity.” </w:t>
      </w:r>
      <w:proofErr w:type="gramStart"/>
      <w:r w:rsidRPr="00732174">
        <w:rPr>
          <w:rFonts w:cs="Verdana"/>
          <w:i/>
          <w:color w:val="auto"/>
          <w:sz w:val="24"/>
          <w:szCs w:val="24"/>
        </w:rPr>
        <w:t>Id</w:t>
      </w:r>
      <w:r w:rsidRPr="00732174">
        <w:rPr>
          <w:rFonts w:cs="Verdana"/>
          <w:color w:val="auto"/>
          <w:sz w:val="24"/>
          <w:szCs w:val="24"/>
        </w:rPr>
        <w:t>. at *3</w:t>
      </w:r>
      <w:r w:rsidRPr="00732174">
        <w:rPr>
          <w:color w:val="auto"/>
          <w:sz w:val="24"/>
          <w:szCs w:val="24"/>
        </w:rPr>
        <w:t>.</w:t>
      </w:r>
      <w:proofErr w:type="gramEnd"/>
    </w:p>
    <w:p w:rsidR="00394721" w:rsidRPr="00732174" w:rsidRDefault="00394721" w:rsidP="00226032">
      <w:pPr>
        <w:pStyle w:val="Body"/>
        <w:rPr>
          <w:color w:val="auto"/>
          <w:sz w:val="24"/>
          <w:szCs w:val="24"/>
        </w:rPr>
      </w:pPr>
      <w:r w:rsidRPr="00732174">
        <w:rPr>
          <w:rFonts w:cs="Verdana"/>
          <w:color w:val="auto"/>
          <w:sz w:val="24"/>
          <w:szCs w:val="24"/>
        </w:rPr>
        <w:t>Rule 412(b</w:t>
      </w:r>
      <w:proofErr w:type="gramStart"/>
      <w:r w:rsidRPr="00732174">
        <w:rPr>
          <w:rFonts w:cs="Verdana"/>
          <w:color w:val="auto"/>
          <w:sz w:val="24"/>
          <w:szCs w:val="24"/>
        </w:rPr>
        <w:t>)(</w:t>
      </w:r>
      <w:proofErr w:type="gramEnd"/>
      <w:r w:rsidRPr="00732174">
        <w:rPr>
          <w:rFonts w:cs="Verdana"/>
          <w:color w:val="auto"/>
          <w:sz w:val="24"/>
          <w:szCs w:val="24"/>
        </w:rPr>
        <w:t>2)</w:t>
      </w:r>
      <w:r w:rsidRPr="00732174">
        <w:rPr>
          <w:color w:val="auto"/>
          <w:sz w:val="24"/>
          <w:szCs w:val="24"/>
        </w:rPr>
        <w:t xml:space="preserve"> technically only applies to the admissibility of evidence at trial while </w:t>
      </w:r>
      <w:hyperlink r:id="rId61" w:history="1">
        <w:r w:rsidRPr="00732174">
          <w:rPr>
            <w:rStyle w:val="Hyperlink"/>
            <w:rFonts w:cs="Verdana"/>
            <w:color w:val="auto"/>
            <w:sz w:val="24"/>
            <w:szCs w:val="24"/>
          </w:rPr>
          <w:t>Federal Rule of Civil Procedure 26</w:t>
        </w:r>
      </w:hyperlink>
      <w:r w:rsidRPr="00732174">
        <w:rPr>
          <w:color w:val="auto"/>
          <w:sz w:val="24"/>
          <w:szCs w:val="24"/>
        </w:rPr>
        <w:t xml:space="preserve"> addresses the extent to which evidence about an alleged victim’s sexual behavior and/or predisposition is discoverable.</w:t>
      </w:r>
      <w:r w:rsidR="00AA0B31" w:rsidRPr="00732174">
        <w:rPr>
          <w:color w:val="auto"/>
          <w:sz w:val="24"/>
          <w:szCs w:val="24"/>
        </w:rPr>
        <w:t xml:space="preserve"> </w:t>
      </w:r>
      <w:r w:rsidRPr="00732174">
        <w:rPr>
          <w:color w:val="auto"/>
          <w:sz w:val="24"/>
          <w:szCs w:val="24"/>
        </w:rPr>
        <w:t xml:space="preserve">That said, the </w:t>
      </w:r>
      <w:r w:rsidRPr="00732174">
        <w:rPr>
          <w:rFonts w:cs="Verdana"/>
          <w:color w:val="auto"/>
          <w:sz w:val="24"/>
          <w:szCs w:val="24"/>
        </w:rPr>
        <w:t>Advisory Committee’s Note</w:t>
      </w:r>
      <w:r w:rsidRPr="00732174">
        <w:rPr>
          <w:color w:val="auto"/>
          <w:sz w:val="24"/>
          <w:szCs w:val="24"/>
        </w:rPr>
        <w:t xml:space="preserve"> to </w:t>
      </w:r>
      <w:r w:rsidRPr="00732174">
        <w:rPr>
          <w:rFonts w:cs="Verdana"/>
          <w:color w:val="auto"/>
          <w:sz w:val="24"/>
          <w:szCs w:val="24"/>
        </w:rPr>
        <w:t>Rule 412</w:t>
      </w:r>
      <w:r w:rsidRPr="00732174">
        <w:rPr>
          <w:color w:val="auto"/>
          <w:sz w:val="24"/>
          <w:szCs w:val="24"/>
        </w:rPr>
        <w:t xml:space="preserve"> states that</w:t>
      </w:r>
    </w:p>
    <w:p w:rsidR="00394721" w:rsidRPr="00732174" w:rsidRDefault="00394721" w:rsidP="00226032">
      <w:pPr>
        <w:pStyle w:val="BlockQuote"/>
        <w:rPr>
          <w:color w:val="auto"/>
          <w:sz w:val="24"/>
          <w:szCs w:val="24"/>
        </w:rPr>
      </w:pPr>
      <w:r w:rsidRPr="00732174">
        <w:rPr>
          <w:color w:val="auto"/>
          <w:sz w:val="24"/>
          <w:szCs w:val="24"/>
        </w:rPr>
        <w:t xml:space="preserve">In order not to undermine the rationale of </w:t>
      </w:r>
      <w:r w:rsidRPr="00732174">
        <w:rPr>
          <w:rFonts w:cs="Verdana"/>
          <w:color w:val="auto"/>
          <w:sz w:val="24"/>
          <w:szCs w:val="24"/>
        </w:rPr>
        <w:t>Rule 412</w:t>
      </w:r>
      <w:r w:rsidRPr="00732174">
        <w:rPr>
          <w:color w:val="auto"/>
          <w:sz w:val="24"/>
          <w:szCs w:val="24"/>
        </w:rPr>
        <w:t xml:space="preserve">, however, courts should enter appropriate orders pursuant to </w:t>
      </w:r>
      <w:r w:rsidRPr="00732174">
        <w:rPr>
          <w:rFonts w:cs="Verdana"/>
          <w:color w:val="auto"/>
          <w:sz w:val="24"/>
          <w:szCs w:val="24"/>
        </w:rPr>
        <w:t>Fed. R. Civ. P. 26(c)</w:t>
      </w:r>
      <w:r w:rsidRPr="00732174">
        <w:rPr>
          <w:color w:val="auto"/>
          <w:sz w:val="24"/>
          <w:szCs w:val="24"/>
        </w:rPr>
        <w:t xml:space="preserve"> to protect the victim against unwarranted inquiries and to ensure confidentiality. Courts should presumptively issue protective orders barring discovery unless the party seeking discovery makes a showing that the evidence sought to be discovered would be relevant under the facts and theories of the particular case, and cannot be obtained except through discovery. In an action for sexual harassment, for instance, while some evidence of the alleged victim's sexual behavior and/or predisposition in the workplace may perhaps be relevant, non-work place conduct will usually be irrelevant</w:t>
      </w:r>
      <w:r w:rsidR="00A615EE" w:rsidRPr="00732174">
        <w:rPr>
          <w:color w:val="auto"/>
          <w:sz w:val="24"/>
          <w:szCs w:val="24"/>
        </w:rPr>
        <w:t xml:space="preserve">…. </w:t>
      </w:r>
      <w:r w:rsidRPr="00732174">
        <w:rPr>
          <w:color w:val="auto"/>
          <w:sz w:val="24"/>
          <w:szCs w:val="24"/>
        </w:rPr>
        <w:t>Confidentiality orders should be presumptively granted as well.</w:t>
      </w:r>
    </w:p>
    <w:p w:rsidR="00394721" w:rsidRPr="00732174" w:rsidRDefault="00394721" w:rsidP="00226032">
      <w:pPr>
        <w:pStyle w:val="Body"/>
        <w:rPr>
          <w:color w:val="auto"/>
          <w:sz w:val="24"/>
          <w:szCs w:val="24"/>
        </w:rPr>
      </w:pPr>
      <w:r w:rsidRPr="00732174">
        <w:rPr>
          <w:color w:val="auto"/>
          <w:sz w:val="24"/>
          <w:szCs w:val="24"/>
        </w:rPr>
        <w:t xml:space="preserve">Numerous courts have relied upon this language to issue protective orders and confidentiality orders when defendants seek discovery of evidence of plaintiffs’ sexual pasts when such evidence is unlikely to be admissible under the rape shield rue. </w:t>
      </w:r>
      <w:proofErr w:type="gramStart"/>
      <w:r w:rsidRPr="00732174">
        <w:rPr>
          <w:i/>
          <w:color w:val="auto"/>
          <w:sz w:val="24"/>
          <w:szCs w:val="24"/>
        </w:rPr>
        <w:t xml:space="preserve">See, e.g., </w:t>
      </w:r>
      <w:hyperlink r:id="rId62" w:history="1">
        <w:r w:rsidRPr="00732174">
          <w:rPr>
            <w:rStyle w:val="Hyperlink"/>
            <w:rFonts w:cs="Verdana"/>
            <w:i/>
            <w:color w:val="auto"/>
            <w:sz w:val="24"/>
            <w:szCs w:val="24"/>
          </w:rPr>
          <w:t>E.E.O.C. v. Donohue</w:t>
        </w:r>
      </w:hyperlink>
      <w:r w:rsidRPr="00732174">
        <w:rPr>
          <w:color w:val="auto"/>
          <w:sz w:val="24"/>
          <w:szCs w:val="24"/>
        </w:rPr>
        <w:t>, 746 F.</w:t>
      </w:r>
      <w:r w:rsidR="00117CB7" w:rsidRPr="00732174">
        <w:rPr>
          <w:color w:val="auto"/>
          <w:sz w:val="24"/>
          <w:szCs w:val="24"/>
        </w:rPr>
        <w:t xml:space="preserve"> </w:t>
      </w:r>
      <w:r w:rsidRPr="00732174">
        <w:rPr>
          <w:color w:val="auto"/>
          <w:sz w:val="24"/>
          <w:szCs w:val="24"/>
        </w:rPr>
        <w:t>Supp.2d 662, 665 (W.D. Pa. 2010).</w:t>
      </w:r>
      <w:proofErr w:type="gramEnd"/>
      <w:r w:rsidRPr="00732174">
        <w:rPr>
          <w:color w:val="auto"/>
          <w:sz w:val="24"/>
          <w:szCs w:val="24"/>
        </w:rPr>
        <w:t xml:space="preserve"> </w:t>
      </w:r>
    </w:p>
    <w:p w:rsidR="008F7B19" w:rsidRPr="00732174" w:rsidRDefault="00394721" w:rsidP="00A96494">
      <w:pPr>
        <w:pStyle w:val="HypoHeading"/>
        <w:rPr>
          <w:sz w:val="24"/>
          <w:szCs w:val="24"/>
        </w:rPr>
      </w:pPr>
      <w:bookmarkStart w:id="23" w:name="_Toc315873685"/>
      <w:r w:rsidRPr="00732174">
        <w:rPr>
          <w:sz w:val="24"/>
          <w:szCs w:val="24"/>
        </w:rPr>
        <w:t>Hypothetical 7</w:t>
      </w:r>
      <w:bookmarkEnd w:id="23"/>
    </w:p>
    <w:p w:rsidR="00394721" w:rsidRPr="00732174" w:rsidRDefault="00394721" w:rsidP="00226032">
      <w:pPr>
        <w:pStyle w:val="CaseBody"/>
        <w:rPr>
          <w:rFonts w:cs="Verdana"/>
          <w:color w:val="auto"/>
          <w:sz w:val="24"/>
          <w:szCs w:val="24"/>
        </w:rPr>
      </w:pPr>
      <w:r w:rsidRPr="00732174">
        <w:rPr>
          <w:color w:val="auto"/>
          <w:sz w:val="24"/>
          <w:szCs w:val="24"/>
        </w:rPr>
        <w:t xml:space="preserve">Tanya </w:t>
      </w:r>
      <w:proofErr w:type="spellStart"/>
      <w:r w:rsidRPr="00732174">
        <w:rPr>
          <w:color w:val="auto"/>
          <w:sz w:val="24"/>
          <w:szCs w:val="24"/>
        </w:rPr>
        <w:t>Giron</w:t>
      </w:r>
      <w:proofErr w:type="spellEnd"/>
      <w:r w:rsidRPr="00732174">
        <w:rPr>
          <w:color w:val="auto"/>
          <w:sz w:val="24"/>
          <w:szCs w:val="24"/>
        </w:rPr>
        <w:t xml:space="preserve"> brings a </w:t>
      </w:r>
      <w:hyperlink r:id="rId63" w:history="1">
        <w:r w:rsidRPr="00732174">
          <w:rPr>
            <w:rStyle w:val="Hyperlink"/>
            <w:color w:val="auto"/>
            <w:sz w:val="24"/>
            <w:szCs w:val="24"/>
          </w:rPr>
          <w:t>Section 1983</w:t>
        </w:r>
      </w:hyperlink>
      <w:r w:rsidRPr="00732174">
        <w:rPr>
          <w:color w:val="auto"/>
          <w:sz w:val="24"/>
          <w:szCs w:val="24"/>
        </w:rPr>
        <w:t xml:space="preserve"> action for violation of her </w:t>
      </w:r>
      <w:hyperlink r:id="rId64" w:history="1">
        <w:r w:rsidRPr="00732174">
          <w:rPr>
            <w:rStyle w:val="Hyperlink"/>
            <w:color w:val="auto"/>
            <w:sz w:val="24"/>
            <w:szCs w:val="24"/>
          </w:rPr>
          <w:t>Eighth Amendment</w:t>
        </w:r>
      </w:hyperlink>
      <w:r w:rsidRPr="00732174">
        <w:rPr>
          <w:color w:val="auto"/>
          <w:sz w:val="24"/>
          <w:szCs w:val="24"/>
        </w:rPr>
        <w:t xml:space="preserve"> rights against Torres, claiming that she was forcibly raped by him while she was an inmate.</w:t>
      </w:r>
      <w:r w:rsidR="00AA0B31" w:rsidRPr="00732174">
        <w:rPr>
          <w:color w:val="auto"/>
          <w:sz w:val="24"/>
          <w:szCs w:val="24"/>
        </w:rPr>
        <w:t xml:space="preserve"> </w:t>
      </w:r>
      <w:r w:rsidRPr="00732174">
        <w:rPr>
          <w:color w:val="auto"/>
          <w:sz w:val="24"/>
          <w:szCs w:val="24"/>
        </w:rPr>
        <w:t xml:space="preserve">During discovery, Torres asks </w:t>
      </w:r>
      <w:proofErr w:type="spellStart"/>
      <w:r w:rsidRPr="00732174">
        <w:rPr>
          <w:color w:val="auto"/>
          <w:sz w:val="24"/>
          <w:szCs w:val="24"/>
        </w:rPr>
        <w:t>Giron</w:t>
      </w:r>
      <w:proofErr w:type="spellEnd"/>
      <w:r w:rsidRPr="00732174">
        <w:rPr>
          <w:color w:val="auto"/>
          <w:sz w:val="24"/>
          <w:szCs w:val="24"/>
        </w:rPr>
        <w:t xml:space="preserve"> to respond to an interrogatory that asks her to identify </w:t>
      </w:r>
      <w:r w:rsidRPr="00732174">
        <w:rPr>
          <w:rFonts w:cs="Verdana"/>
          <w:color w:val="auto"/>
          <w:sz w:val="24"/>
          <w:szCs w:val="24"/>
        </w:rPr>
        <w:t xml:space="preserve">and give extensive information about </w:t>
      </w:r>
      <w:r w:rsidRPr="00732174">
        <w:rPr>
          <w:rFonts w:cs="Verdana"/>
          <w:i/>
          <w:iCs/>
          <w:color w:val="auto"/>
          <w:sz w:val="24"/>
          <w:szCs w:val="24"/>
        </w:rPr>
        <w:lastRenderedPageBreak/>
        <w:t>all</w:t>
      </w:r>
      <w:r w:rsidRPr="00732174">
        <w:rPr>
          <w:rFonts w:cs="Verdana"/>
          <w:color w:val="auto"/>
          <w:sz w:val="24"/>
          <w:szCs w:val="24"/>
        </w:rPr>
        <w:t xml:space="preserve"> persons with whom she had had sexual contact, without any time restriction. The Magistrate Judge entered an order compelling </w:t>
      </w:r>
      <w:proofErr w:type="spellStart"/>
      <w:r w:rsidRPr="00732174">
        <w:rPr>
          <w:rFonts w:cs="Verdana"/>
          <w:color w:val="auto"/>
          <w:sz w:val="24"/>
          <w:szCs w:val="24"/>
        </w:rPr>
        <w:t>Giron</w:t>
      </w:r>
      <w:proofErr w:type="spellEnd"/>
      <w:r w:rsidRPr="00732174">
        <w:rPr>
          <w:rFonts w:cs="Verdana"/>
          <w:color w:val="auto"/>
          <w:sz w:val="24"/>
          <w:szCs w:val="24"/>
        </w:rPr>
        <w:t xml:space="preserve"> to respond to the interrogatory by listing “persons with whom she has had sexual contacts in the five years prior to and the time period since the rape which forms the basis of the complaint.”</w:t>
      </w:r>
      <w:r w:rsidR="00AA0B31" w:rsidRPr="00732174">
        <w:rPr>
          <w:rFonts w:cs="Verdana"/>
          <w:color w:val="auto"/>
          <w:sz w:val="24"/>
          <w:szCs w:val="24"/>
        </w:rPr>
        <w:t xml:space="preserve"> </w:t>
      </w:r>
      <w:r w:rsidRPr="00732174">
        <w:rPr>
          <w:rFonts w:cs="Verdana"/>
          <w:color w:val="auto"/>
          <w:sz w:val="24"/>
          <w:szCs w:val="24"/>
        </w:rPr>
        <w:t xml:space="preserve">You represent </w:t>
      </w:r>
      <w:proofErr w:type="spellStart"/>
      <w:r w:rsidRPr="00732174">
        <w:rPr>
          <w:rFonts w:cs="Verdana"/>
          <w:color w:val="auto"/>
          <w:sz w:val="24"/>
          <w:szCs w:val="24"/>
        </w:rPr>
        <w:t>Giron</w:t>
      </w:r>
      <w:proofErr w:type="spellEnd"/>
      <w:r w:rsidRPr="00732174">
        <w:rPr>
          <w:rFonts w:cs="Verdana"/>
          <w:color w:val="auto"/>
          <w:sz w:val="24"/>
          <w:szCs w:val="24"/>
        </w:rPr>
        <w:t xml:space="preserve"> in her appeal of this order.</w:t>
      </w:r>
      <w:r w:rsidR="00AA0B31" w:rsidRPr="00732174">
        <w:rPr>
          <w:rFonts w:cs="Verdana"/>
          <w:color w:val="auto"/>
          <w:sz w:val="24"/>
          <w:szCs w:val="24"/>
        </w:rPr>
        <w:t xml:space="preserve"> </w:t>
      </w:r>
      <w:r w:rsidRPr="00732174">
        <w:rPr>
          <w:rFonts w:cs="Verdana"/>
          <w:color w:val="auto"/>
          <w:sz w:val="24"/>
          <w:szCs w:val="24"/>
        </w:rPr>
        <w:t xml:space="preserve">What arguments do you make on her behalf? </w:t>
      </w:r>
      <w:r w:rsidRPr="00732174">
        <w:rPr>
          <w:rFonts w:cs="Verdana"/>
          <w:i/>
          <w:color w:val="auto"/>
          <w:sz w:val="24"/>
          <w:szCs w:val="24"/>
        </w:rPr>
        <w:t xml:space="preserve">See </w:t>
      </w:r>
      <w:hyperlink r:id="rId65" w:history="1">
        <w:proofErr w:type="spellStart"/>
        <w:r w:rsidRPr="00732174">
          <w:rPr>
            <w:rStyle w:val="Hyperlink"/>
            <w:rFonts w:cs="Verdana"/>
            <w:i/>
            <w:color w:val="auto"/>
            <w:sz w:val="24"/>
            <w:szCs w:val="24"/>
          </w:rPr>
          <w:t>Giron</w:t>
        </w:r>
        <w:proofErr w:type="spellEnd"/>
        <w:r w:rsidRPr="00732174">
          <w:rPr>
            <w:rStyle w:val="Hyperlink"/>
            <w:rFonts w:cs="Verdana"/>
            <w:i/>
            <w:color w:val="auto"/>
            <w:sz w:val="24"/>
            <w:szCs w:val="24"/>
          </w:rPr>
          <w:t xml:space="preserve"> v. Corrections Corp. of America</w:t>
        </w:r>
      </w:hyperlink>
      <w:r w:rsidRPr="00732174">
        <w:rPr>
          <w:rFonts w:cs="Verdana"/>
          <w:color w:val="auto"/>
          <w:sz w:val="24"/>
          <w:szCs w:val="24"/>
        </w:rPr>
        <w:t>, 981 F.</w:t>
      </w:r>
      <w:r w:rsidR="00117CB7" w:rsidRPr="00732174">
        <w:rPr>
          <w:rFonts w:cs="Verdana"/>
          <w:color w:val="auto"/>
          <w:sz w:val="24"/>
          <w:szCs w:val="24"/>
        </w:rPr>
        <w:t xml:space="preserve"> </w:t>
      </w:r>
      <w:r w:rsidRPr="00732174">
        <w:rPr>
          <w:rFonts w:cs="Verdana"/>
          <w:color w:val="auto"/>
          <w:sz w:val="24"/>
          <w:szCs w:val="24"/>
        </w:rPr>
        <w:t>Supp. 1406 (D.</w:t>
      </w:r>
      <w:r w:rsidR="00C6412C" w:rsidRPr="00732174">
        <w:rPr>
          <w:rFonts w:cs="Verdana"/>
          <w:color w:val="auto"/>
          <w:sz w:val="24"/>
          <w:szCs w:val="24"/>
        </w:rPr>
        <w:t xml:space="preserve"> </w:t>
      </w:r>
      <w:r w:rsidRPr="00732174">
        <w:rPr>
          <w:rFonts w:cs="Verdana"/>
          <w:color w:val="auto"/>
          <w:sz w:val="24"/>
          <w:szCs w:val="24"/>
        </w:rPr>
        <w:t>N.M. 1997).</w:t>
      </w:r>
    </w:p>
    <w:p w:rsidR="008F7B19" w:rsidRPr="00732174" w:rsidRDefault="008F7B19" w:rsidP="00A96494">
      <w:pPr>
        <w:pStyle w:val="HypoHeading"/>
        <w:rPr>
          <w:sz w:val="24"/>
          <w:szCs w:val="24"/>
        </w:rPr>
      </w:pPr>
      <w:bookmarkStart w:id="24" w:name="_Toc315873686"/>
      <w:r w:rsidRPr="00732174">
        <w:rPr>
          <w:sz w:val="24"/>
          <w:szCs w:val="24"/>
        </w:rPr>
        <w:t>Hypothetical 8</w:t>
      </w:r>
      <w:bookmarkEnd w:id="24"/>
      <w:r w:rsidR="00394721" w:rsidRPr="00732174">
        <w:rPr>
          <w:sz w:val="24"/>
          <w:szCs w:val="24"/>
        </w:rPr>
        <w:t xml:space="preserve"> </w:t>
      </w:r>
    </w:p>
    <w:p w:rsidR="00394721" w:rsidRPr="00732174" w:rsidRDefault="00394721" w:rsidP="00226032">
      <w:pPr>
        <w:pStyle w:val="CaseBody"/>
        <w:rPr>
          <w:color w:val="auto"/>
          <w:sz w:val="24"/>
          <w:szCs w:val="24"/>
        </w:rPr>
      </w:pPr>
      <w:r w:rsidRPr="00732174">
        <w:rPr>
          <w:color w:val="auto"/>
          <w:sz w:val="24"/>
          <w:szCs w:val="24"/>
        </w:rPr>
        <w:t>Rebecca Collins, a former assistant prosecutor, brings a civil action against Michael Allen, her former boss, sounding in sexual harassment and retaliation.</w:t>
      </w:r>
      <w:r w:rsidR="00AA0B31" w:rsidRPr="00732174">
        <w:rPr>
          <w:color w:val="auto"/>
          <w:sz w:val="24"/>
          <w:szCs w:val="24"/>
        </w:rPr>
        <w:t xml:space="preserve"> </w:t>
      </w:r>
      <w:r w:rsidRPr="00732174">
        <w:rPr>
          <w:color w:val="auto"/>
          <w:sz w:val="24"/>
          <w:szCs w:val="24"/>
        </w:rPr>
        <w:t xml:space="preserve">Before trial, Allen files a counterclaim in which he seeks to present evidence of Collins’ reputation for promiscuity on the basis that Collins “put her reputation into question when she filed her frivolous sexual harassment claim.” Will he be able to present this evidence? </w:t>
      </w:r>
      <w:r w:rsidRPr="00732174">
        <w:rPr>
          <w:i/>
          <w:color w:val="auto"/>
          <w:sz w:val="24"/>
          <w:szCs w:val="24"/>
        </w:rPr>
        <w:t>See Collins v. Allen</w:t>
      </w:r>
      <w:r w:rsidRPr="00732174">
        <w:rPr>
          <w:color w:val="auto"/>
          <w:sz w:val="24"/>
          <w:szCs w:val="24"/>
        </w:rPr>
        <w:t>, 2005 WL 1073369 (</w:t>
      </w:r>
      <w:proofErr w:type="spellStart"/>
      <w:r w:rsidRPr="00732174">
        <w:rPr>
          <w:color w:val="auto"/>
          <w:sz w:val="24"/>
          <w:szCs w:val="24"/>
        </w:rPr>
        <w:t>S.D.Ohio</w:t>
      </w:r>
      <w:proofErr w:type="spellEnd"/>
      <w:r w:rsidRPr="00732174">
        <w:rPr>
          <w:color w:val="auto"/>
          <w:sz w:val="24"/>
          <w:szCs w:val="24"/>
        </w:rPr>
        <w:t xml:space="preserve"> 2005).</w:t>
      </w:r>
    </w:p>
    <w:tbl>
      <w:tblPr>
        <w:tblW w:w="0" w:type="auto"/>
        <w:tblInd w:w="108" w:type="dxa"/>
        <w:tblBorders>
          <w:insideV w:val="single" w:sz="4" w:space="0" w:color="auto"/>
        </w:tblBorders>
        <w:tblLook w:val="0000" w:firstRow="0" w:lastRow="0" w:firstColumn="0" w:lastColumn="0" w:noHBand="0" w:noVBand="0"/>
      </w:tblPr>
      <w:tblGrid>
        <w:gridCol w:w="3303"/>
        <w:gridCol w:w="3285"/>
      </w:tblGrid>
      <w:tr w:rsidR="00394721" w:rsidRPr="00732174">
        <w:trPr>
          <w:trHeight w:val="800"/>
        </w:trPr>
        <w:tc>
          <w:tcPr>
            <w:tcW w:w="3303" w:type="dxa"/>
          </w:tcPr>
          <w:p w:rsidR="00394721" w:rsidRPr="00732174" w:rsidRDefault="00BF4675" w:rsidP="00E20C22">
            <w:pPr>
              <w:pStyle w:val="TableHeading"/>
              <w:ind w:left="-18"/>
              <w:rPr>
                <w:color w:val="auto"/>
                <w:sz w:val="24"/>
                <w:szCs w:val="24"/>
              </w:rPr>
            </w:pPr>
            <w:r w:rsidRPr="00732174">
              <w:rPr>
                <w:color w:val="auto"/>
                <w:sz w:val="24"/>
                <w:szCs w:val="24"/>
              </w:rPr>
              <w:lastRenderedPageBreak/>
              <w:t>Prior Rules Language:</w:t>
            </w:r>
          </w:p>
          <w:p w:rsidR="00394721" w:rsidRPr="00732174" w:rsidRDefault="00394721" w:rsidP="00B63D9E">
            <w:pPr>
              <w:pStyle w:val="Body"/>
              <w:jc w:val="left"/>
              <w:rPr>
                <w:color w:val="auto"/>
                <w:sz w:val="24"/>
                <w:szCs w:val="24"/>
              </w:rPr>
            </w:pPr>
            <w:r w:rsidRPr="00732174">
              <w:rPr>
                <w:b/>
                <w:color w:val="auto"/>
                <w:sz w:val="24"/>
                <w:szCs w:val="24"/>
              </w:rPr>
              <w:t>(2)</w:t>
            </w:r>
            <w:r w:rsidRPr="00732174">
              <w:rPr>
                <w:color w:val="auto"/>
                <w:sz w:val="24"/>
                <w:szCs w:val="24"/>
              </w:rPr>
              <w:t xml:space="preserve"> In a civil case, evidence offered to prove the sexual behavior or sexual predisposition of any alleged victim is admissible if it is otherwise admissible under these rules and its probative value substantially outweighs the danger of harm to any victim and of unfair prejudice to any party. Evidence of an alleged victim’s reputation is admissible only if it has been placed in controversy by the alleged victim.</w:t>
            </w:r>
          </w:p>
        </w:tc>
        <w:tc>
          <w:tcPr>
            <w:tcW w:w="3285" w:type="dxa"/>
          </w:tcPr>
          <w:p w:rsidR="00BF4675" w:rsidRPr="00732174" w:rsidRDefault="00BF4675" w:rsidP="00E20C22">
            <w:pPr>
              <w:pStyle w:val="TableHeading"/>
              <w:ind w:left="0"/>
              <w:rPr>
                <w:color w:val="auto"/>
                <w:sz w:val="24"/>
                <w:szCs w:val="24"/>
              </w:rPr>
            </w:pPr>
            <w:r w:rsidRPr="00732174">
              <w:rPr>
                <w:color w:val="auto"/>
                <w:sz w:val="24"/>
                <w:szCs w:val="24"/>
              </w:rPr>
              <w:t>Restyled Rules Language:</w:t>
            </w:r>
          </w:p>
          <w:p w:rsidR="00394721" w:rsidRPr="00732174" w:rsidRDefault="00BF4675" w:rsidP="00B63D9E">
            <w:pPr>
              <w:spacing w:line="276" w:lineRule="auto"/>
              <w:ind w:left="9"/>
              <w:rPr>
                <w:rFonts w:ascii="Garamond" w:hAnsi="Garamond"/>
              </w:rPr>
            </w:pPr>
            <w:r w:rsidRPr="00732174">
              <w:rPr>
                <w:rFonts w:ascii="Garamond" w:hAnsi="Garamond"/>
                <w:b/>
                <w:i/>
              </w:rPr>
              <w:t xml:space="preserve">(1) </w:t>
            </w:r>
            <w:r w:rsidR="00394721" w:rsidRPr="00732174">
              <w:rPr>
                <w:rFonts w:ascii="Garamond" w:hAnsi="Garamond"/>
                <w:b/>
                <w:i/>
              </w:rPr>
              <w:t>Civil Cases.</w:t>
            </w:r>
            <w:r w:rsidR="00AA0B31" w:rsidRPr="00732174">
              <w:rPr>
                <w:rFonts w:ascii="Garamond" w:hAnsi="Garamond"/>
              </w:rPr>
              <w:t xml:space="preserve"> </w:t>
            </w:r>
            <w:r w:rsidR="00394721" w:rsidRPr="00732174">
              <w:rPr>
                <w:rFonts w:ascii="Garamond" w:hAnsi="Garamond"/>
              </w:rPr>
              <w:t>In a civil case, the court may admit evidence offered to prove a victim’s sexual behavior or sexual predisposition if its probative value substantially outweighs the danger of harm to any victim and of unfair prejudice to any party.</w:t>
            </w:r>
            <w:r w:rsidR="00AA0B31" w:rsidRPr="00732174">
              <w:rPr>
                <w:rFonts w:ascii="Garamond" w:hAnsi="Garamond"/>
              </w:rPr>
              <w:t xml:space="preserve"> </w:t>
            </w:r>
            <w:r w:rsidR="00394721" w:rsidRPr="00732174">
              <w:rPr>
                <w:rFonts w:ascii="Garamond" w:hAnsi="Garamond"/>
              </w:rPr>
              <w:t>The court may admit evidence of a victim’s reputation only if the victim has placed it in controversy.</w:t>
            </w:r>
          </w:p>
        </w:tc>
      </w:tr>
    </w:tbl>
    <w:p w:rsidR="00394721" w:rsidRPr="00732174" w:rsidRDefault="00394721" w:rsidP="00B63D9E">
      <w:pPr>
        <w:pStyle w:val="Heading"/>
        <w:rPr>
          <w:color w:val="auto"/>
          <w:szCs w:val="24"/>
          <w:u w:color="0000FF"/>
        </w:rPr>
      </w:pPr>
      <w:bookmarkStart w:id="25" w:name="_Toc320342482"/>
      <w:r w:rsidRPr="00732174">
        <w:rPr>
          <w:color w:val="auto"/>
          <w:szCs w:val="24"/>
          <w:u w:color="0000FF"/>
        </w:rPr>
        <w:t>V.</w:t>
      </w:r>
      <w:r w:rsidR="00A572C3" w:rsidRPr="00732174">
        <w:rPr>
          <w:color w:val="auto"/>
          <w:szCs w:val="24"/>
          <w:u w:color="0000FF"/>
        </w:rPr>
        <w:t xml:space="preserve"> </w:t>
      </w:r>
      <w:r w:rsidRPr="00732174">
        <w:rPr>
          <w:rFonts w:cs="Verdana"/>
          <w:color w:val="auto"/>
          <w:szCs w:val="24"/>
          <w:u w:color="0000FF"/>
        </w:rPr>
        <w:t>Rule 412(c)</w:t>
      </w:r>
      <w:r w:rsidRPr="00732174">
        <w:rPr>
          <w:color w:val="auto"/>
          <w:szCs w:val="24"/>
          <w:u w:color="0000FF"/>
        </w:rPr>
        <w:t>:</w:t>
      </w:r>
      <w:r w:rsidR="00AA0B31" w:rsidRPr="00732174">
        <w:rPr>
          <w:color w:val="auto"/>
          <w:szCs w:val="24"/>
          <w:u w:color="0000FF"/>
        </w:rPr>
        <w:t xml:space="preserve"> </w:t>
      </w:r>
      <w:r w:rsidRPr="00732174">
        <w:rPr>
          <w:color w:val="auto"/>
          <w:szCs w:val="24"/>
          <w:u w:color="0000FF"/>
        </w:rPr>
        <w:t>Procedure for Admissibility in Criminal Cases</w:t>
      </w:r>
      <w:bookmarkEnd w:id="25"/>
    </w:p>
    <w:p w:rsidR="00394721" w:rsidRPr="00732174" w:rsidRDefault="00394721" w:rsidP="00226032">
      <w:pPr>
        <w:pStyle w:val="Body"/>
        <w:rPr>
          <w:rFonts w:cs="Verdana"/>
          <w:color w:val="auto"/>
          <w:sz w:val="24"/>
          <w:szCs w:val="24"/>
          <w:u w:color="0000FF"/>
        </w:rPr>
      </w:pPr>
      <w:r w:rsidRPr="00732174">
        <w:rPr>
          <w:color w:val="auto"/>
          <w:sz w:val="24"/>
          <w:szCs w:val="24"/>
        </w:rPr>
        <w:t xml:space="preserve">Federal Rule of Evidence 412(c) contains procedures for providing notice and determining the admissibility of evidence offered in criminal cases pursuant to the exceptions contained in </w:t>
      </w:r>
      <w:r w:rsidR="006475FB" w:rsidRPr="00732174">
        <w:rPr>
          <w:color w:val="auto"/>
          <w:sz w:val="24"/>
          <w:szCs w:val="24"/>
        </w:rPr>
        <w:t>Rule 412(b)(1)(A)</w:t>
      </w:r>
      <w:r w:rsidRPr="00732174">
        <w:rPr>
          <w:color w:val="auto"/>
          <w:sz w:val="24"/>
          <w:szCs w:val="24"/>
        </w:rPr>
        <w:t xml:space="preserve">, </w:t>
      </w:r>
      <w:r w:rsidR="006475FB" w:rsidRPr="00732174">
        <w:rPr>
          <w:color w:val="auto"/>
          <w:sz w:val="24"/>
          <w:szCs w:val="24"/>
        </w:rPr>
        <w:t>(B)</w:t>
      </w:r>
      <w:r w:rsidRPr="00732174">
        <w:rPr>
          <w:color w:val="auto"/>
          <w:sz w:val="24"/>
          <w:szCs w:val="24"/>
        </w:rPr>
        <w:t xml:space="preserve">, or </w:t>
      </w:r>
      <w:r w:rsidR="006475FB" w:rsidRPr="00732174">
        <w:rPr>
          <w:color w:val="auto"/>
          <w:sz w:val="24"/>
          <w:szCs w:val="24"/>
        </w:rPr>
        <w:t>(C</w:t>
      </w:r>
      <w:r w:rsidR="00527C66" w:rsidRPr="00732174">
        <w:rPr>
          <w:color w:val="auto"/>
          <w:sz w:val="24"/>
          <w:szCs w:val="24"/>
        </w:rPr>
        <w:t>)</w:t>
      </w:r>
      <w:r w:rsidRPr="00732174">
        <w:rPr>
          <w:color w:val="auto"/>
          <w:sz w:val="24"/>
          <w:szCs w:val="24"/>
        </w:rPr>
        <w:t>.</w:t>
      </w:r>
      <w:r w:rsidR="00AA0B31" w:rsidRPr="00732174">
        <w:rPr>
          <w:color w:val="auto"/>
          <w:sz w:val="24"/>
          <w:szCs w:val="24"/>
        </w:rPr>
        <w:t xml:space="preserve"> </w:t>
      </w:r>
      <w:r w:rsidRPr="00732174">
        <w:rPr>
          <w:color w:val="auto"/>
          <w:sz w:val="24"/>
          <w:szCs w:val="24"/>
        </w:rPr>
        <w:t xml:space="preserve">The purpose of this Rule is to give notice to the opposing party in a criminal case to a similar degree as the notice that Federal Rule of Civil Procedure 26 affords to civil litigants as part of the discovery process. Cf. </w:t>
      </w:r>
      <w:hyperlink r:id="rId66" w:history="1">
        <w:r w:rsidR="00B05F45" w:rsidRPr="00732174">
          <w:rPr>
            <w:i/>
            <w:color w:val="auto"/>
            <w:sz w:val="24"/>
            <w:szCs w:val="24"/>
          </w:rPr>
          <w:t>Sonia F. v. Eighth Judicial Dist. Court</w:t>
        </w:r>
      </w:hyperlink>
      <w:r w:rsidRPr="00732174">
        <w:rPr>
          <w:color w:val="auto"/>
          <w:sz w:val="24"/>
          <w:szCs w:val="24"/>
        </w:rPr>
        <w:t xml:space="preserve">, </w:t>
      </w:r>
      <w:proofErr w:type="gramStart"/>
      <w:r w:rsidRPr="00732174">
        <w:rPr>
          <w:color w:val="auto"/>
          <w:sz w:val="24"/>
          <w:szCs w:val="24"/>
        </w:rPr>
        <w:t>315 P.3d 705</w:t>
      </w:r>
      <w:proofErr w:type="gramEnd"/>
      <w:r w:rsidRPr="00732174">
        <w:rPr>
          <w:color w:val="auto"/>
          <w:sz w:val="24"/>
          <w:szCs w:val="24"/>
        </w:rPr>
        <w:t xml:space="preserve"> (Nev. 2009)</w:t>
      </w:r>
      <w:r w:rsidR="00AA62AE" w:rsidRPr="00732174">
        <w:rPr>
          <w:color w:val="auto"/>
          <w:sz w:val="24"/>
          <w:szCs w:val="24"/>
        </w:rPr>
        <w:t>;</w:t>
      </w:r>
      <w:r w:rsidR="00AA0B31" w:rsidRPr="00732174">
        <w:rPr>
          <w:color w:val="auto"/>
          <w:sz w:val="24"/>
          <w:szCs w:val="24"/>
        </w:rPr>
        <w:t xml:space="preserve"> </w:t>
      </w:r>
      <w:r w:rsidR="00AA62AE" w:rsidRPr="00732174">
        <w:rPr>
          <w:color w:val="auto"/>
          <w:sz w:val="24"/>
          <w:szCs w:val="24"/>
        </w:rPr>
        <w:t xml:space="preserve">Colin Miller, </w:t>
      </w:r>
      <w:r w:rsidR="00B05F45" w:rsidRPr="00732174">
        <w:rPr>
          <w:i/>
          <w:color w:val="auto"/>
          <w:sz w:val="24"/>
          <w:szCs w:val="24"/>
        </w:rPr>
        <w:t xml:space="preserve">Rape Shield </w:t>
      </w:r>
      <w:proofErr w:type="spellStart"/>
      <w:r w:rsidR="00B05F45" w:rsidRPr="00732174">
        <w:rPr>
          <w:i/>
          <w:color w:val="auto"/>
          <w:sz w:val="24"/>
          <w:szCs w:val="24"/>
        </w:rPr>
        <w:t>Redux</w:t>
      </w:r>
      <w:proofErr w:type="spellEnd"/>
      <w:r w:rsidR="00B05F45" w:rsidRPr="00732174">
        <w:rPr>
          <w:i/>
          <w:color w:val="auto"/>
          <w:sz w:val="24"/>
          <w:szCs w:val="24"/>
        </w:rPr>
        <w:t>: Supreme Court Of Nevada Finds Rule 26 Applies Where Rape Shield Law Doesn't</w:t>
      </w:r>
      <w:r w:rsidR="00F01CA1" w:rsidRPr="00732174">
        <w:rPr>
          <w:color w:val="auto"/>
          <w:sz w:val="24"/>
          <w:szCs w:val="24"/>
        </w:rPr>
        <w:t xml:space="preserve">. </w:t>
      </w:r>
      <w:proofErr w:type="gramStart"/>
      <w:r w:rsidR="00F01CA1" w:rsidRPr="00732174">
        <w:rPr>
          <w:color w:val="auto"/>
          <w:sz w:val="24"/>
          <w:szCs w:val="24"/>
        </w:rPr>
        <w:t>EvidenceProf Blog</w:t>
      </w:r>
      <w:r w:rsidR="00B5329F" w:rsidRPr="00732174">
        <w:rPr>
          <w:color w:val="auto"/>
          <w:sz w:val="24"/>
          <w:szCs w:val="24"/>
        </w:rPr>
        <w:t xml:space="preserve"> (</w:t>
      </w:r>
      <w:r w:rsidR="00F01CA1" w:rsidRPr="00732174">
        <w:rPr>
          <w:color w:val="auto"/>
          <w:sz w:val="24"/>
          <w:szCs w:val="24"/>
        </w:rPr>
        <w:t>Sep. 15, 2009</w:t>
      </w:r>
      <w:r w:rsidR="00B5329F" w:rsidRPr="00732174">
        <w:rPr>
          <w:color w:val="auto"/>
          <w:sz w:val="24"/>
          <w:szCs w:val="24"/>
        </w:rPr>
        <w:t xml:space="preserve">) </w:t>
      </w:r>
      <w:hyperlink w:history="1">
        <w:r w:rsidR="0027525C" w:rsidRPr="00732174">
          <w:rPr>
            <w:rStyle w:val="Hyperlink"/>
            <w:color w:val="auto"/>
            <w:sz w:val="24"/>
            <w:szCs w:val="24"/>
          </w:rPr>
          <w:t>http://lawprofessors.typepad.</w:t>
        </w:r>
        <w:proofErr w:type="gramEnd"/>
        <w:r w:rsidR="0027525C" w:rsidRPr="00732174">
          <w:rPr>
            <w:rStyle w:val="Hyperlink"/>
            <w:color w:val="auto"/>
            <w:sz w:val="24"/>
            <w:szCs w:val="24"/>
          </w:rPr>
          <w:t xml:space="preserve"> com/evidenceprof/2009/09/rape-shield-redux-supreme-court-of-nevada-finds-rule-26-applies-where-rape-shield-law-doesnt.html</w:t>
        </w:r>
      </w:hyperlink>
      <w:r w:rsidR="002A7A17" w:rsidRPr="00732174">
        <w:rPr>
          <w:color w:val="auto"/>
          <w:sz w:val="24"/>
          <w:szCs w:val="24"/>
        </w:rPr>
        <w:t xml:space="preserve"> </w:t>
      </w:r>
      <w:r w:rsidR="00AA62AE" w:rsidRPr="00732174">
        <w:rPr>
          <w:rFonts w:cs="Verdana"/>
          <w:color w:val="auto"/>
          <w:sz w:val="24"/>
          <w:szCs w:val="24"/>
          <w:u w:color="0000FF"/>
        </w:rPr>
        <w:t>.</w:t>
      </w:r>
      <w:r w:rsidR="0027525C" w:rsidRPr="00732174">
        <w:rPr>
          <w:rFonts w:cs="Verdana"/>
          <w:color w:val="auto"/>
          <w:sz w:val="24"/>
          <w:szCs w:val="24"/>
          <w:u w:color="0000FF"/>
        </w:rPr>
        <w:t xml:space="preserve"> </w:t>
      </w:r>
      <w:r w:rsidRPr="00732174">
        <w:rPr>
          <w:rFonts w:cs="Verdana"/>
          <w:color w:val="auto"/>
          <w:sz w:val="24"/>
          <w:szCs w:val="24"/>
          <w:u w:color="0000FF"/>
        </w:rPr>
        <w:t>According to the Rule,</w:t>
      </w:r>
    </w:p>
    <w:p w:rsidR="00394721" w:rsidRPr="00732174" w:rsidRDefault="00394721" w:rsidP="00B63D9E">
      <w:pPr>
        <w:spacing w:after="120" w:line="276" w:lineRule="auto"/>
        <w:ind w:left="720"/>
        <w:rPr>
          <w:rFonts w:ascii="Garamond" w:hAnsi="Garamond" w:cs="Verdana"/>
        </w:rPr>
      </w:pPr>
      <w:r w:rsidRPr="00732174">
        <w:rPr>
          <w:rFonts w:ascii="Garamond" w:hAnsi="Garamond" w:cs="Verdana"/>
        </w:rPr>
        <w:t xml:space="preserve">(1) A party intending to offer evidence under subdivision (b) must </w:t>
      </w:r>
    </w:p>
    <w:p w:rsidR="00394721" w:rsidRPr="00732174" w:rsidRDefault="00394721" w:rsidP="00B63D9E">
      <w:pPr>
        <w:widowControl w:val="0"/>
        <w:autoSpaceDE w:val="0"/>
        <w:autoSpaceDN w:val="0"/>
        <w:adjustRightInd w:val="0"/>
        <w:spacing w:after="120" w:line="276" w:lineRule="auto"/>
        <w:ind w:left="1440"/>
        <w:rPr>
          <w:rFonts w:ascii="Garamond" w:hAnsi="Garamond" w:cs="Verdana"/>
        </w:rPr>
      </w:pPr>
      <w:r w:rsidRPr="00732174">
        <w:rPr>
          <w:rFonts w:ascii="Garamond" w:hAnsi="Garamond" w:cs="Verdana"/>
        </w:rPr>
        <w:t xml:space="preserve">(A) file a written motion at least 14 days before trial specifically describing the evidence and stating the purpose for which it is offered unless the court, for </w:t>
      </w:r>
      <w:r w:rsidRPr="00732174">
        <w:rPr>
          <w:rFonts w:ascii="Garamond" w:hAnsi="Garamond" w:cs="Verdana"/>
        </w:rPr>
        <w:lastRenderedPageBreak/>
        <w:t>good cause requires a different time for filing or permits filing during trial; and</w:t>
      </w:r>
    </w:p>
    <w:p w:rsidR="00394721" w:rsidRPr="00732174" w:rsidRDefault="00394721" w:rsidP="00B63D9E">
      <w:pPr>
        <w:widowControl w:val="0"/>
        <w:autoSpaceDE w:val="0"/>
        <w:autoSpaceDN w:val="0"/>
        <w:adjustRightInd w:val="0"/>
        <w:spacing w:after="120" w:line="276" w:lineRule="auto"/>
        <w:ind w:left="1440"/>
        <w:rPr>
          <w:rFonts w:ascii="Garamond" w:hAnsi="Garamond" w:cs="Verdana"/>
        </w:rPr>
      </w:pPr>
      <w:r w:rsidRPr="00732174">
        <w:rPr>
          <w:rFonts w:ascii="Garamond" w:hAnsi="Garamond" w:cs="Verdana"/>
        </w:rPr>
        <w:t xml:space="preserve">(B) </w:t>
      </w:r>
      <w:proofErr w:type="gramStart"/>
      <w:r w:rsidRPr="00732174">
        <w:rPr>
          <w:rFonts w:ascii="Garamond" w:hAnsi="Garamond" w:cs="Verdana"/>
        </w:rPr>
        <w:t>serve</w:t>
      </w:r>
      <w:proofErr w:type="gramEnd"/>
      <w:r w:rsidRPr="00732174">
        <w:rPr>
          <w:rFonts w:ascii="Garamond" w:hAnsi="Garamond" w:cs="Verdana"/>
        </w:rPr>
        <w:t xml:space="preserve"> the motion on all parties and notify the alleged victim or, when appropriate, the alleged victim's guardian or representative.</w:t>
      </w:r>
    </w:p>
    <w:p w:rsidR="00394721" w:rsidRPr="00732174" w:rsidRDefault="00394721" w:rsidP="00B63D9E">
      <w:pPr>
        <w:spacing w:after="120" w:line="276" w:lineRule="auto"/>
        <w:ind w:left="720"/>
        <w:rPr>
          <w:rFonts w:ascii="Garamond" w:hAnsi="Garamond" w:cs="Verdana"/>
        </w:rPr>
      </w:pPr>
      <w:r w:rsidRPr="00732174">
        <w:rPr>
          <w:rFonts w:ascii="Garamond" w:hAnsi="Garamond" w:cs="Verdana"/>
        </w:rPr>
        <w:t>(2) Before admitting evidence under this rule the court must conduct a hearing in camera and afford the victim and parties a right to attend and be heard.</w:t>
      </w:r>
      <w:r w:rsidR="00AA0B31" w:rsidRPr="00732174">
        <w:rPr>
          <w:rFonts w:ascii="Garamond" w:hAnsi="Garamond" w:cs="Verdana"/>
        </w:rPr>
        <w:t xml:space="preserve"> </w:t>
      </w:r>
      <w:proofErr w:type="gramStart"/>
      <w:r w:rsidRPr="00732174">
        <w:rPr>
          <w:rFonts w:ascii="Garamond" w:hAnsi="Garamond" w:cs="Verdana"/>
        </w:rPr>
        <w:t>The motion, related papers, and the record of the hearing must be sealed and remain under seal unless the court orders otherwise.</w:t>
      </w:r>
      <w:proofErr w:type="gramEnd"/>
    </w:p>
    <w:p w:rsidR="00394721" w:rsidRPr="00732174" w:rsidRDefault="00394721" w:rsidP="00226032">
      <w:pPr>
        <w:pStyle w:val="Body"/>
        <w:rPr>
          <w:color w:val="auto"/>
          <w:sz w:val="24"/>
          <w:szCs w:val="24"/>
        </w:rPr>
      </w:pPr>
      <w:r w:rsidRPr="00732174">
        <w:rPr>
          <w:color w:val="auto"/>
          <w:sz w:val="24"/>
          <w:szCs w:val="24"/>
          <w:u w:color="0000FF"/>
        </w:rPr>
        <w:t xml:space="preserve">Courts consistently have held that a defendant’s failure to file a motion for a </w:t>
      </w:r>
      <w:r w:rsidRPr="00732174">
        <w:rPr>
          <w:rFonts w:cs="Verdana"/>
          <w:color w:val="auto"/>
          <w:sz w:val="24"/>
          <w:szCs w:val="24"/>
          <w:u w:color="0000FF"/>
        </w:rPr>
        <w:t>Rule 412(c)</w:t>
      </w:r>
      <w:r w:rsidRPr="00732174">
        <w:rPr>
          <w:color w:val="auto"/>
          <w:sz w:val="24"/>
          <w:szCs w:val="24"/>
          <w:u w:color="0000FF"/>
        </w:rPr>
        <w:t xml:space="preserve"> hearing under seal is a “flagrant violation” of the Rule, justifying a decision by the trial judge to exclude the proffered evidence. </w:t>
      </w:r>
      <w:proofErr w:type="gramStart"/>
      <w:r w:rsidRPr="00732174">
        <w:rPr>
          <w:i/>
          <w:color w:val="auto"/>
          <w:sz w:val="24"/>
          <w:szCs w:val="24"/>
          <w:u w:color="0000FF"/>
        </w:rPr>
        <w:t xml:space="preserve">See, e.g., </w:t>
      </w:r>
      <w:hyperlink r:id="rId67" w:history="1">
        <w:r w:rsidRPr="00732174">
          <w:rPr>
            <w:rStyle w:val="Hyperlink"/>
            <w:rFonts w:cs="Verdana"/>
            <w:i/>
            <w:color w:val="auto"/>
            <w:sz w:val="24"/>
            <w:szCs w:val="24"/>
          </w:rPr>
          <w:t>S.M. v. J.K</w:t>
        </w:r>
        <w:r w:rsidRPr="00732174">
          <w:rPr>
            <w:rStyle w:val="Hyperlink"/>
            <w:rFonts w:cs="Verdana"/>
            <w:i/>
            <w:color w:val="auto"/>
            <w:sz w:val="24"/>
            <w:szCs w:val="24"/>
            <w:u w:color="0000FF"/>
          </w:rPr>
          <w:t>.</w:t>
        </w:r>
      </w:hyperlink>
      <w:r w:rsidRPr="00732174">
        <w:rPr>
          <w:color w:val="auto"/>
          <w:sz w:val="24"/>
          <w:szCs w:val="24"/>
          <w:u w:color="0000FF"/>
        </w:rPr>
        <w:t>, 262 F.3d 914, 919 (9</w:t>
      </w:r>
      <w:r w:rsidR="00B05F45" w:rsidRPr="00732174">
        <w:rPr>
          <w:color w:val="auto"/>
          <w:sz w:val="24"/>
          <w:szCs w:val="24"/>
          <w:u w:color="0000FF"/>
        </w:rPr>
        <w:t>th</w:t>
      </w:r>
      <w:r w:rsidRPr="00732174">
        <w:rPr>
          <w:color w:val="auto"/>
          <w:sz w:val="24"/>
          <w:szCs w:val="24"/>
          <w:u w:color="0000FF"/>
        </w:rPr>
        <w:t xml:space="preserve"> Cir. 2001).</w:t>
      </w:r>
      <w:proofErr w:type="gramEnd"/>
      <w:r w:rsidR="00AA0B31" w:rsidRPr="00732174">
        <w:rPr>
          <w:color w:val="auto"/>
          <w:sz w:val="24"/>
          <w:szCs w:val="24"/>
          <w:u w:color="0000FF"/>
        </w:rPr>
        <w:t xml:space="preserve"> </w:t>
      </w:r>
      <w:r w:rsidRPr="00732174">
        <w:rPr>
          <w:color w:val="auto"/>
          <w:sz w:val="24"/>
          <w:szCs w:val="24"/>
          <w:u w:color="0000FF"/>
        </w:rPr>
        <w:t xml:space="preserve">Only one federal appellate court has addressed the issue of whether an alleged victim can immediately appeal a trial court’s decision to admit evidence of her sexual behavior and/or predisposition after a </w:t>
      </w:r>
      <w:r w:rsidRPr="00732174">
        <w:rPr>
          <w:rFonts w:cs="Verdana"/>
          <w:color w:val="auto"/>
          <w:sz w:val="24"/>
          <w:szCs w:val="24"/>
          <w:u w:color="0000FF"/>
        </w:rPr>
        <w:t>Rule 412(c)</w:t>
      </w:r>
      <w:r w:rsidRPr="00732174">
        <w:rPr>
          <w:color w:val="auto"/>
          <w:sz w:val="24"/>
          <w:szCs w:val="24"/>
          <w:u w:color="0000FF"/>
        </w:rPr>
        <w:t xml:space="preserve"> hearing without violating the final judgment rule contained in </w:t>
      </w:r>
      <w:hyperlink r:id="rId68" w:history="1">
        <w:r w:rsidRPr="00732174">
          <w:rPr>
            <w:rStyle w:val="Hyperlink"/>
            <w:rFonts w:cs="Verdana"/>
            <w:color w:val="auto"/>
            <w:sz w:val="24"/>
            <w:szCs w:val="24"/>
          </w:rPr>
          <w:t>28 U.S.C. § 1291</w:t>
        </w:r>
      </w:hyperlink>
      <w:r w:rsidRPr="00732174">
        <w:rPr>
          <w:color w:val="auto"/>
          <w:sz w:val="24"/>
          <w:szCs w:val="24"/>
        </w:rPr>
        <w:t>.</w:t>
      </w:r>
      <w:r w:rsidR="00AA0B31" w:rsidRPr="00732174">
        <w:rPr>
          <w:color w:val="auto"/>
          <w:sz w:val="24"/>
          <w:szCs w:val="24"/>
        </w:rPr>
        <w:t xml:space="preserve"> </w:t>
      </w:r>
      <w:r w:rsidRPr="00732174">
        <w:rPr>
          <w:color w:val="auto"/>
          <w:sz w:val="24"/>
          <w:szCs w:val="24"/>
        </w:rPr>
        <w:t xml:space="preserve">Under </w:t>
      </w:r>
      <w:r w:rsidRPr="00732174">
        <w:rPr>
          <w:rFonts w:cs="Verdana"/>
          <w:color w:val="auto"/>
          <w:sz w:val="24"/>
          <w:szCs w:val="24"/>
        </w:rPr>
        <w:t>§ 1291</w:t>
      </w:r>
      <w:r w:rsidRPr="00732174">
        <w:rPr>
          <w:color w:val="auto"/>
          <w:sz w:val="24"/>
          <w:szCs w:val="24"/>
        </w:rPr>
        <w:t xml:space="preserve">, courts of appeals only have jurisdiction over final decisions, but courts have chosen to given the final judgment rule a “practical rather than a technical construction.” </w:t>
      </w:r>
      <w:hyperlink r:id="rId69" w:history="1">
        <w:proofErr w:type="gramStart"/>
        <w:r w:rsidRPr="00732174">
          <w:rPr>
            <w:rStyle w:val="Hyperlink"/>
            <w:rFonts w:cs="Verdana"/>
            <w:i/>
            <w:color w:val="auto"/>
            <w:sz w:val="24"/>
            <w:szCs w:val="24"/>
          </w:rPr>
          <w:t>Gillespie v. U.S. Steel Corp.</w:t>
        </w:r>
      </w:hyperlink>
      <w:r w:rsidRPr="00732174">
        <w:rPr>
          <w:color w:val="auto"/>
          <w:sz w:val="24"/>
          <w:szCs w:val="24"/>
        </w:rPr>
        <w:t>, 379 U.S. 148, 152 (1964).</w:t>
      </w:r>
      <w:proofErr w:type="gramEnd"/>
      <w:r w:rsidR="00AA0B31" w:rsidRPr="00732174">
        <w:rPr>
          <w:color w:val="auto"/>
          <w:sz w:val="24"/>
          <w:szCs w:val="24"/>
        </w:rPr>
        <w:t xml:space="preserve"> </w:t>
      </w:r>
      <w:r w:rsidRPr="00732174">
        <w:rPr>
          <w:color w:val="auto"/>
          <w:sz w:val="24"/>
          <w:szCs w:val="24"/>
        </w:rPr>
        <w:t xml:space="preserve">In </w:t>
      </w:r>
      <w:hyperlink r:id="rId70" w:history="1">
        <w:r w:rsidRPr="00732174">
          <w:rPr>
            <w:rStyle w:val="Hyperlink"/>
            <w:rFonts w:cs="Verdana"/>
            <w:i/>
            <w:color w:val="auto"/>
            <w:sz w:val="24"/>
            <w:szCs w:val="24"/>
          </w:rPr>
          <w:t>Doe v. United States</w:t>
        </w:r>
      </w:hyperlink>
      <w:r w:rsidRPr="00732174">
        <w:rPr>
          <w:color w:val="auto"/>
          <w:sz w:val="24"/>
          <w:szCs w:val="24"/>
        </w:rPr>
        <w:t>, 666 F.2d 43 (4</w:t>
      </w:r>
      <w:r w:rsidR="00B05F45" w:rsidRPr="00732174">
        <w:rPr>
          <w:color w:val="auto"/>
          <w:sz w:val="24"/>
          <w:szCs w:val="24"/>
        </w:rPr>
        <w:t>th</w:t>
      </w:r>
      <w:r w:rsidRPr="00732174">
        <w:rPr>
          <w:color w:val="auto"/>
          <w:sz w:val="24"/>
          <w:szCs w:val="24"/>
        </w:rPr>
        <w:t xml:space="preserve"> Cir 1981), the Fourth Circuit applied </w:t>
      </w:r>
      <w:r w:rsidRPr="00732174">
        <w:rPr>
          <w:rFonts w:cs="Verdana"/>
          <w:color w:val="auto"/>
          <w:sz w:val="24"/>
          <w:szCs w:val="24"/>
        </w:rPr>
        <w:t>§ 1291</w:t>
      </w:r>
      <w:r w:rsidRPr="00732174">
        <w:rPr>
          <w:color w:val="auto"/>
          <w:sz w:val="24"/>
          <w:szCs w:val="24"/>
        </w:rPr>
        <w:t xml:space="preserve"> practically to allow an immediate appeal by an alleged victim of an adverse rape shield ruling because “the injustice to rape victims in delaying an appeal until after the conclusion of the criminal trial is manifest.” </w:t>
      </w:r>
      <w:r w:rsidRPr="00732174">
        <w:rPr>
          <w:i/>
          <w:color w:val="auto"/>
          <w:sz w:val="24"/>
          <w:szCs w:val="24"/>
        </w:rPr>
        <w:t>See also</w:t>
      </w:r>
      <w:r w:rsidR="00F01CA1" w:rsidRPr="00732174">
        <w:rPr>
          <w:color w:val="auto"/>
          <w:sz w:val="24"/>
          <w:szCs w:val="24"/>
        </w:rPr>
        <w:t xml:space="preserve"> Colin Miller, </w:t>
      </w:r>
      <w:r w:rsidR="00B05F45" w:rsidRPr="00732174">
        <w:rPr>
          <w:i/>
          <w:color w:val="auto"/>
          <w:sz w:val="24"/>
          <w:szCs w:val="24"/>
        </w:rPr>
        <w:t>Passing Judgment: 10</w:t>
      </w:r>
      <w:r w:rsidR="00B05F45" w:rsidRPr="00732174">
        <w:rPr>
          <w:i/>
          <w:color w:val="auto"/>
          <w:sz w:val="24"/>
          <w:szCs w:val="24"/>
          <w:vertAlign w:val="superscript"/>
        </w:rPr>
        <w:t>th</w:t>
      </w:r>
      <w:r w:rsidR="00B05F45" w:rsidRPr="00732174">
        <w:rPr>
          <w:i/>
          <w:color w:val="auto"/>
          <w:sz w:val="24"/>
          <w:szCs w:val="24"/>
        </w:rPr>
        <w:t xml:space="preserve"> Circuit Case Cites to 4</w:t>
      </w:r>
      <w:r w:rsidR="00B05F45" w:rsidRPr="00732174">
        <w:rPr>
          <w:i/>
          <w:color w:val="auto"/>
          <w:sz w:val="24"/>
          <w:szCs w:val="24"/>
          <w:vertAlign w:val="superscript"/>
        </w:rPr>
        <w:t>th</w:t>
      </w:r>
      <w:r w:rsidR="00B05F45" w:rsidRPr="00732174">
        <w:rPr>
          <w:i/>
          <w:color w:val="auto"/>
          <w:sz w:val="24"/>
          <w:szCs w:val="24"/>
        </w:rPr>
        <w:t xml:space="preserve"> Circuit Case Allowing Immediate Appeal of Rape Shield Ruling</w:t>
      </w:r>
      <w:r w:rsidR="00F01CA1" w:rsidRPr="00732174">
        <w:rPr>
          <w:color w:val="auto"/>
          <w:sz w:val="24"/>
          <w:szCs w:val="24"/>
        </w:rPr>
        <w:t xml:space="preserve">. </w:t>
      </w:r>
      <w:proofErr w:type="gramStart"/>
      <w:r w:rsidR="00F01CA1" w:rsidRPr="00732174">
        <w:rPr>
          <w:color w:val="auto"/>
          <w:sz w:val="24"/>
          <w:szCs w:val="24"/>
        </w:rPr>
        <w:t xml:space="preserve">EvidenceProf Blog, </w:t>
      </w:r>
      <w:r w:rsidR="00695316" w:rsidRPr="00732174">
        <w:rPr>
          <w:color w:val="auto"/>
          <w:sz w:val="24"/>
          <w:szCs w:val="24"/>
        </w:rPr>
        <w:t>(</w:t>
      </w:r>
      <w:r w:rsidR="00F01CA1" w:rsidRPr="00732174">
        <w:rPr>
          <w:color w:val="auto"/>
          <w:sz w:val="24"/>
          <w:szCs w:val="24"/>
        </w:rPr>
        <w:t>Dec. 4, 2008</w:t>
      </w:r>
      <w:r w:rsidR="00695316" w:rsidRPr="00732174">
        <w:rPr>
          <w:color w:val="auto"/>
          <w:sz w:val="24"/>
          <w:szCs w:val="24"/>
        </w:rPr>
        <w:t xml:space="preserve">) </w:t>
      </w:r>
      <w:hyperlink r:id="rId71" w:history="1">
        <w:r w:rsidR="00695316" w:rsidRPr="00732174">
          <w:rPr>
            <w:rStyle w:val="Hyperlink"/>
            <w:color w:val="auto"/>
            <w:sz w:val="24"/>
            <w:szCs w:val="24"/>
          </w:rPr>
          <w:t>http://lawprofessors.typepad.com/evidenceprof/2008/12/passing-judgm-1.html</w:t>
        </w:r>
      </w:hyperlink>
      <w:r w:rsidR="00695316" w:rsidRPr="00732174">
        <w:rPr>
          <w:color w:val="auto"/>
          <w:sz w:val="24"/>
          <w:szCs w:val="24"/>
        </w:rPr>
        <w:t>.</w:t>
      </w:r>
      <w:proofErr w:type="gramEnd"/>
      <w:r w:rsidR="00695316" w:rsidRPr="00732174">
        <w:rPr>
          <w:color w:val="auto"/>
          <w:sz w:val="24"/>
          <w:szCs w:val="24"/>
        </w:rPr>
        <w:t xml:space="preserve"> </w:t>
      </w:r>
    </w:p>
    <w:p w:rsidR="00394721" w:rsidRPr="00732174" w:rsidRDefault="00394721" w:rsidP="00226032">
      <w:pPr>
        <w:pStyle w:val="Body"/>
        <w:rPr>
          <w:color w:val="auto"/>
          <w:sz w:val="24"/>
          <w:szCs w:val="24"/>
        </w:rPr>
      </w:pPr>
      <w:r w:rsidRPr="00732174">
        <w:rPr>
          <w:color w:val="auto"/>
          <w:sz w:val="24"/>
          <w:szCs w:val="24"/>
        </w:rPr>
        <w:t xml:space="preserve">Although most courts have not addressed the issue, it seems likely that a court’s failure to hold a </w:t>
      </w:r>
      <w:r w:rsidRPr="00732174">
        <w:rPr>
          <w:rFonts w:cs="Verdana"/>
          <w:color w:val="auto"/>
          <w:sz w:val="24"/>
          <w:szCs w:val="24"/>
        </w:rPr>
        <w:t>Rule 412(c)</w:t>
      </w:r>
      <w:r w:rsidRPr="00732174">
        <w:rPr>
          <w:color w:val="auto"/>
          <w:sz w:val="24"/>
          <w:szCs w:val="24"/>
        </w:rPr>
        <w:t xml:space="preserve"> hearing will not entitle a defendant to a new trial because the Rule is designed to protect the alleged victim rather than the defendant.</w:t>
      </w:r>
      <w:r w:rsidR="00AA0B31" w:rsidRPr="00732174">
        <w:rPr>
          <w:color w:val="auto"/>
          <w:sz w:val="24"/>
          <w:szCs w:val="24"/>
        </w:rPr>
        <w:t xml:space="preserve"> </w:t>
      </w:r>
      <w:r w:rsidRPr="00732174">
        <w:rPr>
          <w:color w:val="auto"/>
          <w:sz w:val="24"/>
          <w:szCs w:val="24"/>
        </w:rPr>
        <w:t xml:space="preserve">Instead, as long as the trial </w:t>
      </w:r>
      <w:r w:rsidRPr="00732174">
        <w:rPr>
          <w:color w:val="auto"/>
          <w:sz w:val="24"/>
          <w:szCs w:val="24"/>
        </w:rPr>
        <w:lastRenderedPageBreak/>
        <w:t xml:space="preserve">court allows the defendant to present arguments for why the evidence he seeks to introduce qualifies for admission under an exception to the Rape Shield Rule, failure to hold a </w:t>
      </w:r>
      <w:r w:rsidRPr="00732174">
        <w:rPr>
          <w:rFonts w:cs="Verdana"/>
          <w:color w:val="auto"/>
          <w:sz w:val="24"/>
          <w:szCs w:val="24"/>
        </w:rPr>
        <w:t>Rule 412(c)</w:t>
      </w:r>
      <w:r w:rsidRPr="00732174">
        <w:rPr>
          <w:color w:val="auto"/>
          <w:sz w:val="24"/>
          <w:szCs w:val="24"/>
        </w:rPr>
        <w:t xml:space="preserve"> hearing should not lead to reversal as long as the record is sufficient for the appellate court to review his evidentiary appeal. </w:t>
      </w:r>
      <w:r w:rsidRPr="00732174">
        <w:rPr>
          <w:i/>
          <w:color w:val="auto"/>
          <w:sz w:val="24"/>
          <w:szCs w:val="24"/>
        </w:rPr>
        <w:t>See</w:t>
      </w:r>
      <w:r w:rsidRPr="00732174">
        <w:rPr>
          <w:color w:val="auto"/>
          <w:sz w:val="24"/>
          <w:szCs w:val="24"/>
        </w:rPr>
        <w:t xml:space="preserve"> </w:t>
      </w:r>
      <w:hyperlink r:id="rId72" w:history="1">
        <w:r w:rsidR="00B05F45" w:rsidRPr="00732174">
          <w:rPr>
            <w:rStyle w:val="Hyperlink"/>
            <w:i/>
            <w:color w:val="auto"/>
            <w:sz w:val="24"/>
            <w:szCs w:val="24"/>
          </w:rPr>
          <w:t>Nevelow v. State</w:t>
        </w:r>
      </w:hyperlink>
      <w:r w:rsidRPr="00732174">
        <w:rPr>
          <w:color w:val="auto"/>
          <w:sz w:val="24"/>
          <w:szCs w:val="24"/>
        </w:rPr>
        <w:t xml:space="preserve">, </w:t>
      </w:r>
      <w:r w:rsidRPr="00732174">
        <w:rPr>
          <w:rFonts w:cs="Arial"/>
          <w:color w:val="auto"/>
          <w:sz w:val="24"/>
          <w:szCs w:val="24"/>
        </w:rPr>
        <w:t>2011 WL 2899377 (</w:t>
      </w:r>
      <w:proofErr w:type="spellStart"/>
      <w:r w:rsidRPr="00732174">
        <w:rPr>
          <w:rFonts w:cs="Arial"/>
          <w:color w:val="auto"/>
          <w:sz w:val="24"/>
          <w:szCs w:val="24"/>
        </w:rPr>
        <w:t>Tex.App</w:t>
      </w:r>
      <w:proofErr w:type="spellEnd"/>
      <w:r w:rsidRPr="00732174">
        <w:rPr>
          <w:rFonts w:cs="Arial"/>
          <w:color w:val="auto"/>
          <w:sz w:val="24"/>
          <w:szCs w:val="24"/>
        </w:rPr>
        <w:t xml:space="preserve">.-Houston [14 Dist. 2011]); </w:t>
      </w:r>
      <w:r w:rsidR="008A7EB3" w:rsidRPr="00732174">
        <w:rPr>
          <w:rFonts w:cs="Verdana"/>
          <w:bCs/>
          <w:color w:val="auto"/>
          <w:sz w:val="24"/>
          <w:szCs w:val="24"/>
        </w:rPr>
        <w:t xml:space="preserve">Colin Miller, </w:t>
      </w:r>
      <w:r w:rsidR="00B05F45" w:rsidRPr="00732174">
        <w:rPr>
          <w:rFonts w:cs="Verdana"/>
          <w:bCs/>
          <w:i/>
          <w:color w:val="auto"/>
          <w:sz w:val="24"/>
          <w:szCs w:val="24"/>
        </w:rPr>
        <w:t>Can You Hear Me</w:t>
      </w:r>
      <w:proofErr w:type="gramStart"/>
      <w:r w:rsidR="00B05F45" w:rsidRPr="00732174">
        <w:rPr>
          <w:rFonts w:cs="Verdana"/>
          <w:bCs/>
          <w:i/>
          <w:color w:val="auto"/>
          <w:sz w:val="24"/>
          <w:szCs w:val="24"/>
        </w:rPr>
        <w:t>?:</w:t>
      </w:r>
      <w:proofErr w:type="gramEnd"/>
      <w:r w:rsidR="00B05F45" w:rsidRPr="00732174">
        <w:rPr>
          <w:rFonts w:cs="Verdana"/>
          <w:bCs/>
          <w:i/>
          <w:color w:val="auto"/>
          <w:sz w:val="24"/>
          <w:szCs w:val="24"/>
        </w:rPr>
        <w:t xml:space="preserve"> Court of Appeals of Texas Finds Failure to Hold in Camera Rape Shield Hearing Isn’t Reversible Error</w:t>
      </w:r>
      <w:r w:rsidR="008A7EB3" w:rsidRPr="00732174">
        <w:rPr>
          <w:rFonts w:cs="Verdana"/>
          <w:bCs/>
          <w:color w:val="auto"/>
          <w:sz w:val="24"/>
          <w:szCs w:val="24"/>
        </w:rPr>
        <w:t xml:space="preserve">. </w:t>
      </w:r>
      <w:proofErr w:type="gramStart"/>
      <w:r w:rsidR="008A7EB3" w:rsidRPr="00732174">
        <w:rPr>
          <w:rFonts w:cs="Verdana"/>
          <w:bCs/>
          <w:color w:val="auto"/>
          <w:sz w:val="24"/>
          <w:szCs w:val="24"/>
        </w:rPr>
        <w:t>EvidenceProf Blog</w:t>
      </w:r>
      <w:r w:rsidR="0068506D" w:rsidRPr="00732174">
        <w:rPr>
          <w:rFonts w:cs="Verdana"/>
          <w:bCs/>
          <w:color w:val="auto"/>
          <w:sz w:val="24"/>
          <w:szCs w:val="24"/>
        </w:rPr>
        <w:t xml:space="preserve"> (</w:t>
      </w:r>
      <w:r w:rsidR="008A7EB3" w:rsidRPr="00732174">
        <w:rPr>
          <w:rFonts w:cs="Verdana"/>
          <w:bCs/>
          <w:color w:val="auto"/>
          <w:sz w:val="24"/>
          <w:szCs w:val="24"/>
        </w:rPr>
        <w:t>Aug. 29, 2011</w:t>
      </w:r>
      <w:r w:rsidR="0068506D" w:rsidRPr="00732174">
        <w:rPr>
          <w:rFonts w:cs="Verdana"/>
          <w:bCs/>
          <w:color w:val="auto"/>
          <w:sz w:val="24"/>
          <w:szCs w:val="24"/>
        </w:rPr>
        <w:t xml:space="preserve">) </w:t>
      </w:r>
      <w:hyperlink r:id="rId73" w:history="1">
        <w:r w:rsidR="002A7A17" w:rsidRPr="00732174">
          <w:rPr>
            <w:rStyle w:val="Hyperlink"/>
            <w:rFonts w:cs="Verdana"/>
            <w:bCs/>
            <w:color w:val="auto"/>
            <w:sz w:val="24"/>
            <w:szCs w:val="24"/>
          </w:rPr>
          <w:t>http://lawprofessors.typepad.com/evidenceprof/2011/08/can-you-hear-me-court-of-appeals-of-texas-finds-failure-to-hold-in-camera-rape-shield-hearing-isnt-r.html</w:t>
        </w:r>
      </w:hyperlink>
      <w:r w:rsidRPr="00732174">
        <w:rPr>
          <w:bCs/>
          <w:color w:val="auto"/>
          <w:sz w:val="24"/>
          <w:szCs w:val="24"/>
        </w:rPr>
        <w:t>.</w:t>
      </w:r>
      <w:proofErr w:type="gramEnd"/>
      <w:r w:rsidR="0068506D" w:rsidRPr="00732174">
        <w:rPr>
          <w:bCs/>
          <w:color w:val="auto"/>
          <w:sz w:val="24"/>
          <w:szCs w:val="24"/>
        </w:rPr>
        <w:t xml:space="preserve"> </w:t>
      </w:r>
      <w:r w:rsidRPr="00732174">
        <w:rPr>
          <w:bCs/>
          <w:color w:val="auto"/>
          <w:sz w:val="24"/>
          <w:szCs w:val="24"/>
        </w:rPr>
        <w:t>That said</w:t>
      </w:r>
      <w:proofErr w:type="gramStart"/>
      <w:r w:rsidRPr="00732174">
        <w:rPr>
          <w:bCs/>
          <w:color w:val="auto"/>
          <w:sz w:val="24"/>
          <w:szCs w:val="24"/>
        </w:rPr>
        <w:t>,</w:t>
      </w:r>
      <w:proofErr w:type="gramEnd"/>
      <w:r w:rsidRPr="00732174">
        <w:rPr>
          <w:bCs/>
          <w:color w:val="auto"/>
          <w:sz w:val="24"/>
          <w:szCs w:val="24"/>
        </w:rPr>
        <w:t xml:space="preserve"> a trial court likely violates the Rape Shield Rule or the right to counsel if it holds a </w:t>
      </w:r>
      <w:r w:rsidRPr="00732174">
        <w:rPr>
          <w:rFonts w:cs="Verdana"/>
          <w:color w:val="auto"/>
          <w:sz w:val="24"/>
          <w:szCs w:val="24"/>
        </w:rPr>
        <w:t>Rule 412(c)</w:t>
      </w:r>
      <w:r w:rsidRPr="00732174">
        <w:rPr>
          <w:color w:val="auto"/>
          <w:sz w:val="24"/>
          <w:szCs w:val="24"/>
        </w:rPr>
        <w:t xml:space="preserve"> hearing but does not allow the defendant to attend or be represented at it by an attorney. </w:t>
      </w:r>
      <w:r w:rsidRPr="00732174">
        <w:rPr>
          <w:i/>
          <w:color w:val="auto"/>
          <w:sz w:val="24"/>
          <w:szCs w:val="24"/>
        </w:rPr>
        <w:t xml:space="preserve">See </w:t>
      </w:r>
      <w:hyperlink r:id="rId74" w:history="1">
        <w:proofErr w:type="spellStart"/>
        <w:r w:rsidRPr="00732174">
          <w:rPr>
            <w:rStyle w:val="Hyperlink"/>
            <w:rFonts w:cs="Verdana"/>
            <w:i/>
            <w:color w:val="auto"/>
            <w:sz w:val="24"/>
            <w:szCs w:val="24"/>
          </w:rPr>
          <w:t>LaPointe</w:t>
        </w:r>
        <w:proofErr w:type="spellEnd"/>
        <w:r w:rsidRPr="00732174">
          <w:rPr>
            <w:rStyle w:val="Hyperlink"/>
            <w:rFonts w:cs="Verdana"/>
            <w:i/>
            <w:color w:val="auto"/>
            <w:sz w:val="24"/>
            <w:szCs w:val="24"/>
          </w:rPr>
          <w:t xml:space="preserve"> v. State</w:t>
        </w:r>
      </w:hyperlink>
      <w:r w:rsidRPr="00732174">
        <w:rPr>
          <w:color w:val="auto"/>
          <w:sz w:val="24"/>
          <w:szCs w:val="24"/>
        </w:rPr>
        <w:t xml:space="preserve">, </w:t>
      </w:r>
      <w:proofErr w:type="gramStart"/>
      <w:r w:rsidRPr="00732174">
        <w:rPr>
          <w:color w:val="auto"/>
          <w:sz w:val="24"/>
          <w:szCs w:val="24"/>
        </w:rPr>
        <w:t>225 S.W.3d 513, 520-21</w:t>
      </w:r>
      <w:proofErr w:type="gramEnd"/>
      <w:r w:rsidRPr="00732174">
        <w:rPr>
          <w:color w:val="auto"/>
          <w:sz w:val="24"/>
          <w:szCs w:val="24"/>
        </w:rPr>
        <w:t xml:space="preserve"> (Tex.</w:t>
      </w:r>
      <w:r w:rsidR="0056277C" w:rsidRPr="00732174">
        <w:rPr>
          <w:color w:val="auto"/>
          <w:sz w:val="24"/>
          <w:szCs w:val="24"/>
        </w:rPr>
        <w:t xml:space="preserve"> </w:t>
      </w:r>
      <w:r w:rsidRPr="00732174">
        <w:rPr>
          <w:color w:val="auto"/>
          <w:sz w:val="24"/>
          <w:szCs w:val="24"/>
        </w:rPr>
        <w:t>Crim.</w:t>
      </w:r>
      <w:r w:rsidR="0056277C" w:rsidRPr="00732174">
        <w:rPr>
          <w:color w:val="auto"/>
          <w:sz w:val="24"/>
          <w:szCs w:val="24"/>
        </w:rPr>
        <w:t xml:space="preserve"> </w:t>
      </w:r>
      <w:r w:rsidRPr="00732174">
        <w:rPr>
          <w:color w:val="auto"/>
          <w:sz w:val="24"/>
          <w:szCs w:val="24"/>
        </w:rPr>
        <w:t>App. 2007).</w:t>
      </w:r>
    </w:p>
    <w:p w:rsidR="008F7B19" w:rsidRPr="00732174" w:rsidRDefault="00394721" w:rsidP="00A96494">
      <w:pPr>
        <w:pStyle w:val="HypoHeading"/>
        <w:rPr>
          <w:sz w:val="24"/>
          <w:szCs w:val="24"/>
        </w:rPr>
      </w:pPr>
      <w:bookmarkStart w:id="26" w:name="_Toc315873688"/>
      <w:r w:rsidRPr="00732174">
        <w:rPr>
          <w:sz w:val="24"/>
          <w:szCs w:val="24"/>
        </w:rPr>
        <w:t>Hypothetical 9</w:t>
      </w:r>
      <w:bookmarkEnd w:id="26"/>
      <w:r w:rsidRPr="00732174">
        <w:rPr>
          <w:sz w:val="24"/>
          <w:szCs w:val="24"/>
        </w:rPr>
        <w:t xml:space="preserve"> </w:t>
      </w:r>
    </w:p>
    <w:p w:rsidR="00394721" w:rsidRPr="00732174" w:rsidRDefault="00394721" w:rsidP="00226032">
      <w:pPr>
        <w:pStyle w:val="CaseBody"/>
        <w:rPr>
          <w:color w:val="auto"/>
          <w:sz w:val="24"/>
          <w:szCs w:val="24"/>
        </w:rPr>
      </w:pPr>
      <w:r w:rsidRPr="00732174">
        <w:rPr>
          <w:color w:val="auto"/>
          <w:sz w:val="24"/>
          <w:szCs w:val="24"/>
        </w:rPr>
        <w:t xml:space="preserve">Danny </w:t>
      </w:r>
      <w:proofErr w:type="spellStart"/>
      <w:r w:rsidRPr="00732174">
        <w:rPr>
          <w:color w:val="auto"/>
          <w:sz w:val="24"/>
          <w:szCs w:val="24"/>
        </w:rPr>
        <w:t>Raplinger</w:t>
      </w:r>
      <w:proofErr w:type="spellEnd"/>
      <w:r w:rsidRPr="00732174">
        <w:rPr>
          <w:color w:val="auto"/>
          <w:sz w:val="24"/>
          <w:szCs w:val="24"/>
        </w:rPr>
        <w:t xml:space="preserve"> is charged with sexually exploiting a minor. At the close of the prosecution’s case, </w:t>
      </w:r>
      <w:proofErr w:type="spellStart"/>
      <w:r w:rsidRPr="00732174">
        <w:rPr>
          <w:color w:val="auto"/>
          <w:sz w:val="24"/>
          <w:szCs w:val="24"/>
        </w:rPr>
        <w:t>Raplinger</w:t>
      </w:r>
      <w:proofErr w:type="spellEnd"/>
      <w:r w:rsidRPr="00732174">
        <w:rPr>
          <w:color w:val="auto"/>
          <w:sz w:val="24"/>
          <w:szCs w:val="24"/>
        </w:rPr>
        <w:t xml:space="preserve"> offers Defendant’s Exhibits A, B, C, and D as “a late attachment” to a previously filed Sealed Motion.</w:t>
      </w:r>
      <w:r w:rsidR="00AA0B31" w:rsidRPr="00732174">
        <w:rPr>
          <w:color w:val="auto"/>
          <w:sz w:val="24"/>
          <w:szCs w:val="24"/>
        </w:rPr>
        <w:t xml:space="preserve"> </w:t>
      </w:r>
      <w:r w:rsidRPr="00732174">
        <w:rPr>
          <w:color w:val="auto"/>
          <w:sz w:val="24"/>
          <w:szCs w:val="24"/>
        </w:rPr>
        <w:t xml:space="preserve">These Exhibits consist of previously sent sexually explicit letters from the alleged victim’s Yahoo! Profile to </w:t>
      </w:r>
      <w:proofErr w:type="spellStart"/>
      <w:r w:rsidRPr="00732174">
        <w:rPr>
          <w:color w:val="auto"/>
          <w:sz w:val="24"/>
          <w:szCs w:val="24"/>
        </w:rPr>
        <w:t>Raplinger</w:t>
      </w:r>
      <w:proofErr w:type="spellEnd"/>
      <w:r w:rsidRPr="00732174">
        <w:rPr>
          <w:color w:val="auto"/>
          <w:sz w:val="24"/>
          <w:szCs w:val="24"/>
        </w:rPr>
        <w:t xml:space="preserve"> and a sexually explicit digital image posted next to her name.</w:t>
      </w:r>
      <w:r w:rsidR="00AA0B31" w:rsidRPr="00732174">
        <w:rPr>
          <w:color w:val="auto"/>
          <w:sz w:val="24"/>
          <w:szCs w:val="24"/>
        </w:rPr>
        <w:t xml:space="preserve"> </w:t>
      </w:r>
      <w:proofErr w:type="spellStart"/>
      <w:r w:rsidRPr="00732174">
        <w:rPr>
          <w:color w:val="auto"/>
          <w:sz w:val="24"/>
          <w:szCs w:val="24"/>
        </w:rPr>
        <w:t>Raplinger</w:t>
      </w:r>
      <w:proofErr w:type="spellEnd"/>
      <w:r w:rsidRPr="00732174">
        <w:rPr>
          <w:color w:val="auto"/>
          <w:sz w:val="24"/>
          <w:szCs w:val="24"/>
        </w:rPr>
        <w:t xml:space="preserve"> claims that this evidence is admissible under Rule 412(b</w:t>
      </w:r>
      <w:proofErr w:type="gramStart"/>
      <w:r w:rsidRPr="00732174">
        <w:rPr>
          <w:color w:val="auto"/>
          <w:sz w:val="24"/>
          <w:szCs w:val="24"/>
        </w:rPr>
        <w:t>)(</w:t>
      </w:r>
      <w:proofErr w:type="gramEnd"/>
      <w:r w:rsidRPr="00732174">
        <w:rPr>
          <w:color w:val="auto"/>
          <w:sz w:val="24"/>
          <w:szCs w:val="24"/>
        </w:rPr>
        <w:t>1)(B), but the prosecution counters that the evidence is inadmissible because the alleged victim statutorily could not have consented to her exploitation.</w:t>
      </w:r>
      <w:r w:rsidR="00AA0B31" w:rsidRPr="00732174">
        <w:rPr>
          <w:color w:val="auto"/>
          <w:sz w:val="24"/>
          <w:szCs w:val="24"/>
        </w:rPr>
        <w:t xml:space="preserve"> </w:t>
      </w:r>
      <w:r w:rsidRPr="00732174">
        <w:rPr>
          <w:color w:val="auto"/>
          <w:sz w:val="24"/>
          <w:szCs w:val="24"/>
        </w:rPr>
        <w:t xml:space="preserve">Is there another reason why the evidence is inadmissible? </w:t>
      </w:r>
      <w:hyperlink r:id="rId75" w:history="1">
        <w:r w:rsidRPr="00732174">
          <w:rPr>
            <w:rStyle w:val="Hyperlink"/>
            <w:i/>
            <w:color w:val="auto"/>
            <w:sz w:val="24"/>
            <w:szCs w:val="24"/>
          </w:rPr>
          <w:t>See</w:t>
        </w:r>
        <w:r w:rsidRPr="00732174">
          <w:rPr>
            <w:rStyle w:val="Hyperlink"/>
            <w:color w:val="auto"/>
            <w:sz w:val="24"/>
            <w:szCs w:val="24"/>
          </w:rPr>
          <w:t xml:space="preserve"> </w:t>
        </w:r>
        <w:r w:rsidRPr="00732174">
          <w:rPr>
            <w:rStyle w:val="Hyperlink"/>
            <w:i/>
            <w:color w:val="auto"/>
            <w:sz w:val="24"/>
            <w:szCs w:val="24"/>
          </w:rPr>
          <w:t xml:space="preserve">United States v. </w:t>
        </w:r>
        <w:proofErr w:type="spellStart"/>
        <w:r w:rsidRPr="00732174">
          <w:rPr>
            <w:rStyle w:val="Hyperlink"/>
            <w:i/>
            <w:color w:val="auto"/>
            <w:sz w:val="24"/>
            <w:szCs w:val="24"/>
          </w:rPr>
          <w:t>Raplinger</w:t>
        </w:r>
        <w:proofErr w:type="spellEnd"/>
      </w:hyperlink>
      <w:r w:rsidRPr="00732174">
        <w:rPr>
          <w:color w:val="auto"/>
          <w:sz w:val="24"/>
          <w:szCs w:val="24"/>
        </w:rPr>
        <w:t>, 2006 WL 3455266 (N.D. Iowa 2006).</w:t>
      </w:r>
    </w:p>
    <w:p w:rsidR="008F7B19" w:rsidRPr="00732174" w:rsidRDefault="00394721" w:rsidP="00A96494">
      <w:pPr>
        <w:pStyle w:val="HypoHeading"/>
        <w:rPr>
          <w:sz w:val="24"/>
          <w:szCs w:val="24"/>
        </w:rPr>
      </w:pPr>
      <w:bookmarkStart w:id="27" w:name="_Toc315873689"/>
      <w:r w:rsidRPr="00732174">
        <w:rPr>
          <w:sz w:val="24"/>
          <w:szCs w:val="24"/>
        </w:rPr>
        <w:t>Hypothetical 10</w:t>
      </w:r>
      <w:bookmarkEnd w:id="27"/>
    </w:p>
    <w:p w:rsidR="00394721" w:rsidRPr="00732174" w:rsidRDefault="00394721" w:rsidP="00226032">
      <w:pPr>
        <w:pStyle w:val="CaseBody"/>
        <w:rPr>
          <w:color w:val="auto"/>
          <w:sz w:val="24"/>
          <w:szCs w:val="24"/>
        </w:rPr>
      </w:pPr>
      <w:r w:rsidRPr="00732174">
        <w:rPr>
          <w:color w:val="auto"/>
          <w:sz w:val="24"/>
          <w:szCs w:val="24"/>
        </w:rPr>
        <w:t>Jonathan Pablo is charged with rape.</w:t>
      </w:r>
      <w:r w:rsidR="00AA0B31" w:rsidRPr="00732174">
        <w:rPr>
          <w:color w:val="auto"/>
          <w:sz w:val="24"/>
          <w:szCs w:val="24"/>
        </w:rPr>
        <w:t xml:space="preserve"> </w:t>
      </w:r>
      <w:r w:rsidRPr="00732174">
        <w:rPr>
          <w:color w:val="auto"/>
          <w:sz w:val="24"/>
          <w:szCs w:val="24"/>
        </w:rPr>
        <w:t xml:space="preserve">At trial, he seeks to present evidence (1) that the alleged victim was seen undressed with two other men on the night of the rape; and (2) that the alleged victim made sexual advances towards </w:t>
      </w:r>
      <w:r w:rsidRPr="00732174">
        <w:rPr>
          <w:color w:val="auto"/>
          <w:sz w:val="24"/>
          <w:szCs w:val="24"/>
        </w:rPr>
        <w:lastRenderedPageBreak/>
        <w:t>Pablo’s co-defendant on the night of the alleged rape.</w:t>
      </w:r>
      <w:r w:rsidR="00AA0B31" w:rsidRPr="00732174">
        <w:rPr>
          <w:color w:val="auto"/>
          <w:sz w:val="24"/>
          <w:szCs w:val="24"/>
        </w:rPr>
        <w:t xml:space="preserve"> </w:t>
      </w:r>
      <w:r w:rsidRPr="00732174">
        <w:rPr>
          <w:color w:val="auto"/>
          <w:sz w:val="24"/>
          <w:szCs w:val="24"/>
        </w:rPr>
        <w:t>Pablo acknowledges that this argument is covered by Rule 412 but believes that it qualifies for admission under Rule 412(b</w:t>
      </w:r>
      <w:proofErr w:type="gramStart"/>
      <w:r w:rsidRPr="00732174">
        <w:rPr>
          <w:color w:val="auto"/>
          <w:sz w:val="24"/>
          <w:szCs w:val="24"/>
        </w:rPr>
        <w:t>)(</w:t>
      </w:r>
      <w:proofErr w:type="gramEnd"/>
      <w:r w:rsidRPr="00732174">
        <w:rPr>
          <w:color w:val="auto"/>
          <w:sz w:val="24"/>
          <w:szCs w:val="24"/>
        </w:rPr>
        <w:t>1)(C).</w:t>
      </w:r>
      <w:r w:rsidR="00AA0B31" w:rsidRPr="00732174">
        <w:rPr>
          <w:color w:val="auto"/>
          <w:sz w:val="24"/>
          <w:szCs w:val="24"/>
        </w:rPr>
        <w:t xml:space="preserve"> </w:t>
      </w:r>
      <w:r w:rsidRPr="00732174">
        <w:rPr>
          <w:color w:val="auto"/>
          <w:sz w:val="24"/>
          <w:szCs w:val="24"/>
        </w:rPr>
        <w:t>Pablo did not file a written motion under Rule 412(c</w:t>
      </w:r>
      <w:proofErr w:type="gramStart"/>
      <w:r w:rsidRPr="00732174">
        <w:rPr>
          <w:color w:val="auto"/>
          <w:sz w:val="24"/>
          <w:szCs w:val="24"/>
        </w:rPr>
        <w:t>)(</w:t>
      </w:r>
      <w:proofErr w:type="gramEnd"/>
      <w:r w:rsidRPr="00732174">
        <w:rPr>
          <w:color w:val="auto"/>
          <w:sz w:val="24"/>
          <w:szCs w:val="24"/>
        </w:rPr>
        <w:t>1)(A).</w:t>
      </w:r>
      <w:r w:rsidR="00AA0B31" w:rsidRPr="00732174">
        <w:rPr>
          <w:color w:val="auto"/>
          <w:sz w:val="24"/>
          <w:szCs w:val="24"/>
        </w:rPr>
        <w:t xml:space="preserve"> </w:t>
      </w:r>
      <w:r w:rsidRPr="00732174">
        <w:rPr>
          <w:color w:val="auto"/>
          <w:sz w:val="24"/>
          <w:szCs w:val="24"/>
        </w:rPr>
        <w:t>Pablo, however, claims that the government relieved him of his obligation to comply with Rule 412(c) by providing its own written notice to the court a month before indicating that Pablo might introduce some evidence that would fall within Rule 412’s scope.</w:t>
      </w:r>
      <w:r w:rsidR="00AA0B31" w:rsidRPr="00732174">
        <w:rPr>
          <w:color w:val="auto"/>
          <w:sz w:val="24"/>
          <w:szCs w:val="24"/>
        </w:rPr>
        <w:t xml:space="preserve"> </w:t>
      </w:r>
      <w:r w:rsidRPr="00732174">
        <w:rPr>
          <w:color w:val="auto"/>
          <w:sz w:val="24"/>
          <w:szCs w:val="24"/>
        </w:rPr>
        <w:t xml:space="preserve">Is he correct? </w:t>
      </w:r>
      <w:r w:rsidRPr="00732174">
        <w:rPr>
          <w:i/>
          <w:color w:val="auto"/>
          <w:sz w:val="24"/>
          <w:szCs w:val="24"/>
        </w:rPr>
        <w:t xml:space="preserve">See </w:t>
      </w:r>
      <w:hyperlink r:id="rId76" w:history="1">
        <w:r w:rsidRPr="00732174">
          <w:rPr>
            <w:rStyle w:val="Hyperlink"/>
            <w:i/>
            <w:color w:val="auto"/>
            <w:sz w:val="24"/>
            <w:szCs w:val="24"/>
          </w:rPr>
          <w:t>United States v. Pablo</w:t>
        </w:r>
      </w:hyperlink>
      <w:r w:rsidRPr="00732174">
        <w:rPr>
          <w:color w:val="auto"/>
          <w:sz w:val="24"/>
          <w:szCs w:val="24"/>
        </w:rPr>
        <w:t xml:space="preserve">, </w:t>
      </w:r>
      <w:proofErr w:type="gramStart"/>
      <w:r w:rsidRPr="00732174">
        <w:rPr>
          <w:color w:val="auto"/>
          <w:sz w:val="24"/>
          <w:szCs w:val="24"/>
        </w:rPr>
        <w:t>625 F.3d 1285</w:t>
      </w:r>
      <w:proofErr w:type="gramEnd"/>
      <w:r w:rsidRPr="00732174">
        <w:rPr>
          <w:color w:val="auto"/>
          <w:sz w:val="24"/>
          <w:szCs w:val="24"/>
        </w:rPr>
        <w:t xml:space="preserve"> (10</w:t>
      </w:r>
      <w:r w:rsidR="00B05F45" w:rsidRPr="00732174">
        <w:rPr>
          <w:color w:val="auto"/>
          <w:sz w:val="24"/>
          <w:szCs w:val="24"/>
        </w:rPr>
        <w:t>th</w:t>
      </w:r>
      <w:r w:rsidRPr="00732174">
        <w:rPr>
          <w:color w:val="auto"/>
          <w:sz w:val="24"/>
          <w:szCs w:val="24"/>
        </w:rPr>
        <w:t xml:space="preserve"> Cir. 2010).</w:t>
      </w:r>
    </w:p>
    <w:tbl>
      <w:tblPr>
        <w:tblW w:w="0" w:type="auto"/>
        <w:tblInd w:w="108" w:type="dxa"/>
        <w:tblBorders>
          <w:insideV w:val="single" w:sz="4" w:space="0" w:color="auto"/>
        </w:tblBorders>
        <w:tblLook w:val="0000" w:firstRow="0" w:lastRow="0" w:firstColumn="0" w:lastColumn="0" w:noHBand="0" w:noVBand="0"/>
      </w:tblPr>
      <w:tblGrid>
        <w:gridCol w:w="3233"/>
        <w:gridCol w:w="3355"/>
      </w:tblGrid>
      <w:tr w:rsidR="00394721" w:rsidRPr="00732174">
        <w:trPr>
          <w:trHeight w:val="1520"/>
        </w:trPr>
        <w:tc>
          <w:tcPr>
            <w:tcW w:w="3233" w:type="dxa"/>
          </w:tcPr>
          <w:p w:rsidR="00C74D9F" w:rsidRPr="00732174" w:rsidRDefault="00C74D9F" w:rsidP="00E20C22">
            <w:pPr>
              <w:pStyle w:val="TableHeading"/>
              <w:ind w:left="0"/>
              <w:rPr>
                <w:color w:val="auto"/>
                <w:sz w:val="24"/>
                <w:szCs w:val="24"/>
              </w:rPr>
            </w:pPr>
            <w:r w:rsidRPr="00732174">
              <w:rPr>
                <w:color w:val="auto"/>
                <w:sz w:val="24"/>
                <w:szCs w:val="24"/>
              </w:rPr>
              <w:lastRenderedPageBreak/>
              <w:t>Prior Rules Language:</w:t>
            </w:r>
          </w:p>
          <w:p w:rsidR="00394721" w:rsidRPr="00732174" w:rsidRDefault="00394721" w:rsidP="00B63D9E">
            <w:pPr>
              <w:autoSpaceDE w:val="0"/>
              <w:autoSpaceDN w:val="0"/>
              <w:adjustRightInd w:val="0"/>
              <w:spacing w:after="120" w:line="276" w:lineRule="auto"/>
              <w:rPr>
                <w:rFonts w:ascii="Garamond" w:hAnsi="Garamond"/>
                <w:b/>
              </w:rPr>
            </w:pPr>
            <w:r w:rsidRPr="00732174">
              <w:rPr>
                <w:rFonts w:ascii="Garamond" w:hAnsi="Garamond"/>
                <w:b/>
              </w:rPr>
              <w:t>(c) Procedure To Determine Admissibility.</w:t>
            </w:r>
          </w:p>
          <w:p w:rsidR="00394721" w:rsidRPr="00732174" w:rsidRDefault="00394721" w:rsidP="00B63D9E">
            <w:pPr>
              <w:autoSpaceDE w:val="0"/>
              <w:autoSpaceDN w:val="0"/>
              <w:adjustRightInd w:val="0"/>
              <w:spacing w:after="120" w:line="276" w:lineRule="auto"/>
              <w:ind w:left="162"/>
              <w:rPr>
                <w:rFonts w:ascii="Garamond" w:hAnsi="Garamond"/>
              </w:rPr>
            </w:pPr>
            <w:r w:rsidRPr="00732174">
              <w:rPr>
                <w:rFonts w:ascii="Garamond" w:hAnsi="Garamond"/>
                <w:b/>
              </w:rPr>
              <w:t>(1)</w:t>
            </w:r>
            <w:r w:rsidRPr="00732174">
              <w:rPr>
                <w:rFonts w:ascii="Garamond" w:hAnsi="Garamond"/>
              </w:rPr>
              <w:t xml:space="preserve"> A party intending to offer evidence under subdivision (b) must—</w:t>
            </w:r>
          </w:p>
          <w:p w:rsidR="00394721" w:rsidRPr="00732174" w:rsidRDefault="00394721" w:rsidP="00B63D9E">
            <w:pPr>
              <w:autoSpaceDE w:val="0"/>
              <w:autoSpaceDN w:val="0"/>
              <w:adjustRightInd w:val="0"/>
              <w:spacing w:after="120" w:line="276" w:lineRule="auto"/>
              <w:ind w:left="342"/>
              <w:rPr>
                <w:rFonts w:ascii="Garamond" w:hAnsi="Garamond"/>
              </w:rPr>
            </w:pPr>
            <w:r w:rsidRPr="00732174">
              <w:rPr>
                <w:rFonts w:ascii="Garamond" w:hAnsi="Garamond"/>
                <w:b/>
              </w:rPr>
              <w:t xml:space="preserve">(A) </w:t>
            </w:r>
            <w:r w:rsidRPr="00732174">
              <w:rPr>
                <w:rFonts w:ascii="Garamond" w:hAnsi="Garamond"/>
              </w:rPr>
              <w:t>file a written motion at least 14 days before trial specifically describing the evidence and stating the purpose for which it is offered unless the court, for good cause requires a different time for filing or permits filing during trial; and</w:t>
            </w:r>
          </w:p>
          <w:p w:rsidR="00394721" w:rsidRPr="00732174" w:rsidRDefault="00394721" w:rsidP="00B63D9E">
            <w:pPr>
              <w:autoSpaceDE w:val="0"/>
              <w:autoSpaceDN w:val="0"/>
              <w:adjustRightInd w:val="0"/>
              <w:spacing w:after="120" w:line="276" w:lineRule="auto"/>
              <w:ind w:left="342"/>
              <w:rPr>
                <w:rFonts w:ascii="Garamond" w:hAnsi="Garamond"/>
              </w:rPr>
            </w:pPr>
            <w:r w:rsidRPr="00732174">
              <w:rPr>
                <w:rFonts w:ascii="Garamond" w:hAnsi="Garamond"/>
                <w:b/>
              </w:rPr>
              <w:t>(B)</w:t>
            </w:r>
            <w:r w:rsidRPr="00732174">
              <w:rPr>
                <w:rFonts w:ascii="Garamond" w:hAnsi="Garamond"/>
              </w:rPr>
              <w:t xml:space="preserve"> </w:t>
            </w:r>
            <w:proofErr w:type="gramStart"/>
            <w:r w:rsidRPr="00732174">
              <w:rPr>
                <w:rFonts w:ascii="Garamond" w:hAnsi="Garamond"/>
              </w:rPr>
              <w:t>serve</w:t>
            </w:r>
            <w:proofErr w:type="gramEnd"/>
            <w:r w:rsidRPr="00732174">
              <w:rPr>
                <w:rFonts w:ascii="Garamond" w:hAnsi="Garamond"/>
              </w:rPr>
              <w:t xml:space="preserve"> the motion on all parties and notify the alleged victim or, when appropriate, the alleged victim’s guardian or representative.</w:t>
            </w:r>
          </w:p>
          <w:p w:rsidR="00394721" w:rsidRPr="00732174" w:rsidRDefault="00394721" w:rsidP="00B63D9E">
            <w:pPr>
              <w:autoSpaceDE w:val="0"/>
              <w:autoSpaceDN w:val="0"/>
              <w:adjustRightInd w:val="0"/>
              <w:spacing w:after="120" w:line="276" w:lineRule="auto"/>
              <w:ind w:left="162"/>
              <w:rPr>
                <w:rFonts w:ascii="Garamond" w:hAnsi="Garamond"/>
              </w:rPr>
            </w:pPr>
            <w:r w:rsidRPr="00732174">
              <w:rPr>
                <w:rFonts w:ascii="Garamond" w:hAnsi="Garamond"/>
                <w:b/>
              </w:rPr>
              <w:t>(2)</w:t>
            </w:r>
            <w:r w:rsidRPr="00732174">
              <w:rPr>
                <w:rFonts w:ascii="Garamond" w:hAnsi="Garamond"/>
              </w:rPr>
              <w:t xml:space="preserve"> Before admitting evidence under this rule the court must conduct a hearing in camera and afford the victim and parties a right to attend and be heard. The motion, related papers, and the record of the hearing must be sealed and remain under seal unless the court orders otherwise.</w:t>
            </w:r>
          </w:p>
        </w:tc>
        <w:tc>
          <w:tcPr>
            <w:tcW w:w="3355" w:type="dxa"/>
          </w:tcPr>
          <w:p w:rsidR="00C74D9F" w:rsidRPr="00732174" w:rsidRDefault="00C74D9F" w:rsidP="00E20C22">
            <w:pPr>
              <w:pStyle w:val="TableHeading"/>
              <w:ind w:left="-11"/>
              <w:rPr>
                <w:color w:val="auto"/>
                <w:sz w:val="24"/>
                <w:szCs w:val="24"/>
              </w:rPr>
            </w:pPr>
            <w:r w:rsidRPr="00732174">
              <w:rPr>
                <w:color w:val="auto"/>
                <w:sz w:val="24"/>
                <w:szCs w:val="24"/>
              </w:rPr>
              <w:t>Restyled Rules Language:</w:t>
            </w:r>
          </w:p>
          <w:p w:rsidR="00394721" w:rsidRPr="00732174" w:rsidRDefault="00C74D9F" w:rsidP="00B63D9E">
            <w:pPr>
              <w:spacing w:after="120" w:line="276" w:lineRule="auto"/>
              <w:rPr>
                <w:rFonts w:ascii="Garamond" w:hAnsi="Garamond"/>
                <w:b/>
              </w:rPr>
            </w:pPr>
            <w:r w:rsidRPr="00732174">
              <w:rPr>
                <w:rFonts w:ascii="Garamond" w:hAnsi="Garamond"/>
                <w:b/>
              </w:rPr>
              <w:t xml:space="preserve">(c) Procedure to Determine </w:t>
            </w:r>
            <w:r w:rsidR="00394721" w:rsidRPr="00732174">
              <w:rPr>
                <w:rFonts w:ascii="Garamond" w:hAnsi="Garamond"/>
                <w:b/>
              </w:rPr>
              <w:t>Admissibility.</w:t>
            </w:r>
          </w:p>
          <w:p w:rsidR="00394721" w:rsidRPr="00732174" w:rsidRDefault="00C74D9F" w:rsidP="00B63D9E">
            <w:pPr>
              <w:spacing w:after="120" w:line="276" w:lineRule="auto"/>
              <w:ind w:left="169"/>
              <w:rPr>
                <w:rFonts w:ascii="Garamond" w:hAnsi="Garamond"/>
              </w:rPr>
            </w:pPr>
            <w:r w:rsidRPr="00732174">
              <w:rPr>
                <w:rFonts w:ascii="Garamond" w:hAnsi="Garamond"/>
                <w:b/>
                <w:i/>
              </w:rPr>
              <w:t xml:space="preserve">(1) </w:t>
            </w:r>
            <w:r w:rsidR="00394721" w:rsidRPr="00732174">
              <w:rPr>
                <w:rFonts w:ascii="Garamond" w:hAnsi="Garamond"/>
                <w:b/>
                <w:i/>
              </w:rPr>
              <w:t>Motion.</w:t>
            </w:r>
            <w:r w:rsidR="00AA0B31" w:rsidRPr="00732174">
              <w:rPr>
                <w:rFonts w:ascii="Garamond" w:hAnsi="Garamond"/>
              </w:rPr>
              <w:t xml:space="preserve"> </w:t>
            </w:r>
            <w:r w:rsidR="00394721" w:rsidRPr="00732174">
              <w:rPr>
                <w:rFonts w:ascii="Garamond" w:hAnsi="Garamond"/>
              </w:rPr>
              <w:t>If a party intends to offer evidence under Rule 412(b), the party must:</w:t>
            </w:r>
          </w:p>
          <w:p w:rsidR="00C74D9F" w:rsidRPr="00732174" w:rsidRDefault="00C74D9F" w:rsidP="00B63D9E">
            <w:pPr>
              <w:spacing w:after="120" w:line="276" w:lineRule="auto"/>
              <w:ind w:left="349"/>
              <w:rPr>
                <w:rFonts w:ascii="Garamond" w:hAnsi="Garamond"/>
              </w:rPr>
            </w:pPr>
            <w:r w:rsidRPr="00732174">
              <w:rPr>
                <w:rFonts w:ascii="Garamond" w:hAnsi="Garamond"/>
                <w:b/>
              </w:rPr>
              <w:t>(A)</w:t>
            </w:r>
            <w:r w:rsidRPr="00732174">
              <w:rPr>
                <w:rFonts w:ascii="Garamond" w:hAnsi="Garamond"/>
              </w:rPr>
              <w:t xml:space="preserve"> </w:t>
            </w:r>
            <w:r w:rsidR="00394721" w:rsidRPr="00732174">
              <w:rPr>
                <w:rFonts w:ascii="Garamond" w:hAnsi="Garamond"/>
              </w:rPr>
              <w:t>file a motion that specifically describes the evidence and states the purpose for which it is to be offered;</w:t>
            </w:r>
          </w:p>
          <w:p w:rsidR="00C74D9F" w:rsidRPr="00732174" w:rsidRDefault="00C74D9F" w:rsidP="00B63D9E">
            <w:pPr>
              <w:spacing w:after="120" w:line="276" w:lineRule="auto"/>
              <w:ind w:left="349"/>
              <w:rPr>
                <w:rFonts w:ascii="Garamond" w:hAnsi="Garamond"/>
              </w:rPr>
            </w:pPr>
            <w:r w:rsidRPr="00732174">
              <w:rPr>
                <w:rFonts w:ascii="Garamond" w:hAnsi="Garamond"/>
                <w:b/>
              </w:rPr>
              <w:t>(B)</w:t>
            </w:r>
            <w:r w:rsidRPr="00732174">
              <w:rPr>
                <w:rFonts w:ascii="Garamond" w:hAnsi="Garamond"/>
              </w:rPr>
              <w:t xml:space="preserve"> </w:t>
            </w:r>
            <w:r w:rsidR="00394721" w:rsidRPr="00732174">
              <w:rPr>
                <w:rFonts w:ascii="Garamond" w:hAnsi="Garamond"/>
              </w:rPr>
              <w:t>do so at least 14 days before trial unless the court, for good cause, sets a different time;</w:t>
            </w:r>
          </w:p>
          <w:p w:rsidR="00C74D9F" w:rsidRPr="00732174" w:rsidRDefault="00C74D9F" w:rsidP="00B63D9E">
            <w:pPr>
              <w:spacing w:after="120" w:line="276" w:lineRule="auto"/>
              <w:ind w:left="349"/>
              <w:rPr>
                <w:rFonts w:ascii="Garamond" w:hAnsi="Garamond"/>
              </w:rPr>
            </w:pPr>
            <w:r w:rsidRPr="00732174">
              <w:rPr>
                <w:rFonts w:ascii="Garamond" w:hAnsi="Garamond"/>
                <w:b/>
              </w:rPr>
              <w:t>(C)</w:t>
            </w:r>
            <w:r w:rsidRPr="00732174">
              <w:rPr>
                <w:rFonts w:ascii="Garamond" w:hAnsi="Garamond"/>
              </w:rPr>
              <w:t xml:space="preserve"> </w:t>
            </w:r>
            <w:r w:rsidR="00394721" w:rsidRPr="00732174">
              <w:rPr>
                <w:rFonts w:ascii="Garamond" w:hAnsi="Garamond"/>
              </w:rPr>
              <w:t>serve the motion on all parties; and</w:t>
            </w:r>
          </w:p>
          <w:p w:rsidR="00394721" w:rsidRPr="00732174" w:rsidRDefault="00C74D9F" w:rsidP="00B63D9E">
            <w:pPr>
              <w:spacing w:after="120" w:line="276" w:lineRule="auto"/>
              <w:ind w:left="349"/>
              <w:rPr>
                <w:rFonts w:ascii="Garamond" w:hAnsi="Garamond"/>
              </w:rPr>
            </w:pPr>
            <w:r w:rsidRPr="00732174">
              <w:rPr>
                <w:rFonts w:ascii="Garamond" w:hAnsi="Garamond"/>
                <w:b/>
              </w:rPr>
              <w:t>(D)</w:t>
            </w:r>
            <w:r w:rsidRPr="00732174">
              <w:rPr>
                <w:rFonts w:ascii="Garamond" w:hAnsi="Garamond"/>
              </w:rPr>
              <w:t xml:space="preserve"> </w:t>
            </w:r>
            <w:proofErr w:type="gramStart"/>
            <w:r w:rsidR="00394721" w:rsidRPr="00732174">
              <w:rPr>
                <w:rFonts w:ascii="Garamond" w:hAnsi="Garamond"/>
              </w:rPr>
              <w:t>notify</w:t>
            </w:r>
            <w:proofErr w:type="gramEnd"/>
            <w:r w:rsidR="00394721" w:rsidRPr="00732174">
              <w:rPr>
                <w:rFonts w:ascii="Garamond" w:hAnsi="Garamond"/>
              </w:rPr>
              <w:t xml:space="preserve"> the victim or, when appropriate, the victim’s guardian or representative.</w:t>
            </w:r>
          </w:p>
          <w:p w:rsidR="00394721" w:rsidRPr="00732174" w:rsidRDefault="00C74D9F" w:rsidP="00B63D9E">
            <w:pPr>
              <w:spacing w:after="120" w:line="276" w:lineRule="auto"/>
              <w:ind w:left="169"/>
              <w:rPr>
                <w:rFonts w:ascii="Garamond" w:hAnsi="Garamond"/>
              </w:rPr>
            </w:pPr>
            <w:r w:rsidRPr="00732174">
              <w:rPr>
                <w:rFonts w:ascii="Garamond" w:hAnsi="Garamond"/>
                <w:b/>
              </w:rPr>
              <w:t>(2)</w:t>
            </w:r>
            <w:r w:rsidRPr="00732174">
              <w:rPr>
                <w:rFonts w:ascii="Garamond" w:hAnsi="Garamond"/>
                <w:b/>
                <w:i/>
              </w:rPr>
              <w:t xml:space="preserve"> </w:t>
            </w:r>
            <w:r w:rsidR="00394721" w:rsidRPr="00732174">
              <w:rPr>
                <w:rFonts w:ascii="Garamond" w:hAnsi="Garamond"/>
                <w:b/>
                <w:i/>
              </w:rPr>
              <w:t>Hearing</w:t>
            </w:r>
            <w:r w:rsidR="00394721" w:rsidRPr="00732174">
              <w:rPr>
                <w:rFonts w:ascii="Garamond" w:hAnsi="Garamond"/>
                <w:b/>
              </w:rPr>
              <w:t>.</w:t>
            </w:r>
            <w:r w:rsidR="00AA0B31" w:rsidRPr="00732174">
              <w:rPr>
                <w:rFonts w:ascii="Garamond" w:hAnsi="Garamond"/>
              </w:rPr>
              <w:t xml:space="preserve"> </w:t>
            </w:r>
            <w:r w:rsidR="00394721" w:rsidRPr="00732174">
              <w:rPr>
                <w:rFonts w:ascii="Garamond" w:hAnsi="Garamond"/>
              </w:rPr>
              <w:t>Before admitting evidence under this rule, the court must conduct an in camera hearing and give the victim and parties a right to attend and be heard.</w:t>
            </w:r>
            <w:r w:rsidR="00AA0B31" w:rsidRPr="00732174">
              <w:rPr>
                <w:rFonts w:ascii="Garamond" w:hAnsi="Garamond"/>
              </w:rPr>
              <w:t xml:space="preserve"> </w:t>
            </w:r>
            <w:r w:rsidR="00394721" w:rsidRPr="00732174">
              <w:rPr>
                <w:rFonts w:ascii="Garamond" w:hAnsi="Garamond"/>
              </w:rPr>
              <w:t>Unless the court orders otherwise, the motion, related materials, and the record of the hearing must be and remain sealed.</w:t>
            </w:r>
          </w:p>
          <w:p w:rsidR="00394721" w:rsidRPr="00732174" w:rsidRDefault="00394721" w:rsidP="00B63D9E">
            <w:pPr>
              <w:tabs>
                <w:tab w:val="left" w:pos="533"/>
                <w:tab w:val="left" w:pos="1080"/>
              </w:tabs>
              <w:spacing w:line="276" w:lineRule="auto"/>
              <w:rPr>
                <w:rFonts w:ascii="Garamond" w:hAnsi="Garamond"/>
              </w:rPr>
            </w:pPr>
          </w:p>
        </w:tc>
      </w:tr>
    </w:tbl>
    <w:p w:rsidR="00394721" w:rsidRPr="00732174" w:rsidRDefault="00A572C3" w:rsidP="00B63D9E">
      <w:pPr>
        <w:pStyle w:val="Heading"/>
        <w:rPr>
          <w:color w:val="auto"/>
          <w:szCs w:val="24"/>
          <w:u w:color="0000FF"/>
        </w:rPr>
      </w:pPr>
      <w:bookmarkStart w:id="28" w:name="_Toc320342483"/>
      <w:r w:rsidRPr="00732174">
        <w:rPr>
          <w:color w:val="auto"/>
          <w:szCs w:val="24"/>
          <w:u w:color="0000FF"/>
        </w:rPr>
        <w:lastRenderedPageBreak/>
        <w:t xml:space="preserve">VI. </w:t>
      </w:r>
      <w:r w:rsidR="00394721" w:rsidRPr="00732174">
        <w:rPr>
          <w:color w:val="auto"/>
          <w:szCs w:val="24"/>
          <w:u w:color="0000FF"/>
        </w:rPr>
        <w:t>Rape Shield Pleadings</w:t>
      </w:r>
      <w:bookmarkEnd w:id="28"/>
    </w:p>
    <w:p w:rsidR="00394721" w:rsidRPr="00732174" w:rsidRDefault="00394721" w:rsidP="00226032">
      <w:pPr>
        <w:pStyle w:val="Body"/>
        <w:rPr>
          <w:color w:val="auto"/>
          <w:sz w:val="24"/>
          <w:szCs w:val="24"/>
        </w:rPr>
      </w:pPr>
      <w:r w:rsidRPr="00732174">
        <w:rPr>
          <w:color w:val="auto"/>
          <w:sz w:val="24"/>
          <w:szCs w:val="24"/>
        </w:rPr>
        <w:t>Some concise examples of motions connected to evidence sought to be admitted or excluded under the Best Evidence Rule can be found at:</w:t>
      </w:r>
    </w:p>
    <w:p w:rsidR="00394721" w:rsidRPr="00732174" w:rsidRDefault="00394721" w:rsidP="00226032">
      <w:pPr>
        <w:pStyle w:val="Body"/>
        <w:rPr>
          <w:color w:val="auto"/>
          <w:sz w:val="24"/>
          <w:szCs w:val="24"/>
        </w:rPr>
      </w:pPr>
      <w:r w:rsidRPr="00732174">
        <w:rPr>
          <w:color w:val="auto"/>
          <w:sz w:val="24"/>
          <w:szCs w:val="24"/>
        </w:rPr>
        <w:sym w:font="Symbol" w:char="F0B7"/>
      </w:r>
      <w:r w:rsidR="00486F65" w:rsidRPr="00732174">
        <w:rPr>
          <w:color w:val="auto"/>
          <w:sz w:val="24"/>
          <w:szCs w:val="24"/>
        </w:rPr>
        <w:t xml:space="preserve"> </w:t>
      </w:r>
      <w:r w:rsidRPr="00732174">
        <w:rPr>
          <w:i/>
          <w:color w:val="auto"/>
          <w:sz w:val="24"/>
          <w:szCs w:val="24"/>
        </w:rPr>
        <w:t>Velez-Lopez v. Long Life Home, Inc.</w:t>
      </w:r>
      <w:r w:rsidRPr="00732174">
        <w:rPr>
          <w:color w:val="auto"/>
          <w:sz w:val="24"/>
          <w:szCs w:val="24"/>
        </w:rPr>
        <w:t>, 2009 WL 2590030 (</w:t>
      </w:r>
      <w:proofErr w:type="spellStart"/>
      <w:r w:rsidRPr="00732174">
        <w:rPr>
          <w:color w:val="auto"/>
          <w:sz w:val="24"/>
          <w:szCs w:val="24"/>
        </w:rPr>
        <w:t>D.Puerto</w:t>
      </w:r>
      <w:proofErr w:type="spellEnd"/>
      <w:r w:rsidRPr="00732174">
        <w:rPr>
          <w:color w:val="auto"/>
          <w:sz w:val="24"/>
          <w:szCs w:val="24"/>
        </w:rPr>
        <w:t xml:space="preserve"> Rico 2009) (Defendants’ Opposition to Plaintiff</w:t>
      </w:r>
      <w:r w:rsidR="00915E14" w:rsidRPr="00732174">
        <w:rPr>
          <w:color w:val="auto"/>
          <w:sz w:val="24"/>
          <w:szCs w:val="24"/>
        </w:rPr>
        <w:t>’</w:t>
      </w:r>
      <w:r w:rsidRPr="00732174">
        <w:rPr>
          <w:color w:val="auto"/>
          <w:sz w:val="24"/>
          <w:szCs w:val="24"/>
        </w:rPr>
        <w:t>s Mo</w:t>
      </w:r>
      <w:r w:rsidR="0006249A" w:rsidRPr="00732174">
        <w:rPr>
          <w:color w:val="auto"/>
          <w:sz w:val="24"/>
          <w:szCs w:val="24"/>
        </w:rPr>
        <w:t>t</w:t>
      </w:r>
      <w:r w:rsidRPr="00732174">
        <w:rPr>
          <w:color w:val="auto"/>
          <w:sz w:val="24"/>
          <w:szCs w:val="24"/>
        </w:rPr>
        <w:t>ion in Limine);</w:t>
      </w:r>
    </w:p>
    <w:p w:rsidR="00394721" w:rsidRPr="00732174" w:rsidRDefault="00394721" w:rsidP="00226032">
      <w:pPr>
        <w:pStyle w:val="Body"/>
        <w:rPr>
          <w:color w:val="auto"/>
          <w:sz w:val="24"/>
          <w:szCs w:val="24"/>
        </w:rPr>
      </w:pPr>
      <w:r w:rsidRPr="00732174">
        <w:rPr>
          <w:color w:val="auto"/>
          <w:sz w:val="24"/>
          <w:szCs w:val="24"/>
        </w:rPr>
        <w:sym w:font="Symbol" w:char="F0B7"/>
      </w:r>
      <w:r w:rsidR="00486F65" w:rsidRPr="00732174">
        <w:rPr>
          <w:color w:val="auto"/>
          <w:sz w:val="24"/>
          <w:szCs w:val="24"/>
        </w:rPr>
        <w:t xml:space="preserve"> </w:t>
      </w:r>
      <w:proofErr w:type="spellStart"/>
      <w:r w:rsidRPr="00732174">
        <w:rPr>
          <w:i/>
          <w:color w:val="auto"/>
          <w:sz w:val="24"/>
          <w:szCs w:val="24"/>
        </w:rPr>
        <w:t>Maner</w:t>
      </w:r>
      <w:proofErr w:type="spellEnd"/>
      <w:r w:rsidRPr="00732174">
        <w:rPr>
          <w:i/>
          <w:color w:val="auto"/>
          <w:sz w:val="24"/>
          <w:szCs w:val="24"/>
        </w:rPr>
        <w:t xml:space="preserve"> &amp; Goodman III v. Board of Education of Fayette County</w:t>
      </w:r>
      <w:r w:rsidRPr="00732174">
        <w:rPr>
          <w:color w:val="auto"/>
          <w:sz w:val="24"/>
          <w:szCs w:val="24"/>
        </w:rPr>
        <w:t>, 2007 WL 4300140 (Ky.</w:t>
      </w:r>
      <w:r w:rsidR="00B12384" w:rsidRPr="00732174">
        <w:rPr>
          <w:color w:val="auto"/>
          <w:sz w:val="24"/>
          <w:szCs w:val="24"/>
        </w:rPr>
        <w:t xml:space="preserve"> </w:t>
      </w:r>
      <w:r w:rsidRPr="00732174">
        <w:rPr>
          <w:color w:val="auto"/>
          <w:sz w:val="24"/>
          <w:szCs w:val="24"/>
        </w:rPr>
        <w:t>Cir.</w:t>
      </w:r>
      <w:r w:rsidR="00B12384" w:rsidRPr="00732174">
        <w:rPr>
          <w:color w:val="auto"/>
          <w:sz w:val="24"/>
          <w:szCs w:val="24"/>
        </w:rPr>
        <w:t xml:space="preserve"> </w:t>
      </w:r>
      <w:r w:rsidRPr="00732174">
        <w:rPr>
          <w:color w:val="auto"/>
          <w:sz w:val="24"/>
          <w:szCs w:val="24"/>
        </w:rPr>
        <w:t xml:space="preserve">Ct. 2007) (Response to Plaintiff </w:t>
      </w:r>
      <w:proofErr w:type="spellStart"/>
      <w:r w:rsidRPr="00732174">
        <w:rPr>
          <w:color w:val="auto"/>
          <w:sz w:val="24"/>
          <w:szCs w:val="24"/>
        </w:rPr>
        <w:t>Maner’s</w:t>
      </w:r>
      <w:proofErr w:type="spellEnd"/>
      <w:r w:rsidRPr="00732174">
        <w:rPr>
          <w:color w:val="auto"/>
          <w:sz w:val="24"/>
          <w:szCs w:val="24"/>
        </w:rPr>
        <w:t xml:space="preserve"> Motion in </w:t>
      </w:r>
      <w:proofErr w:type="spellStart"/>
      <w:r w:rsidRPr="00732174">
        <w:rPr>
          <w:color w:val="auto"/>
          <w:sz w:val="24"/>
          <w:szCs w:val="24"/>
        </w:rPr>
        <w:t>Limine</w:t>
      </w:r>
      <w:proofErr w:type="spellEnd"/>
      <w:r w:rsidRPr="00732174">
        <w:rPr>
          <w:color w:val="auto"/>
          <w:sz w:val="24"/>
          <w:szCs w:val="24"/>
        </w:rPr>
        <w:t>); and</w:t>
      </w:r>
    </w:p>
    <w:p w:rsidR="00394721" w:rsidRPr="00732174" w:rsidRDefault="00394721" w:rsidP="00226032">
      <w:pPr>
        <w:pStyle w:val="Body"/>
        <w:rPr>
          <w:color w:val="auto"/>
          <w:sz w:val="24"/>
          <w:szCs w:val="24"/>
        </w:rPr>
      </w:pPr>
      <w:r w:rsidRPr="00732174">
        <w:rPr>
          <w:color w:val="auto"/>
          <w:sz w:val="24"/>
          <w:szCs w:val="24"/>
        </w:rPr>
        <w:sym w:font="Symbol" w:char="F0B7"/>
      </w:r>
      <w:r w:rsidR="00486F65" w:rsidRPr="00732174">
        <w:rPr>
          <w:color w:val="auto"/>
          <w:sz w:val="24"/>
          <w:szCs w:val="24"/>
        </w:rPr>
        <w:t xml:space="preserve"> </w:t>
      </w:r>
      <w:proofErr w:type="gramStart"/>
      <w:r w:rsidRPr="00732174">
        <w:rPr>
          <w:i/>
          <w:color w:val="auto"/>
          <w:sz w:val="24"/>
          <w:szCs w:val="24"/>
        </w:rPr>
        <w:t>Horne v. Russell County Commissioner</w:t>
      </w:r>
      <w:r w:rsidRPr="00732174">
        <w:rPr>
          <w:color w:val="auto"/>
          <w:sz w:val="24"/>
          <w:szCs w:val="24"/>
        </w:rPr>
        <w:t>, 2005 WL 2302984 (M.D.</w:t>
      </w:r>
      <w:r w:rsidR="00B12384" w:rsidRPr="00732174">
        <w:rPr>
          <w:color w:val="auto"/>
          <w:sz w:val="24"/>
          <w:szCs w:val="24"/>
        </w:rPr>
        <w:t xml:space="preserve"> </w:t>
      </w:r>
      <w:r w:rsidRPr="00732174">
        <w:rPr>
          <w:color w:val="auto"/>
          <w:sz w:val="24"/>
          <w:szCs w:val="24"/>
        </w:rPr>
        <w:t>Ala. 2005) (Plaintiff’s Motion in Limine Regarding Sexual History).</w:t>
      </w:r>
      <w:proofErr w:type="gramEnd"/>
    </w:p>
    <w:sectPr w:rsidR="00394721" w:rsidRPr="00732174" w:rsidSect="00054A76">
      <w:footerReference w:type="first" r:id="rId77"/>
      <w:pgSz w:w="12240" w:h="15840"/>
      <w:pgMar w:top="2160" w:right="2880" w:bottom="2160" w:left="28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D3" w:rsidRDefault="007020D3">
      <w:r>
        <w:separator/>
      </w:r>
    </w:p>
  </w:endnote>
  <w:endnote w:type="continuationSeparator" w:id="0">
    <w:p w:rsidR="007020D3" w:rsidRDefault="0070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522434"/>
      <w:docPartObj>
        <w:docPartGallery w:val="Page Numbers (Bottom of Page)"/>
        <w:docPartUnique/>
      </w:docPartObj>
    </w:sdtPr>
    <w:sdtEndPr>
      <w:rPr>
        <w:noProof/>
      </w:rPr>
    </w:sdtEndPr>
    <w:sdtContent>
      <w:p w:rsidR="00732174" w:rsidRDefault="00732174">
        <w:pPr>
          <w:pStyle w:val="Footer"/>
          <w:jc w:val="center"/>
        </w:pPr>
        <w:r>
          <w:fldChar w:fldCharType="begin"/>
        </w:r>
        <w:r>
          <w:instrText xml:space="preserve"> PAGE   \* MERGEFORMAT </w:instrText>
        </w:r>
        <w:r>
          <w:fldChar w:fldCharType="separate"/>
        </w:r>
        <w:r w:rsidR="00054A76">
          <w:rPr>
            <w:noProof/>
          </w:rPr>
          <w:t>22</w:t>
        </w:r>
        <w:r>
          <w:rPr>
            <w:noProof/>
          </w:rPr>
          <w:fldChar w:fldCharType="end"/>
        </w:r>
      </w:p>
    </w:sdtContent>
  </w:sdt>
  <w:p w:rsidR="00732174" w:rsidRDefault="00732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20349"/>
      <w:docPartObj>
        <w:docPartGallery w:val="Page Numbers (Bottom of Page)"/>
        <w:docPartUnique/>
      </w:docPartObj>
    </w:sdtPr>
    <w:sdtEndPr>
      <w:rPr>
        <w:noProof/>
      </w:rPr>
    </w:sdtEndPr>
    <w:sdtContent>
      <w:p w:rsidR="00054A76" w:rsidRDefault="00054A76">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054A76" w:rsidRDefault="00054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76" w:rsidRDefault="00054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D3" w:rsidRDefault="007020D3">
      <w:r>
        <w:separator/>
      </w:r>
    </w:p>
  </w:footnote>
  <w:footnote w:type="continuationSeparator" w:id="0">
    <w:p w:rsidR="007020D3" w:rsidRDefault="007020D3">
      <w:r>
        <w:continuationSeparator/>
      </w:r>
    </w:p>
  </w:footnote>
  <w:footnote w:id="1">
    <w:p w:rsidR="009F2AFE" w:rsidRPr="00AD09FA" w:rsidRDefault="009F2AFE" w:rsidP="00AD09FA">
      <w:pPr>
        <w:pStyle w:val="EndnoteText"/>
      </w:pPr>
      <w:r w:rsidRPr="00AD09FA">
        <w:rPr>
          <w:rStyle w:val="FootnoteReference"/>
          <w:vertAlign w:val="baseline"/>
        </w:rPr>
        <w:footnoteRef/>
      </w:r>
      <w:r w:rsidRPr="00AD09FA">
        <w:t xml:space="preserve"> Colin Miller, </w:t>
      </w:r>
      <w:r w:rsidRPr="00AD09FA">
        <w:rPr>
          <w:i/>
        </w:rPr>
        <w:t>New Zealand’s New Rule</w:t>
      </w:r>
      <w:proofErr w:type="gramStart"/>
      <w:r w:rsidRPr="00AD09FA">
        <w:rPr>
          <w:i/>
        </w:rPr>
        <w:t>?:</w:t>
      </w:r>
      <w:proofErr w:type="gramEnd"/>
      <w:r w:rsidRPr="00AD09FA">
        <w:rPr>
          <w:i/>
        </w:rPr>
        <w:t xml:space="preserve"> NZ’s Justice Ministry Proposes Rape Shield</w:t>
      </w:r>
      <w:r w:rsidRPr="00AD09FA">
        <w:t xml:space="preserve">, EvidenceProf Blog (Aug. 27, 2008) </w:t>
      </w:r>
      <w:hyperlink r:id="rId1" w:history="1">
        <w:r w:rsidRPr="00AD09FA">
          <w:rPr>
            <w:rStyle w:val="Hyperlink"/>
            <w:color w:val="auto"/>
          </w:rPr>
          <w:t xml:space="preserve">http://lawprofessors.typepad.com/ </w:t>
        </w:r>
        <w:proofErr w:type="spellStart"/>
        <w:r w:rsidRPr="00AD09FA">
          <w:rPr>
            <w:rStyle w:val="Hyperlink"/>
            <w:color w:val="auto"/>
          </w:rPr>
          <w:t>evidenceprof</w:t>
        </w:r>
        <w:proofErr w:type="spellEnd"/>
        <w:r w:rsidRPr="00AD09FA">
          <w:rPr>
            <w:rStyle w:val="Hyperlink"/>
            <w:color w:val="auto"/>
          </w:rPr>
          <w:t>/2008/08/nz-rape-httpwww.html</w:t>
        </w:r>
      </w:hyperlink>
      <w:r w:rsidRPr="00AD09FA">
        <w:t>.</w:t>
      </w:r>
    </w:p>
  </w:footnote>
  <w:footnote w:id="2">
    <w:p w:rsidR="009F2AFE" w:rsidRDefault="009F2AFE" w:rsidP="00AD09FA">
      <w:pPr>
        <w:pStyle w:val="EndnoteText"/>
      </w:pPr>
      <w:r w:rsidRPr="009F2AFE">
        <w:rPr>
          <w:rStyle w:val="FootnoteReference"/>
          <w:vertAlign w:val="baseline"/>
        </w:rPr>
        <w:footnoteRef/>
      </w:r>
      <w:r w:rsidRPr="009F2AFE">
        <w:t xml:space="preserve"> Jason M. Price, Constitutional Law—Sex, Lies and Rape Shield Statutes: The Constitutionality of Interpreting Rape Shield Statutes to Exclude Evidence Relating to the Victim’s Motive to Fabricate, 18 W. N</w:t>
      </w:r>
      <w:r w:rsidRPr="009F2AFE">
        <w:rPr>
          <w:rStyle w:val="smallcaps"/>
        </w:rPr>
        <w:t>ew</w:t>
      </w:r>
      <w:r w:rsidRPr="009F2AFE">
        <w:t xml:space="preserve"> E</w:t>
      </w:r>
      <w:r w:rsidRPr="009F2AFE">
        <w:rPr>
          <w:rStyle w:val="smallcaps"/>
        </w:rPr>
        <w:t>ng</w:t>
      </w:r>
      <w:r w:rsidRPr="009F2AFE">
        <w:t>. L. R</w:t>
      </w:r>
      <w:r w:rsidRPr="009F2AFE">
        <w:rPr>
          <w:rStyle w:val="smallcaps"/>
        </w:rPr>
        <w:t>ev</w:t>
      </w:r>
      <w:r w:rsidRPr="009F2AFE">
        <w:t xml:space="preserve">. 541 (1996), </w:t>
      </w:r>
      <w:hyperlink r:id="rId2" w:history="1">
        <w:r w:rsidRPr="009F2AFE">
          <w:rPr>
            <w:rStyle w:val="Hyperlink"/>
            <w:color w:val="auto"/>
          </w:rPr>
          <w:t>http://digitalcommons.law.wne.edu/lawreview/vol18/iss2/5</w:t>
        </w:r>
      </w:hyperlink>
    </w:p>
  </w:footnote>
  <w:footnote w:id="3">
    <w:p w:rsidR="009F2AFE" w:rsidRPr="009F2AFE" w:rsidRDefault="009F2AFE" w:rsidP="00AD09FA">
      <w:pPr>
        <w:pStyle w:val="EndnoteText"/>
      </w:pPr>
      <w:r w:rsidRPr="009F2AFE">
        <w:rPr>
          <w:rStyle w:val="FootnoteReference"/>
        </w:rPr>
        <w:footnoteRef/>
      </w:r>
      <w:r w:rsidRPr="009F2AFE">
        <w:t xml:space="preserve"> The court’s order is available as a PDF at: </w:t>
      </w:r>
      <w:hyperlink r:id="rId3" w:history="1">
        <w:r w:rsidRPr="009F2AFE">
          <w:rPr>
            <w:rStyle w:val="Hyperlink"/>
            <w:rFonts w:cs="Verdana"/>
            <w:bCs/>
            <w:color w:val="auto"/>
            <w:szCs w:val="26"/>
          </w:rPr>
          <w:t>http://www.courts.state.co.us/ userfiles/File/Court_Probation/5th_Judicial_District/Cases_of_Interest/People_v_Bryant/07-04/ShieldOrder.pdf</w:t>
        </w:r>
      </w:hyperlink>
      <w:r w:rsidRPr="009F2AF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88" w:rsidRPr="00097E88" w:rsidRDefault="00097E88" w:rsidP="00850A18">
    <w:pPr>
      <w:pStyle w:val="Header"/>
      <w:jc w:val="right"/>
      <w:rPr>
        <w:rFonts w:ascii="Garamond" w:hAnsi="Garamond"/>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6C" w:rsidRPr="00962BBB" w:rsidRDefault="002C0D6C" w:rsidP="00850A18">
    <w:pPr>
      <w:pStyle w:val="Header"/>
      <w:rPr>
        <w:rFonts w:ascii="Garamond" w:hAnsi="Garamond"/>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579A"/>
    <w:multiLevelType w:val="hybridMultilevel"/>
    <w:tmpl w:val="AD60E4D4"/>
    <w:lvl w:ilvl="0" w:tplc="9EDAC224">
      <w:start w:val="1"/>
      <w:numFmt w:val="decimal"/>
      <w:lvlText w:val="(%1)"/>
      <w:lvlJc w:val="left"/>
      <w:pPr>
        <w:tabs>
          <w:tab w:val="num" w:pos="720"/>
        </w:tabs>
        <w:ind w:left="1080" w:hanging="533"/>
      </w:pPr>
      <w:rPr>
        <w:rFonts w:hint="default"/>
        <w:b/>
        <w:i w:val="0"/>
      </w:rPr>
    </w:lvl>
    <w:lvl w:ilvl="1" w:tplc="CA0A62FA">
      <w:start w:val="1"/>
      <w:numFmt w:val="upperLetter"/>
      <w:lvlText w:val="(%2)"/>
      <w:lvlJc w:val="left"/>
      <w:pPr>
        <w:tabs>
          <w:tab w:val="num" w:pos="2347"/>
        </w:tabs>
        <w:ind w:left="2347" w:hanging="1267"/>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58255C"/>
    <w:multiLevelType w:val="hybridMultilevel"/>
    <w:tmpl w:val="77BE4F70"/>
    <w:lvl w:ilvl="0" w:tplc="2F5889EA">
      <w:start w:val="1"/>
      <w:numFmt w:val="decimal"/>
      <w:lvlText w:val="(%1)"/>
      <w:lvlJc w:val="left"/>
      <w:pPr>
        <w:tabs>
          <w:tab w:val="num" w:pos="720"/>
        </w:tabs>
        <w:ind w:left="720" w:hanging="1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787BF3"/>
    <w:multiLevelType w:val="hybridMultilevel"/>
    <w:tmpl w:val="AE8E02A4"/>
    <w:lvl w:ilvl="0" w:tplc="86280D94">
      <w:start w:val="1"/>
      <w:numFmt w:val="decimal"/>
      <w:lvlText w:val="(%1)"/>
      <w:lvlJc w:val="left"/>
      <w:pPr>
        <w:tabs>
          <w:tab w:val="num" w:pos="720"/>
        </w:tabs>
        <w:ind w:left="1080" w:hanging="533"/>
      </w:pPr>
      <w:rPr>
        <w:rFonts w:hint="default"/>
        <w:b/>
        <w:i w:val="0"/>
      </w:rPr>
    </w:lvl>
    <w:lvl w:ilvl="1" w:tplc="45065D66">
      <w:start w:val="1"/>
      <w:numFmt w:val="upperLetter"/>
      <w:lvlText w:val="(%2)"/>
      <w:lvlJc w:val="left"/>
      <w:pPr>
        <w:tabs>
          <w:tab w:val="num" w:pos="2347"/>
        </w:tabs>
        <w:ind w:left="1627" w:hanging="547"/>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55C9E"/>
    <w:multiLevelType w:val="hybridMultilevel"/>
    <w:tmpl w:val="AD60E4D4"/>
    <w:lvl w:ilvl="0" w:tplc="9EDAC224">
      <w:start w:val="1"/>
      <w:numFmt w:val="decimal"/>
      <w:lvlText w:val="(%1)"/>
      <w:lvlJc w:val="left"/>
      <w:pPr>
        <w:tabs>
          <w:tab w:val="num" w:pos="720"/>
        </w:tabs>
        <w:ind w:left="1080" w:hanging="533"/>
      </w:pPr>
      <w:rPr>
        <w:rFonts w:hint="default"/>
        <w:b/>
        <w:i w:val="0"/>
      </w:rPr>
    </w:lvl>
    <w:lvl w:ilvl="1" w:tplc="CA0A62FA">
      <w:start w:val="1"/>
      <w:numFmt w:val="upperLetter"/>
      <w:lvlText w:val="(%2)"/>
      <w:lvlJc w:val="left"/>
      <w:pPr>
        <w:tabs>
          <w:tab w:val="num" w:pos="2347"/>
        </w:tabs>
        <w:ind w:left="2347" w:hanging="1267"/>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8C2E03"/>
    <w:multiLevelType w:val="hybridMultilevel"/>
    <w:tmpl w:val="CE10B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337CFA"/>
    <w:multiLevelType w:val="hybridMultilevel"/>
    <w:tmpl w:val="ACF4A77C"/>
    <w:lvl w:ilvl="0" w:tplc="8BB894A2">
      <w:numFmt w:val="bullet"/>
      <w:lvlText w:val=""/>
      <w:lvlJc w:val="left"/>
      <w:pPr>
        <w:ind w:left="720" w:hanging="360"/>
      </w:pPr>
      <w:rPr>
        <w:rFonts w:ascii="Garamond" w:eastAsia="ヒラギノ角ゴ Pro W3"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17034F"/>
    <w:multiLevelType w:val="hybridMultilevel"/>
    <w:tmpl w:val="5E4A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68"/>
    <w:rsid w:val="0000368A"/>
    <w:rsid w:val="0000782E"/>
    <w:rsid w:val="00023F71"/>
    <w:rsid w:val="00037E89"/>
    <w:rsid w:val="00054A76"/>
    <w:rsid w:val="0006249A"/>
    <w:rsid w:val="000704B2"/>
    <w:rsid w:val="00085B9F"/>
    <w:rsid w:val="00097E88"/>
    <w:rsid w:val="000A2168"/>
    <w:rsid w:val="000C42A8"/>
    <w:rsid w:val="000C4506"/>
    <w:rsid w:val="00116469"/>
    <w:rsid w:val="00117CB7"/>
    <w:rsid w:val="00123044"/>
    <w:rsid w:val="0012609B"/>
    <w:rsid w:val="00126DA7"/>
    <w:rsid w:val="001272A4"/>
    <w:rsid w:val="001407B8"/>
    <w:rsid w:val="001729D9"/>
    <w:rsid w:val="0019545E"/>
    <w:rsid w:val="001963A3"/>
    <w:rsid w:val="00197A87"/>
    <w:rsid w:val="001A5BB7"/>
    <w:rsid w:val="001A79BC"/>
    <w:rsid w:val="001D6A80"/>
    <w:rsid w:val="001D7826"/>
    <w:rsid w:val="001F6B2D"/>
    <w:rsid w:val="001F76C3"/>
    <w:rsid w:val="0020546D"/>
    <w:rsid w:val="00226032"/>
    <w:rsid w:val="00241318"/>
    <w:rsid w:val="002442A1"/>
    <w:rsid w:val="00257970"/>
    <w:rsid w:val="00262F9A"/>
    <w:rsid w:val="0027525C"/>
    <w:rsid w:val="00296457"/>
    <w:rsid w:val="002A7A17"/>
    <w:rsid w:val="002C0D6C"/>
    <w:rsid w:val="002C28C0"/>
    <w:rsid w:val="002E0C0D"/>
    <w:rsid w:val="002F409D"/>
    <w:rsid w:val="003072EC"/>
    <w:rsid w:val="00310099"/>
    <w:rsid w:val="003210D5"/>
    <w:rsid w:val="003306E9"/>
    <w:rsid w:val="0037175E"/>
    <w:rsid w:val="00372D20"/>
    <w:rsid w:val="00394721"/>
    <w:rsid w:val="003C6FD4"/>
    <w:rsid w:val="003D3CD1"/>
    <w:rsid w:val="003D3E9D"/>
    <w:rsid w:val="003D7BC6"/>
    <w:rsid w:val="004328A5"/>
    <w:rsid w:val="00446BE4"/>
    <w:rsid w:val="00451E6B"/>
    <w:rsid w:val="00453262"/>
    <w:rsid w:val="00461188"/>
    <w:rsid w:val="00467D35"/>
    <w:rsid w:val="004770D6"/>
    <w:rsid w:val="00485E87"/>
    <w:rsid w:val="00486F65"/>
    <w:rsid w:val="00494610"/>
    <w:rsid w:val="004A1470"/>
    <w:rsid w:val="004D3383"/>
    <w:rsid w:val="004F1AAC"/>
    <w:rsid w:val="005004C3"/>
    <w:rsid w:val="005176EA"/>
    <w:rsid w:val="005235E1"/>
    <w:rsid w:val="00527C66"/>
    <w:rsid w:val="0055093B"/>
    <w:rsid w:val="00551E68"/>
    <w:rsid w:val="0056277C"/>
    <w:rsid w:val="00563BB9"/>
    <w:rsid w:val="005742A4"/>
    <w:rsid w:val="005855F6"/>
    <w:rsid w:val="00590341"/>
    <w:rsid w:val="005F0A24"/>
    <w:rsid w:val="005F2CBB"/>
    <w:rsid w:val="005F4164"/>
    <w:rsid w:val="006051DD"/>
    <w:rsid w:val="006141C4"/>
    <w:rsid w:val="0061498C"/>
    <w:rsid w:val="00630BE3"/>
    <w:rsid w:val="006467BC"/>
    <w:rsid w:val="006475FB"/>
    <w:rsid w:val="0068506D"/>
    <w:rsid w:val="00695316"/>
    <w:rsid w:val="006C3F02"/>
    <w:rsid w:val="007020D3"/>
    <w:rsid w:val="00715462"/>
    <w:rsid w:val="00716F35"/>
    <w:rsid w:val="007315A6"/>
    <w:rsid w:val="00732174"/>
    <w:rsid w:val="00782925"/>
    <w:rsid w:val="00784FA6"/>
    <w:rsid w:val="007850CF"/>
    <w:rsid w:val="007878ED"/>
    <w:rsid w:val="007A25C4"/>
    <w:rsid w:val="007D1F8E"/>
    <w:rsid w:val="007D6276"/>
    <w:rsid w:val="007E2065"/>
    <w:rsid w:val="008119E4"/>
    <w:rsid w:val="00843628"/>
    <w:rsid w:val="008505D3"/>
    <w:rsid w:val="00850A18"/>
    <w:rsid w:val="00853685"/>
    <w:rsid w:val="00863416"/>
    <w:rsid w:val="00871C92"/>
    <w:rsid w:val="00897F09"/>
    <w:rsid w:val="008A7EB3"/>
    <w:rsid w:val="008B1C30"/>
    <w:rsid w:val="008C1B4F"/>
    <w:rsid w:val="008E5CFD"/>
    <w:rsid w:val="008F17A5"/>
    <w:rsid w:val="008F5F26"/>
    <w:rsid w:val="008F7B19"/>
    <w:rsid w:val="00902AEF"/>
    <w:rsid w:val="00911E20"/>
    <w:rsid w:val="00915E14"/>
    <w:rsid w:val="009256D7"/>
    <w:rsid w:val="009262EA"/>
    <w:rsid w:val="009445BD"/>
    <w:rsid w:val="00952D3E"/>
    <w:rsid w:val="00953F01"/>
    <w:rsid w:val="0095485F"/>
    <w:rsid w:val="00962BBB"/>
    <w:rsid w:val="0097256C"/>
    <w:rsid w:val="0097552A"/>
    <w:rsid w:val="00995035"/>
    <w:rsid w:val="009A51A8"/>
    <w:rsid w:val="009B5C99"/>
    <w:rsid w:val="009B73FA"/>
    <w:rsid w:val="009C7F83"/>
    <w:rsid w:val="009D22B4"/>
    <w:rsid w:val="009E4794"/>
    <w:rsid w:val="009F12DA"/>
    <w:rsid w:val="009F2AFE"/>
    <w:rsid w:val="009F50F9"/>
    <w:rsid w:val="00A11A15"/>
    <w:rsid w:val="00A572C3"/>
    <w:rsid w:val="00A615EE"/>
    <w:rsid w:val="00A87146"/>
    <w:rsid w:val="00A87FD5"/>
    <w:rsid w:val="00A90C7B"/>
    <w:rsid w:val="00A96494"/>
    <w:rsid w:val="00AA0B31"/>
    <w:rsid w:val="00AA62AE"/>
    <w:rsid w:val="00AB4FFC"/>
    <w:rsid w:val="00AD09FA"/>
    <w:rsid w:val="00AD6FA3"/>
    <w:rsid w:val="00B025E3"/>
    <w:rsid w:val="00B039F4"/>
    <w:rsid w:val="00B05F45"/>
    <w:rsid w:val="00B07493"/>
    <w:rsid w:val="00B0757D"/>
    <w:rsid w:val="00B076E1"/>
    <w:rsid w:val="00B12384"/>
    <w:rsid w:val="00B30325"/>
    <w:rsid w:val="00B5329F"/>
    <w:rsid w:val="00B63D9E"/>
    <w:rsid w:val="00B85528"/>
    <w:rsid w:val="00BA21E1"/>
    <w:rsid w:val="00BB25DC"/>
    <w:rsid w:val="00BC106C"/>
    <w:rsid w:val="00BD691E"/>
    <w:rsid w:val="00BF0EB1"/>
    <w:rsid w:val="00BF4675"/>
    <w:rsid w:val="00C063B8"/>
    <w:rsid w:val="00C22669"/>
    <w:rsid w:val="00C40C19"/>
    <w:rsid w:val="00C6412C"/>
    <w:rsid w:val="00C74D9F"/>
    <w:rsid w:val="00C91F83"/>
    <w:rsid w:val="00CA0C1B"/>
    <w:rsid w:val="00CA1D44"/>
    <w:rsid w:val="00CB3BC4"/>
    <w:rsid w:val="00CF1A9F"/>
    <w:rsid w:val="00D05D49"/>
    <w:rsid w:val="00D17CFF"/>
    <w:rsid w:val="00D6534C"/>
    <w:rsid w:val="00D910EC"/>
    <w:rsid w:val="00DC7D1D"/>
    <w:rsid w:val="00DD166A"/>
    <w:rsid w:val="00DE0BB0"/>
    <w:rsid w:val="00DE1BCF"/>
    <w:rsid w:val="00DE6AD1"/>
    <w:rsid w:val="00E063E1"/>
    <w:rsid w:val="00E107DD"/>
    <w:rsid w:val="00E20C22"/>
    <w:rsid w:val="00E22A44"/>
    <w:rsid w:val="00E23D20"/>
    <w:rsid w:val="00E26BE1"/>
    <w:rsid w:val="00E31D10"/>
    <w:rsid w:val="00E472F8"/>
    <w:rsid w:val="00E60E78"/>
    <w:rsid w:val="00E70E1C"/>
    <w:rsid w:val="00E76D5A"/>
    <w:rsid w:val="00E83896"/>
    <w:rsid w:val="00ED1F17"/>
    <w:rsid w:val="00EE2656"/>
    <w:rsid w:val="00F01CA1"/>
    <w:rsid w:val="00F0398E"/>
    <w:rsid w:val="00F12F3E"/>
    <w:rsid w:val="00F258C4"/>
    <w:rsid w:val="00F42F3A"/>
    <w:rsid w:val="00F475F9"/>
    <w:rsid w:val="00F679D3"/>
    <w:rsid w:val="00F712C9"/>
    <w:rsid w:val="00F7255A"/>
    <w:rsid w:val="00F81E21"/>
    <w:rsid w:val="00FD4925"/>
    <w:rsid w:val="00FF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locked="1" w:semiHidden="1" w:unhideWhenUsed="1" w:qFormat="1"/>
    <w:lsdException w:name="heading 6" w:locked="1" w:semiHidden="1" w:unhideWhenUsed="1" w:qFormat="1"/>
    <w:lsdException w:name="heading 7" w:semiHidden="1" w:unhideWhenUsed="1"/>
    <w:lsdException w:name="heading 8" w:semiHidden="1" w:unhideWhenUsed="1"/>
    <w:lsdException w:name="heading 9" w:semiHidden="1" w:unhideWhenUsed="1"/>
    <w:lsdException w:name="toc 1" w:uiPriority="39"/>
    <w:lsdException w:name="toc 2" w:uiPriority="39"/>
    <w:lsdException w:name="footer" w:uiPriority="99"/>
    <w:lsdException w:name="caption" w:semiHidden="1" w:unhideWhenUsed="1" w:qFormat="1"/>
    <w:lsdException w:name="endnote text" w:qFormat="1"/>
    <w:lsdException w:name="Title" w:qFormat="1"/>
    <w:lsdException w:name="Subtitle" w:qFormat="1"/>
    <w:lsdException w:name="Hyperlink" w:uiPriority="99"/>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71" w:unhideWhenUsed="1" w:qFormat="1"/>
  </w:latentStyles>
  <w:style w:type="paragraph" w:default="1" w:styleId="Normal">
    <w:name w:val="Normal"/>
    <w:rsid w:val="000C03C6"/>
    <w:rPr>
      <w:sz w:val="24"/>
      <w:szCs w:val="24"/>
    </w:rPr>
  </w:style>
  <w:style w:type="paragraph" w:styleId="Heading1">
    <w:name w:val="heading 1"/>
    <w:basedOn w:val="Normal"/>
    <w:next w:val="Normal"/>
    <w:link w:val="Heading1Char"/>
    <w:rsid w:val="00E31D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A51A8"/>
    <w:pPr>
      <w:keepNext/>
      <w:keepLines/>
      <w:spacing w:before="200"/>
      <w:outlineLvl w:val="1"/>
    </w:pPr>
    <w:rPr>
      <w:rFonts w:ascii="Cambria" w:hAnsi="Cambria"/>
      <w:bCs/>
      <w:color w:val="4F81BD"/>
      <w:sz w:val="26"/>
      <w:szCs w:val="26"/>
    </w:rPr>
  </w:style>
  <w:style w:type="paragraph" w:styleId="Heading3">
    <w:name w:val="heading 3"/>
    <w:basedOn w:val="Normal"/>
    <w:next w:val="Normal"/>
    <w:link w:val="Heading3Char"/>
    <w:semiHidden/>
    <w:unhideWhenUsed/>
    <w:qFormat/>
    <w:rsid w:val="009A51A8"/>
    <w:pPr>
      <w:keepNext/>
      <w:keepLines/>
      <w:spacing w:before="200"/>
      <w:outlineLvl w:val="2"/>
    </w:pPr>
    <w:rPr>
      <w:rFonts w:ascii="Cambria" w:hAnsi="Cambria"/>
      <w:bCs/>
      <w:color w:val="4F81BD"/>
      <w:sz w:val="22"/>
    </w:rPr>
  </w:style>
  <w:style w:type="paragraph" w:styleId="Heading4">
    <w:name w:val="heading 4"/>
    <w:basedOn w:val="Normal"/>
    <w:next w:val="Normal"/>
    <w:link w:val="Heading4Char"/>
    <w:semiHidden/>
    <w:unhideWhenUsed/>
    <w:qFormat/>
    <w:rsid w:val="009A51A8"/>
    <w:pPr>
      <w:keepNext/>
      <w:keepLines/>
      <w:spacing w:before="200"/>
      <w:outlineLvl w:val="3"/>
    </w:pPr>
    <w:rPr>
      <w:rFonts w:ascii="Cambria" w:hAnsi="Cambria"/>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B3B"/>
    <w:rPr>
      <w:color w:val="0000FF"/>
      <w:u w:val="single"/>
    </w:rPr>
  </w:style>
  <w:style w:type="paragraph" w:styleId="HTMLPreformatted">
    <w:name w:val="HTML Preformatted"/>
    <w:basedOn w:val="Normal"/>
    <w:link w:val="HTMLPreformattedChar"/>
    <w:uiPriority w:val="99"/>
    <w:unhideWhenUsed/>
    <w:rsid w:val="00CD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D070D"/>
    <w:rPr>
      <w:rFonts w:ascii="Courier New" w:eastAsia="Times New Roman" w:hAnsi="Courier New" w:cs="Courier New"/>
    </w:rPr>
  </w:style>
  <w:style w:type="paragraph" w:styleId="Footer">
    <w:name w:val="footer"/>
    <w:basedOn w:val="Normal"/>
    <w:link w:val="FooterChar"/>
    <w:uiPriority w:val="99"/>
    <w:unhideWhenUsed/>
    <w:rsid w:val="008C4B62"/>
    <w:pPr>
      <w:tabs>
        <w:tab w:val="center" w:pos="4320"/>
        <w:tab w:val="right" w:pos="8640"/>
      </w:tabs>
    </w:pPr>
  </w:style>
  <w:style w:type="character" w:customStyle="1" w:styleId="FooterChar">
    <w:name w:val="Footer Char"/>
    <w:basedOn w:val="DefaultParagraphFont"/>
    <w:link w:val="Footer"/>
    <w:uiPriority w:val="99"/>
    <w:rsid w:val="008C4B62"/>
    <w:rPr>
      <w:sz w:val="24"/>
      <w:szCs w:val="24"/>
    </w:rPr>
  </w:style>
  <w:style w:type="character" w:styleId="PageNumber">
    <w:name w:val="page number"/>
    <w:basedOn w:val="DefaultParagraphFont"/>
    <w:uiPriority w:val="99"/>
    <w:semiHidden/>
    <w:unhideWhenUsed/>
    <w:rsid w:val="008C4B62"/>
  </w:style>
  <w:style w:type="character" w:styleId="FollowedHyperlink">
    <w:name w:val="FollowedHyperlink"/>
    <w:basedOn w:val="DefaultParagraphFont"/>
    <w:rsid w:val="00D36507"/>
    <w:rPr>
      <w:color w:val="800080"/>
      <w:u w:val="single"/>
    </w:rPr>
  </w:style>
  <w:style w:type="paragraph" w:styleId="Header">
    <w:name w:val="header"/>
    <w:basedOn w:val="Normal"/>
    <w:link w:val="HeaderChar"/>
    <w:rsid w:val="00D45F02"/>
    <w:pPr>
      <w:tabs>
        <w:tab w:val="center" w:pos="4320"/>
        <w:tab w:val="right" w:pos="8640"/>
      </w:tabs>
    </w:pPr>
  </w:style>
  <w:style w:type="character" w:customStyle="1" w:styleId="HeaderChar">
    <w:name w:val="Header Char"/>
    <w:basedOn w:val="DefaultParagraphFont"/>
    <w:link w:val="Header"/>
    <w:rsid w:val="00D45F02"/>
    <w:rPr>
      <w:sz w:val="24"/>
      <w:szCs w:val="24"/>
    </w:rPr>
  </w:style>
  <w:style w:type="character" w:customStyle="1" w:styleId="Heading2Char">
    <w:name w:val="Heading 2 Char"/>
    <w:basedOn w:val="DefaultParagraphFont"/>
    <w:link w:val="Heading2"/>
    <w:semiHidden/>
    <w:rsid w:val="009A51A8"/>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semiHidden/>
    <w:rsid w:val="009A51A8"/>
    <w:rPr>
      <w:rFonts w:ascii="Cambria" w:eastAsia="Times New Roman" w:hAnsi="Cambria" w:cs="Times New Roman"/>
      <w:bCs/>
      <w:color w:val="4F81BD"/>
      <w:sz w:val="22"/>
      <w:szCs w:val="24"/>
    </w:rPr>
  </w:style>
  <w:style w:type="character" w:customStyle="1" w:styleId="Heading4Char">
    <w:name w:val="Heading 4 Char"/>
    <w:basedOn w:val="DefaultParagraphFont"/>
    <w:link w:val="Heading4"/>
    <w:semiHidden/>
    <w:rsid w:val="009A51A8"/>
    <w:rPr>
      <w:rFonts w:ascii="Cambria" w:eastAsia="Times New Roman" w:hAnsi="Cambria" w:cs="Times New Roman"/>
      <w:bCs/>
      <w:i/>
      <w:iCs/>
      <w:color w:val="4F81BD"/>
      <w:sz w:val="22"/>
      <w:szCs w:val="24"/>
    </w:rPr>
  </w:style>
  <w:style w:type="paragraph" w:styleId="Caption">
    <w:name w:val="caption"/>
    <w:qFormat/>
    <w:rsid w:val="009A51A8"/>
    <w:pPr>
      <w:spacing w:line="276" w:lineRule="auto"/>
      <w:ind w:left="1080" w:right="1080"/>
      <w:jc w:val="center"/>
    </w:pPr>
    <w:rPr>
      <w:rFonts w:ascii="Garamond" w:eastAsia="ヒラギノ角ゴ Pro W3" w:hAnsi="Garamond"/>
      <w:i/>
      <w:color w:val="000000"/>
      <w:sz w:val="21"/>
    </w:rPr>
  </w:style>
  <w:style w:type="paragraph" w:styleId="EndnoteText">
    <w:name w:val="endnote text"/>
    <w:basedOn w:val="Normal"/>
    <w:link w:val="EndnoteTextChar"/>
    <w:autoRedefine/>
    <w:qFormat/>
    <w:rsid w:val="00AD09FA"/>
    <w:pPr>
      <w:spacing w:after="120" w:line="276" w:lineRule="auto"/>
      <w:jc w:val="both"/>
    </w:pPr>
    <w:rPr>
      <w:rFonts w:ascii="Garamond" w:hAnsi="Garamond"/>
      <w:sz w:val="20"/>
      <w:szCs w:val="20"/>
    </w:rPr>
  </w:style>
  <w:style w:type="character" w:customStyle="1" w:styleId="EndnoteTextChar">
    <w:name w:val="Endnote Text Char"/>
    <w:basedOn w:val="DefaultParagraphFont"/>
    <w:link w:val="EndnoteText"/>
    <w:rsid w:val="00AD09FA"/>
    <w:rPr>
      <w:rFonts w:ascii="Garamond" w:hAnsi="Garamond"/>
    </w:rPr>
  </w:style>
  <w:style w:type="paragraph" w:styleId="Title">
    <w:name w:val="Title"/>
    <w:aliases w:val="Title Page - Book Title"/>
    <w:next w:val="Body"/>
    <w:link w:val="TitleChar"/>
    <w:qFormat/>
    <w:rsid w:val="009A51A8"/>
    <w:pPr>
      <w:keepNext/>
      <w:outlineLvl w:val="0"/>
    </w:pPr>
    <w:rPr>
      <w:rFonts w:ascii="Garamond" w:eastAsia="ヒラギノ角ゴ Pro W3" w:hAnsi="Garamond"/>
      <w:color w:val="000000"/>
      <w:sz w:val="72"/>
    </w:rPr>
  </w:style>
  <w:style w:type="character" w:customStyle="1" w:styleId="TitleChar">
    <w:name w:val="Title Char"/>
    <w:aliases w:val="Title Page - Book Title Char"/>
    <w:basedOn w:val="DefaultParagraphFont"/>
    <w:link w:val="Title"/>
    <w:rsid w:val="00A572C3"/>
    <w:rPr>
      <w:rFonts w:ascii="Garamond" w:eastAsia="ヒラギノ角ゴ Pro W3" w:hAnsi="Garamond"/>
      <w:color w:val="000000"/>
      <w:sz w:val="72"/>
      <w:lang w:val="en-US" w:eastAsia="en-US" w:bidi="ar-SA"/>
    </w:rPr>
  </w:style>
  <w:style w:type="paragraph" w:styleId="Subtitle">
    <w:name w:val="Subtitle"/>
    <w:aliases w:val="Title Page - Subtitle"/>
    <w:link w:val="SubtitleChar"/>
    <w:qFormat/>
    <w:rsid w:val="009A51A8"/>
    <w:pPr>
      <w:keepLines/>
      <w:outlineLvl w:val="1"/>
    </w:pPr>
    <w:rPr>
      <w:rFonts w:ascii="Garamond" w:eastAsia="ヒラギノ角ゴ Pro W3" w:hAnsi="Garamond"/>
      <w:color w:val="000000"/>
      <w:sz w:val="40"/>
    </w:rPr>
  </w:style>
  <w:style w:type="character" w:customStyle="1" w:styleId="SubtitleChar">
    <w:name w:val="Subtitle Char"/>
    <w:aliases w:val="Title Page - Subtitle Char"/>
    <w:basedOn w:val="DefaultParagraphFont"/>
    <w:link w:val="Subtitle"/>
    <w:rsid w:val="00A572C3"/>
    <w:rPr>
      <w:rFonts w:ascii="Garamond" w:eastAsia="ヒラギノ角ゴ Pro W3" w:hAnsi="Garamond"/>
      <w:color w:val="000000"/>
      <w:sz w:val="40"/>
      <w:lang w:val="en-US" w:eastAsia="en-US" w:bidi="ar-SA"/>
    </w:rPr>
  </w:style>
  <w:style w:type="paragraph" w:customStyle="1" w:styleId="Body">
    <w:name w:val="Body"/>
    <w:link w:val="BodyChar"/>
    <w:qFormat/>
    <w:rsid w:val="009A51A8"/>
    <w:pPr>
      <w:spacing w:after="120" w:line="276" w:lineRule="auto"/>
      <w:jc w:val="both"/>
    </w:pPr>
    <w:rPr>
      <w:rFonts w:ascii="Garamond" w:eastAsia="ヒラギノ角ゴ Pro W3" w:hAnsi="Garamond"/>
      <w:color w:val="000000"/>
      <w:sz w:val="22"/>
    </w:rPr>
  </w:style>
  <w:style w:type="character" w:customStyle="1" w:styleId="BodyChar">
    <w:name w:val="Body Char"/>
    <w:basedOn w:val="DefaultParagraphFont"/>
    <w:link w:val="Body"/>
    <w:rsid w:val="009A51A8"/>
    <w:rPr>
      <w:rFonts w:ascii="Garamond" w:eastAsia="ヒラギノ角ゴ Pro W3" w:hAnsi="Garamond"/>
      <w:color w:val="000000"/>
      <w:sz w:val="22"/>
      <w:lang w:val="en-US" w:eastAsia="en-US" w:bidi="ar-SA"/>
    </w:rPr>
  </w:style>
  <w:style w:type="paragraph" w:customStyle="1" w:styleId="TitlePage-Author">
    <w:name w:val="Title Page - Author"/>
    <w:qFormat/>
    <w:rsid w:val="009A51A8"/>
    <w:pPr>
      <w:keepLines/>
    </w:pPr>
    <w:rPr>
      <w:rFonts w:ascii="Garamond" w:eastAsia="ヒラギノ角ゴ Pro W3" w:hAnsi="Garamond"/>
      <w:noProof/>
      <w:color w:val="000000"/>
      <w:sz w:val="56"/>
    </w:rPr>
  </w:style>
  <w:style w:type="paragraph" w:customStyle="1" w:styleId="ChapterName">
    <w:name w:val="Chapter Name"/>
    <w:next w:val="Body"/>
    <w:qFormat/>
    <w:rsid w:val="009A51A8"/>
    <w:pPr>
      <w:keepNext/>
      <w:spacing w:after="120"/>
      <w:outlineLvl w:val="2"/>
    </w:pPr>
    <w:rPr>
      <w:rFonts w:ascii="Garamond" w:eastAsia="ヒラギノ角ゴ Pro W3" w:hAnsi="Garamond"/>
      <w:color w:val="000000"/>
      <w:sz w:val="56"/>
    </w:rPr>
  </w:style>
  <w:style w:type="paragraph" w:customStyle="1" w:styleId="Heading">
    <w:name w:val="Heading"/>
    <w:qFormat/>
    <w:rsid w:val="009A51A8"/>
    <w:pPr>
      <w:keepNext/>
      <w:keepLines/>
      <w:spacing w:before="240" w:after="120"/>
      <w:outlineLvl w:val="3"/>
    </w:pPr>
    <w:rPr>
      <w:rFonts w:ascii="Garamond" w:eastAsia="ヒラギノ角ゴ Pro W3" w:hAnsi="Garamond"/>
      <w:b/>
      <w:color w:val="000000"/>
      <w:sz w:val="24"/>
    </w:rPr>
  </w:style>
  <w:style w:type="paragraph" w:customStyle="1" w:styleId="Subheading">
    <w:name w:val="Subheading"/>
    <w:link w:val="SubheadingChar"/>
    <w:qFormat/>
    <w:rsid w:val="009A51A8"/>
    <w:pPr>
      <w:keepNext/>
      <w:keepLines/>
      <w:spacing w:before="120" w:after="120"/>
      <w:ind w:left="720"/>
      <w:outlineLvl w:val="4"/>
    </w:pPr>
    <w:rPr>
      <w:rFonts w:ascii="Garamond" w:eastAsia="ヒラギノ角ゴ Pro W3" w:hAnsi="Garamond"/>
      <w:b/>
      <w:color w:val="000000"/>
      <w:sz w:val="23"/>
    </w:rPr>
  </w:style>
  <w:style w:type="paragraph" w:customStyle="1" w:styleId="BlockQuote">
    <w:name w:val="Block Quote"/>
    <w:qFormat/>
    <w:rsid w:val="009A51A8"/>
    <w:pPr>
      <w:spacing w:after="120" w:line="252" w:lineRule="auto"/>
      <w:ind w:left="1080" w:right="1080"/>
      <w:jc w:val="both"/>
    </w:pPr>
    <w:rPr>
      <w:rFonts w:ascii="Garamond" w:eastAsia="ヒラギノ角ゴ Pro W3" w:hAnsi="Garamond"/>
      <w:color w:val="000000"/>
      <w:sz w:val="21"/>
    </w:rPr>
  </w:style>
  <w:style w:type="paragraph" w:customStyle="1" w:styleId="TableBody">
    <w:name w:val="Table Body"/>
    <w:basedOn w:val="Body"/>
    <w:link w:val="TableBodyChar"/>
    <w:qFormat/>
    <w:rsid w:val="009A51A8"/>
    <w:pPr>
      <w:spacing w:after="0"/>
      <w:jc w:val="center"/>
    </w:pPr>
  </w:style>
  <w:style w:type="character" w:customStyle="1" w:styleId="TableBodyChar">
    <w:name w:val="Table Body Char"/>
    <w:basedOn w:val="BodyChar"/>
    <w:link w:val="TableBody"/>
    <w:rsid w:val="009A51A8"/>
    <w:rPr>
      <w:rFonts w:ascii="Garamond" w:eastAsia="ヒラギノ角ゴ Pro W3" w:hAnsi="Garamond"/>
      <w:color w:val="000000"/>
      <w:sz w:val="22"/>
      <w:lang w:val="en-US" w:eastAsia="en-US" w:bidi="ar-SA"/>
    </w:rPr>
  </w:style>
  <w:style w:type="paragraph" w:customStyle="1" w:styleId="CaseHeading">
    <w:name w:val="Case Heading"/>
    <w:basedOn w:val="Normal"/>
    <w:link w:val="CaseHeadingChar"/>
    <w:qFormat/>
    <w:rsid w:val="009A51A8"/>
    <w:pPr>
      <w:keepNext/>
      <w:keepLines/>
      <w:spacing w:after="120" w:line="276" w:lineRule="auto"/>
      <w:ind w:left="360" w:right="360"/>
      <w:contextualSpacing/>
      <w:jc w:val="center"/>
    </w:pPr>
    <w:rPr>
      <w:rFonts w:ascii="Garamond" w:hAnsi="Garamond"/>
      <w:b/>
      <w:sz w:val="23"/>
    </w:rPr>
  </w:style>
  <w:style w:type="character" w:customStyle="1" w:styleId="CaseHeadingChar">
    <w:name w:val="Case Heading Char"/>
    <w:basedOn w:val="DefaultParagraphFont"/>
    <w:link w:val="CaseHeading"/>
    <w:rsid w:val="009A51A8"/>
    <w:rPr>
      <w:rFonts w:ascii="Garamond" w:hAnsi="Garamond"/>
      <w:b/>
      <w:sz w:val="23"/>
      <w:szCs w:val="24"/>
    </w:rPr>
  </w:style>
  <w:style w:type="paragraph" w:customStyle="1" w:styleId="CaseJusticeNameSmallCaps">
    <w:name w:val="Case Justice Name (Small Caps)"/>
    <w:basedOn w:val="Body"/>
    <w:link w:val="CaseJusticeNameSmallCapsChar"/>
    <w:qFormat/>
    <w:rsid w:val="009A51A8"/>
    <w:pPr>
      <w:ind w:left="360" w:right="360"/>
    </w:pPr>
    <w:rPr>
      <w:smallCaps/>
      <w:sz w:val="21"/>
    </w:rPr>
  </w:style>
  <w:style w:type="character" w:customStyle="1" w:styleId="CaseJusticeNameSmallCapsChar">
    <w:name w:val="Case Justice Name (Small Caps) Char"/>
    <w:basedOn w:val="BodyChar"/>
    <w:link w:val="CaseJusticeNameSmallCaps"/>
    <w:rsid w:val="009A51A8"/>
    <w:rPr>
      <w:rFonts w:ascii="Garamond" w:eastAsia="ヒラギノ角ゴ Pro W3" w:hAnsi="Garamond"/>
      <w:smallCaps/>
      <w:color w:val="000000"/>
      <w:sz w:val="21"/>
      <w:lang w:val="en-US" w:eastAsia="en-US" w:bidi="ar-SA"/>
    </w:rPr>
  </w:style>
  <w:style w:type="paragraph" w:customStyle="1" w:styleId="CaseBody">
    <w:name w:val="Case Body"/>
    <w:basedOn w:val="Body"/>
    <w:link w:val="CaseBodyChar"/>
    <w:qFormat/>
    <w:rsid w:val="009A51A8"/>
    <w:pPr>
      <w:ind w:left="360" w:right="360"/>
    </w:pPr>
    <w:rPr>
      <w:sz w:val="21"/>
    </w:rPr>
  </w:style>
  <w:style w:type="character" w:customStyle="1" w:styleId="CaseBodyChar">
    <w:name w:val="Case Body Char"/>
    <w:basedOn w:val="BodyChar"/>
    <w:link w:val="CaseBody"/>
    <w:rsid w:val="009A51A8"/>
    <w:rPr>
      <w:rFonts w:ascii="Garamond" w:eastAsia="ヒラギノ角ゴ Pro W3" w:hAnsi="Garamond"/>
      <w:color w:val="000000"/>
      <w:sz w:val="21"/>
      <w:lang w:val="en-US" w:eastAsia="en-US" w:bidi="ar-SA"/>
    </w:rPr>
  </w:style>
  <w:style w:type="paragraph" w:customStyle="1" w:styleId="ChapterNumber">
    <w:name w:val="Chapter Number"/>
    <w:basedOn w:val="Body"/>
    <w:link w:val="ChapterNumberChar"/>
    <w:qFormat/>
    <w:rsid w:val="009A51A8"/>
    <w:pPr>
      <w:spacing w:after="0"/>
      <w:jc w:val="left"/>
    </w:pPr>
    <w:rPr>
      <w:sz w:val="24"/>
    </w:rPr>
  </w:style>
  <w:style w:type="character" w:customStyle="1" w:styleId="ChapterNumberChar">
    <w:name w:val="Chapter Number Char"/>
    <w:basedOn w:val="BodyChar"/>
    <w:link w:val="ChapterNumber"/>
    <w:rsid w:val="009A51A8"/>
    <w:rPr>
      <w:rFonts w:ascii="Garamond" w:eastAsia="ヒラギノ角ゴ Pro W3" w:hAnsi="Garamond"/>
      <w:color w:val="000000"/>
      <w:sz w:val="24"/>
      <w:lang w:val="en-US" w:eastAsia="en-US" w:bidi="ar-SA"/>
    </w:rPr>
  </w:style>
  <w:style w:type="paragraph" w:customStyle="1" w:styleId="TableHeading">
    <w:name w:val="Table Heading"/>
    <w:basedOn w:val="TableBody"/>
    <w:link w:val="TableHeadingChar"/>
    <w:qFormat/>
    <w:rsid w:val="009A51A8"/>
    <w:pPr>
      <w:keepNext/>
      <w:keepLines/>
      <w:spacing w:before="240"/>
      <w:ind w:left="720"/>
      <w:jc w:val="left"/>
    </w:pPr>
    <w:rPr>
      <w:b/>
      <w:sz w:val="23"/>
    </w:rPr>
  </w:style>
  <w:style w:type="character" w:customStyle="1" w:styleId="TableHeadingChar">
    <w:name w:val="Table Heading Char"/>
    <w:basedOn w:val="TableBodyChar"/>
    <w:link w:val="TableHeading"/>
    <w:rsid w:val="009A51A8"/>
    <w:rPr>
      <w:rFonts w:ascii="Garamond" w:eastAsia="ヒラギノ角ゴ Pro W3" w:hAnsi="Garamond"/>
      <w:b/>
      <w:color w:val="000000"/>
      <w:sz w:val="23"/>
      <w:lang w:val="en-US" w:eastAsia="en-US" w:bidi="ar-SA"/>
    </w:rPr>
  </w:style>
  <w:style w:type="character" w:styleId="CommentReference">
    <w:name w:val="annotation reference"/>
    <w:basedOn w:val="DefaultParagraphFont"/>
    <w:rsid w:val="00E26BE1"/>
    <w:rPr>
      <w:sz w:val="16"/>
      <w:szCs w:val="16"/>
    </w:rPr>
  </w:style>
  <w:style w:type="paragraph" w:styleId="CommentText">
    <w:name w:val="annotation text"/>
    <w:basedOn w:val="Normal"/>
    <w:link w:val="CommentTextChar"/>
    <w:rsid w:val="00E26BE1"/>
    <w:rPr>
      <w:sz w:val="20"/>
      <w:szCs w:val="20"/>
    </w:rPr>
  </w:style>
  <w:style w:type="character" w:customStyle="1" w:styleId="CommentTextChar">
    <w:name w:val="Comment Text Char"/>
    <w:basedOn w:val="DefaultParagraphFont"/>
    <w:link w:val="CommentText"/>
    <w:rsid w:val="00E26BE1"/>
  </w:style>
  <w:style w:type="paragraph" w:styleId="CommentSubject">
    <w:name w:val="annotation subject"/>
    <w:basedOn w:val="CommentText"/>
    <w:next w:val="CommentText"/>
    <w:link w:val="CommentSubjectChar"/>
    <w:rsid w:val="00E26BE1"/>
    <w:rPr>
      <w:b/>
      <w:bCs/>
    </w:rPr>
  </w:style>
  <w:style w:type="character" w:customStyle="1" w:styleId="CommentSubjectChar">
    <w:name w:val="Comment Subject Char"/>
    <w:basedOn w:val="CommentTextChar"/>
    <w:link w:val="CommentSubject"/>
    <w:rsid w:val="00E26BE1"/>
    <w:rPr>
      <w:b/>
      <w:bCs/>
    </w:rPr>
  </w:style>
  <w:style w:type="paragraph" w:styleId="BalloonText">
    <w:name w:val="Balloon Text"/>
    <w:basedOn w:val="Normal"/>
    <w:link w:val="BalloonTextChar"/>
    <w:rsid w:val="00E26BE1"/>
    <w:rPr>
      <w:rFonts w:ascii="Tahoma" w:hAnsi="Tahoma" w:cs="Tahoma"/>
      <w:sz w:val="16"/>
      <w:szCs w:val="16"/>
    </w:rPr>
  </w:style>
  <w:style w:type="character" w:customStyle="1" w:styleId="BalloonTextChar">
    <w:name w:val="Balloon Text Char"/>
    <w:basedOn w:val="DefaultParagraphFont"/>
    <w:link w:val="BalloonText"/>
    <w:rsid w:val="00E26BE1"/>
    <w:rPr>
      <w:rFonts w:ascii="Tahoma" w:hAnsi="Tahoma" w:cs="Tahoma"/>
      <w:sz w:val="16"/>
      <w:szCs w:val="16"/>
    </w:rPr>
  </w:style>
  <w:style w:type="character" w:styleId="EndnoteReference">
    <w:name w:val="endnote reference"/>
    <w:basedOn w:val="DefaultParagraphFont"/>
    <w:rsid w:val="004D3383"/>
    <w:rPr>
      <w:vertAlign w:val="superscript"/>
    </w:rPr>
  </w:style>
  <w:style w:type="character" w:styleId="Emphasis">
    <w:name w:val="Emphasis"/>
    <w:basedOn w:val="DefaultParagraphFont"/>
    <w:uiPriority w:val="20"/>
    <w:rsid w:val="004D3383"/>
    <w:rPr>
      <w:i/>
      <w:iCs/>
    </w:rPr>
  </w:style>
  <w:style w:type="character" w:customStyle="1" w:styleId="smallcaps">
    <w:name w:val="smallcaps"/>
    <w:basedOn w:val="DefaultParagraphFont"/>
    <w:rsid w:val="004D3383"/>
  </w:style>
  <w:style w:type="paragraph" w:styleId="Revision">
    <w:name w:val="Revision"/>
    <w:hidden/>
    <w:uiPriority w:val="99"/>
    <w:semiHidden/>
    <w:rsid w:val="000704B2"/>
    <w:rPr>
      <w:sz w:val="24"/>
      <w:szCs w:val="24"/>
    </w:rPr>
  </w:style>
  <w:style w:type="character" w:customStyle="1" w:styleId="Heading1Char">
    <w:name w:val="Heading 1 Char"/>
    <w:basedOn w:val="DefaultParagraphFont"/>
    <w:link w:val="Heading1"/>
    <w:rsid w:val="00E31D10"/>
    <w:rPr>
      <w:rFonts w:ascii="Cambria" w:eastAsia="Times New Roman" w:hAnsi="Cambria" w:cs="Times New Roman"/>
      <w:b/>
      <w:bCs/>
      <w:kern w:val="32"/>
      <w:sz w:val="32"/>
      <w:szCs w:val="32"/>
    </w:rPr>
  </w:style>
  <w:style w:type="paragraph" w:styleId="TOC1">
    <w:name w:val="toc 1"/>
    <w:basedOn w:val="Heading"/>
    <w:next w:val="Normal"/>
    <w:autoRedefine/>
    <w:uiPriority w:val="39"/>
    <w:rsid w:val="00054A76"/>
    <w:pPr>
      <w:tabs>
        <w:tab w:val="right" w:leader="dot" w:pos="6470"/>
      </w:tabs>
    </w:pPr>
    <w:rPr>
      <w:b w:val="0"/>
    </w:rPr>
  </w:style>
  <w:style w:type="paragraph" w:styleId="TOC2">
    <w:name w:val="toc 2"/>
    <w:basedOn w:val="Body"/>
    <w:next w:val="Normal"/>
    <w:autoRedefine/>
    <w:uiPriority w:val="39"/>
    <w:rsid w:val="00E31D10"/>
    <w:pPr>
      <w:ind w:left="240"/>
    </w:pPr>
  </w:style>
  <w:style w:type="paragraph" w:styleId="DocumentMap">
    <w:name w:val="Document Map"/>
    <w:basedOn w:val="Normal"/>
    <w:link w:val="DocumentMapChar"/>
    <w:rsid w:val="00DE0BB0"/>
    <w:rPr>
      <w:rFonts w:ascii="Tahoma" w:hAnsi="Tahoma" w:cs="Tahoma"/>
      <w:sz w:val="16"/>
      <w:szCs w:val="16"/>
    </w:rPr>
  </w:style>
  <w:style w:type="character" w:customStyle="1" w:styleId="DocumentMapChar">
    <w:name w:val="Document Map Char"/>
    <w:basedOn w:val="DefaultParagraphFont"/>
    <w:link w:val="DocumentMap"/>
    <w:rsid w:val="00DE0BB0"/>
    <w:rPr>
      <w:rFonts w:ascii="Tahoma" w:hAnsi="Tahoma" w:cs="Tahoma"/>
      <w:sz w:val="16"/>
      <w:szCs w:val="16"/>
    </w:rPr>
  </w:style>
  <w:style w:type="paragraph" w:styleId="FootnoteText">
    <w:name w:val="footnote text"/>
    <w:basedOn w:val="Normal"/>
    <w:link w:val="FootnoteTextChar"/>
    <w:rsid w:val="009F2AFE"/>
    <w:rPr>
      <w:sz w:val="20"/>
      <w:szCs w:val="20"/>
    </w:rPr>
  </w:style>
  <w:style w:type="character" w:customStyle="1" w:styleId="FootnoteTextChar">
    <w:name w:val="Footnote Text Char"/>
    <w:basedOn w:val="DefaultParagraphFont"/>
    <w:link w:val="FootnoteText"/>
    <w:rsid w:val="009F2AFE"/>
  </w:style>
  <w:style w:type="character" w:styleId="FootnoteReference">
    <w:name w:val="footnote reference"/>
    <w:basedOn w:val="DefaultParagraphFont"/>
    <w:rsid w:val="009F2AFE"/>
    <w:rPr>
      <w:vertAlign w:val="superscript"/>
    </w:rPr>
  </w:style>
  <w:style w:type="paragraph" w:customStyle="1" w:styleId="HypoHeading">
    <w:name w:val="Hypo Heading"/>
    <w:basedOn w:val="Subheading"/>
    <w:link w:val="HypoHeadingChar"/>
    <w:autoRedefine/>
    <w:qFormat/>
    <w:rsid w:val="00A96494"/>
    <w:rPr>
      <w:color w:val="auto"/>
      <w:sz w:val="22"/>
    </w:rPr>
  </w:style>
  <w:style w:type="character" w:customStyle="1" w:styleId="SubheadingChar">
    <w:name w:val="Subheading Char"/>
    <w:basedOn w:val="DefaultParagraphFont"/>
    <w:link w:val="Subheading"/>
    <w:rsid w:val="00A96494"/>
    <w:rPr>
      <w:rFonts w:ascii="Garamond" w:eastAsia="ヒラギノ角ゴ Pro W3" w:hAnsi="Garamond"/>
      <w:b/>
      <w:color w:val="000000"/>
      <w:sz w:val="23"/>
    </w:rPr>
  </w:style>
  <w:style w:type="character" w:customStyle="1" w:styleId="HypoHeadingChar">
    <w:name w:val="Hypo Heading Char"/>
    <w:basedOn w:val="SubheadingChar"/>
    <w:link w:val="HypoHeading"/>
    <w:rsid w:val="00A96494"/>
    <w:rPr>
      <w:rFonts w:ascii="Garamond" w:eastAsia="ヒラギノ角ゴ Pro W3" w:hAnsi="Garamond"/>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locked="1" w:semiHidden="1" w:unhideWhenUsed="1" w:qFormat="1"/>
    <w:lsdException w:name="heading 6" w:locked="1" w:semiHidden="1" w:unhideWhenUsed="1" w:qFormat="1"/>
    <w:lsdException w:name="heading 7" w:semiHidden="1" w:unhideWhenUsed="1"/>
    <w:lsdException w:name="heading 8" w:semiHidden="1" w:unhideWhenUsed="1"/>
    <w:lsdException w:name="heading 9" w:semiHidden="1" w:unhideWhenUsed="1"/>
    <w:lsdException w:name="toc 1" w:uiPriority="39"/>
    <w:lsdException w:name="toc 2" w:uiPriority="39"/>
    <w:lsdException w:name="footer" w:uiPriority="99"/>
    <w:lsdException w:name="caption" w:semiHidden="1" w:unhideWhenUsed="1" w:qFormat="1"/>
    <w:lsdException w:name="endnote text" w:qFormat="1"/>
    <w:lsdException w:name="Title" w:qFormat="1"/>
    <w:lsdException w:name="Subtitle" w:qFormat="1"/>
    <w:lsdException w:name="Hyperlink" w:uiPriority="99"/>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71" w:unhideWhenUsed="1" w:qFormat="1"/>
  </w:latentStyles>
  <w:style w:type="paragraph" w:default="1" w:styleId="Normal">
    <w:name w:val="Normal"/>
    <w:rsid w:val="000C03C6"/>
    <w:rPr>
      <w:sz w:val="24"/>
      <w:szCs w:val="24"/>
    </w:rPr>
  </w:style>
  <w:style w:type="paragraph" w:styleId="Heading1">
    <w:name w:val="heading 1"/>
    <w:basedOn w:val="Normal"/>
    <w:next w:val="Normal"/>
    <w:link w:val="Heading1Char"/>
    <w:rsid w:val="00E31D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A51A8"/>
    <w:pPr>
      <w:keepNext/>
      <w:keepLines/>
      <w:spacing w:before="200"/>
      <w:outlineLvl w:val="1"/>
    </w:pPr>
    <w:rPr>
      <w:rFonts w:ascii="Cambria" w:hAnsi="Cambria"/>
      <w:bCs/>
      <w:color w:val="4F81BD"/>
      <w:sz w:val="26"/>
      <w:szCs w:val="26"/>
    </w:rPr>
  </w:style>
  <w:style w:type="paragraph" w:styleId="Heading3">
    <w:name w:val="heading 3"/>
    <w:basedOn w:val="Normal"/>
    <w:next w:val="Normal"/>
    <w:link w:val="Heading3Char"/>
    <w:semiHidden/>
    <w:unhideWhenUsed/>
    <w:qFormat/>
    <w:rsid w:val="009A51A8"/>
    <w:pPr>
      <w:keepNext/>
      <w:keepLines/>
      <w:spacing w:before="200"/>
      <w:outlineLvl w:val="2"/>
    </w:pPr>
    <w:rPr>
      <w:rFonts w:ascii="Cambria" w:hAnsi="Cambria"/>
      <w:bCs/>
      <w:color w:val="4F81BD"/>
      <w:sz w:val="22"/>
    </w:rPr>
  </w:style>
  <w:style w:type="paragraph" w:styleId="Heading4">
    <w:name w:val="heading 4"/>
    <w:basedOn w:val="Normal"/>
    <w:next w:val="Normal"/>
    <w:link w:val="Heading4Char"/>
    <w:semiHidden/>
    <w:unhideWhenUsed/>
    <w:qFormat/>
    <w:rsid w:val="009A51A8"/>
    <w:pPr>
      <w:keepNext/>
      <w:keepLines/>
      <w:spacing w:before="200"/>
      <w:outlineLvl w:val="3"/>
    </w:pPr>
    <w:rPr>
      <w:rFonts w:ascii="Cambria" w:hAnsi="Cambria"/>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B3B"/>
    <w:rPr>
      <w:color w:val="0000FF"/>
      <w:u w:val="single"/>
    </w:rPr>
  </w:style>
  <w:style w:type="paragraph" w:styleId="HTMLPreformatted">
    <w:name w:val="HTML Preformatted"/>
    <w:basedOn w:val="Normal"/>
    <w:link w:val="HTMLPreformattedChar"/>
    <w:uiPriority w:val="99"/>
    <w:unhideWhenUsed/>
    <w:rsid w:val="00CD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D070D"/>
    <w:rPr>
      <w:rFonts w:ascii="Courier New" w:eastAsia="Times New Roman" w:hAnsi="Courier New" w:cs="Courier New"/>
    </w:rPr>
  </w:style>
  <w:style w:type="paragraph" w:styleId="Footer">
    <w:name w:val="footer"/>
    <w:basedOn w:val="Normal"/>
    <w:link w:val="FooterChar"/>
    <w:uiPriority w:val="99"/>
    <w:unhideWhenUsed/>
    <w:rsid w:val="008C4B62"/>
    <w:pPr>
      <w:tabs>
        <w:tab w:val="center" w:pos="4320"/>
        <w:tab w:val="right" w:pos="8640"/>
      </w:tabs>
    </w:pPr>
  </w:style>
  <w:style w:type="character" w:customStyle="1" w:styleId="FooterChar">
    <w:name w:val="Footer Char"/>
    <w:basedOn w:val="DefaultParagraphFont"/>
    <w:link w:val="Footer"/>
    <w:uiPriority w:val="99"/>
    <w:rsid w:val="008C4B62"/>
    <w:rPr>
      <w:sz w:val="24"/>
      <w:szCs w:val="24"/>
    </w:rPr>
  </w:style>
  <w:style w:type="character" w:styleId="PageNumber">
    <w:name w:val="page number"/>
    <w:basedOn w:val="DefaultParagraphFont"/>
    <w:uiPriority w:val="99"/>
    <w:semiHidden/>
    <w:unhideWhenUsed/>
    <w:rsid w:val="008C4B62"/>
  </w:style>
  <w:style w:type="character" w:styleId="FollowedHyperlink">
    <w:name w:val="FollowedHyperlink"/>
    <w:basedOn w:val="DefaultParagraphFont"/>
    <w:rsid w:val="00D36507"/>
    <w:rPr>
      <w:color w:val="800080"/>
      <w:u w:val="single"/>
    </w:rPr>
  </w:style>
  <w:style w:type="paragraph" w:styleId="Header">
    <w:name w:val="header"/>
    <w:basedOn w:val="Normal"/>
    <w:link w:val="HeaderChar"/>
    <w:rsid w:val="00D45F02"/>
    <w:pPr>
      <w:tabs>
        <w:tab w:val="center" w:pos="4320"/>
        <w:tab w:val="right" w:pos="8640"/>
      </w:tabs>
    </w:pPr>
  </w:style>
  <w:style w:type="character" w:customStyle="1" w:styleId="HeaderChar">
    <w:name w:val="Header Char"/>
    <w:basedOn w:val="DefaultParagraphFont"/>
    <w:link w:val="Header"/>
    <w:rsid w:val="00D45F02"/>
    <w:rPr>
      <w:sz w:val="24"/>
      <w:szCs w:val="24"/>
    </w:rPr>
  </w:style>
  <w:style w:type="character" w:customStyle="1" w:styleId="Heading2Char">
    <w:name w:val="Heading 2 Char"/>
    <w:basedOn w:val="DefaultParagraphFont"/>
    <w:link w:val="Heading2"/>
    <w:semiHidden/>
    <w:rsid w:val="009A51A8"/>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semiHidden/>
    <w:rsid w:val="009A51A8"/>
    <w:rPr>
      <w:rFonts w:ascii="Cambria" w:eastAsia="Times New Roman" w:hAnsi="Cambria" w:cs="Times New Roman"/>
      <w:bCs/>
      <w:color w:val="4F81BD"/>
      <w:sz w:val="22"/>
      <w:szCs w:val="24"/>
    </w:rPr>
  </w:style>
  <w:style w:type="character" w:customStyle="1" w:styleId="Heading4Char">
    <w:name w:val="Heading 4 Char"/>
    <w:basedOn w:val="DefaultParagraphFont"/>
    <w:link w:val="Heading4"/>
    <w:semiHidden/>
    <w:rsid w:val="009A51A8"/>
    <w:rPr>
      <w:rFonts w:ascii="Cambria" w:eastAsia="Times New Roman" w:hAnsi="Cambria" w:cs="Times New Roman"/>
      <w:bCs/>
      <w:i/>
      <w:iCs/>
      <w:color w:val="4F81BD"/>
      <w:sz w:val="22"/>
      <w:szCs w:val="24"/>
    </w:rPr>
  </w:style>
  <w:style w:type="paragraph" w:styleId="Caption">
    <w:name w:val="caption"/>
    <w:qFormat/>
    <w:rsid w:val="009A51A8"/>
    <w:pPr>
      <w:spacing w:line="276" w:lineRule="auto"/>
      <w:ind w:left="1080" w:right="1080"/>
      <w:jc w:val="center"/>
    </w:pPr>
    <w:rPr>
      <w:rFonts w:ascii="Garamond" w:eastAsia="ヒラギノ角ゴ Pro W3" w:hAnsi="Garamond"/>
      <w:i/>
      <w:color w:val="000000"/>
      <w:sz w:val="21"/>
    </w:rPr>
  </w:style>
  <w:style w:type="paragraph" w:styleId="EndnoteText">
    <w:name w:val="endnote text"/>
    <w:basedOn w:val="Normal"/>
    <w:link w:val="EndnoteTextChar"/>
    <w:autoRedefine/>
    <w:qFormat/>
    <w:rsid w:val="00AD09FA"/>
    <w:pPr>
      <w:spacing w:after="120" w:line="276" w:lineRule="auto"/>
      <w:jc w:val="both"/>
    </w:pPr>
    <w:rPr>
      <w:rFonts w:ascii="Garamond" w:hAnsi="Garamond"/>
      <w:sz w:val="20"/>
      <w:szCs w:val="20"/>
    </w:rPr>
  </w:style>
  <w:style w:type="character" w:customStyle="1" w:styleId="EndnoteTextChar">
    <w:name w:val="Endnote Text Char"/>
    <w:basedOn w:val="DefaultParagraphFont"/>
    <w:link w:val="EndnoteText"/>
    <w:rsid w:val="00AD09FA"/>
    <w:rPr>
      <w:rFonts w:ascii="Garamond" w:hAnsi="Garamond"/>
    </w:rPr>
  </w:style>
  <w:style w:type="paragraph" w:styleId="Title">
    <w:name w:val="Title"/>
    <w:aliases w:val="Title Page - Book Title"/>
    <w:next w:val="Body"/>
    <w:link w:val="TitleChar"/>
    <w:qFormat/>
    <w:rsid w:val="009A51A8"/>
    <w:pPr>
      <w:keepNext/>
      <w:outlineLvl w:val="0"/>
    </w:pPr>
    <w:rPr>
      <w:rFonts w:ascii="Garamond" w:eastAsia="ヒラギノ角ゴ Pro W3" w:hAnsi="Garamond"/>
      <w:color w:val="000000"/>
      <w:sz w:val="72"/>
    </w:rPr>
  </w:style>
  <w:style w:type="character" w:customStyle="1" w:styleId="TitleChar">
    <w:name w:val="Title Char"/>
    <w:aliases w:val="Title Page - Book Title Char"/>
    <w:basedOn w:val="DefaultParagraphFont"/>
    <w:link w:val="Title"/>
    <w:rsid w:val="00A572C3"/>
    <w:rPr>
      <w:rFonts w:ascii="Garamond" w:eastAsia="ヒラギノ角ゴ Pro W3" w:hAnsi="Garamond"/>
      <w:color w:val="000000"/>
      <w:sz w:val="72"/>
      <w:lang w:val="en-US" w:eastAsia="en-US" w:bidi="ar-SA"/>
    </w:rPr>
  </w:style>
  <w:style w:type="paragraph" w:styleId="Subtitle">
    <w:name w:val="Subtitle"/>
    <w:aliases w:val="Title Page - Subtitle"/>
    <w:link w:val="SubtitleChar"/>
    <w:qFormat/>
    <w:rsid w:val="009A51A8"/>
    <w:pPr>
      <w:keepLines/>
      <w:outlineLvl w:val="1"/>
    </w:pPr>
    <w:rPr>
      <w:rFonts w:ascii="Garamond" w:eastAsia="ヒラギノ角ゴ Pro W3" w:hAnsi="Garamond"/>
      <w:color w:val="000000"/>
      <w:sz w:val="40"/>
    </w:rPr>
  </w:style>
  <w:style w:type="character" w:customStyle="1" w:styleId="SubtitleChar">
    <w:name w:val="Subtitle Char"/>
    <w:aliases w:val="Title Page - Subtitle Char"/>
    <w:basedOn w:val="DefaultParagraphFont"/>
    <w:link w:val="Subtitle"/>
    <w:rsid w:val="00A572C3"/>
    <w:rPr>
      <w:rFonts w:ascii="Garamond" w:eastAsia="ヒラギノ角ゴ Pro W3" w:hAnsi="Garamond"/>
      <w:color w:val="000000"/>
      <w:sz w:val="40"/>
      <w:lang w:val="en-US" w:eastAsia="en-US" w:bidi="ar-SA"/>
    </w:rPr>
  </w:style>
  <w:style w:type="paragraph" w:customStyle="1" w:styleId="Body">
    <w:name w:val="Body"/>
    <w:link w:val="BodyChar"/>
    <w:qFormat/>
    <w:rsid w:val="009A51A8"/>
    <w:pPr>
      <w:spacing w:after="120" w:line="276" w:lineRule="auto"/>
      <w:jc w:val="both"/>
    </w:pPr>
    <w:rPr>
      <w:rFonts w:ascii="Garamond" w:eastAsia="ヒラギノ角ゴ Pro W3" w:hAnsi="Garamond"/>
      <w:color w:val="000000"/>
      <w:sz w:val="22"/>
    </w:rPr>
  </w:style>
  <w:style w:type="character" w:customStyle="1" w:styleId="BodyChar">
    <w:name w:val="Body Char"/>
    <w:basedOn w:val="DefaultParagraphFont"/>
    <w:link w:val="Body"/>
    <w:rsid w:val="009A51A8"/>
    <w:rPr>
      <w:rFonts w:ascii="Garamond" w:eastAsia="ヒラギノ角ゴ Pro W3" w:hAnsi="Garamond"/>
      <w:color w:val="000000"/>
      <w:sz w:val="22"/>
      <w:lang w:val="en-US" w:eastAsia="en-US" w:bidi="ar-SA"/>
    </w:rPr>
  </w:style>
  <w:style w:type="paragraph" w:customStyle="1" w:styleId="TitlePage-Author">
    <w:name w:val="Title Page - Author"/>
    <w:qFormat/>
    <w:rsid w:val="009A51A8"/>
    <w:pPr>
      <w:keepLines/>
    </w:pPr>
    <w:rPr>
      <w:rFonts w:ascii="Garamond" w:eastAsia="ヒラギノ角ゴ Pro W3" w:hAnsi="Garamond"/>
      <w:noProof/>
      <w:color w:val="000000"/>
      <w:sz w:val="56"/>
    </w:rPr>
  </w:style>
  <w:style w:type="paragraph" w:customStyle="1" w:styleId="ChapterName">
    <w:name w:val="Chapter Name"/>
    <w:next w:val="Body"/>
    <w:qFormat/>
    <w:rsid w:val="009A51A8"/>
    <w:pPr>
      <w:keepNext/>
      <w:spacing w:after="120"/>
      <w:outlineLvl w:val="2"/>
    </w:pPr>
    <w:rPr>
      <w:rFonts w:ascii="Garamond" w:eastAsia="ヒラギノ角ゴ Pro W3" w:hAnsi="Garamond"/>
      <w:color w:val="000000"/>
      <w:sz w:val="56"/>
    </w:rPr>
  </w:style>
  <w:style w:type="paragraph" w:customStyle="1" w:styleId="Heading">
    <w:name w:val="Heading"/>
    <w:qFormat/>
    <w:rsid w:val="009A51A8"/>
    <w:pPr>
      <w:keepNext/>
      <w:keepLines/>
      <w:spacing w:before="240" w:after="120"/>
      <w:outlineLvl w:val="3"/>
    </w:pPr>
    <w:rPr>
      <w:rFonts w:ascii="Garamond" w:eastAsia="ヒラギノ角ゴ Pro W3" w:hAnsi="Garamond"/>
      <w:b/>
      <w:color w:val="000000"/>
      <w:sz w:val="24"/>
    </w:rPr>
  </w:style>
  <w:style w:type="paragraph" w:customStyle="1" w:styleId="Subheading">
    <w:name w:val="Subheading"/>
    <w:link w:val="SubheadingChar"/>
    <w:qFormat/>
    <w:rsid w:val="009A51A8"/>
    <w:pPr>
      <w:keepNext/>
      <w:keepLines/>
      <w:spacing w:before="120" w:after="120"/>
      <w:ind w:left="720"/>
      <w:outlineLvl w:val="4"/>
    </w:pPr>
    <w:rPr>
      <w:rFonts w:ascii="Garamond" w:eastAsia="ヒラギノ角ゴ Pro W3" w:hAnsi="Garamond"/>
      <w:b/>
      <w:color w:val="000000"/>
      <w:sz w:val="23"/>
    </w:rPr>
  </w:style>
  <w:style w:type="paragraph" w:customStyle="1" w:styleId="BlockQuote">
    <w:name w:val="Block Quote"/>
    <w:qFormat/>
    <w:rsid w:val="009A51A8"/>
    <w:pPr>
      <w:spacing w:after="120" w:line="252" w:lineRule="auto"/>
      <w:ind w:left="1080" w:right="1080"/>
      <w:jc w:val="both"/>
    </w:pPr>
    <w:rPr>
      <w:rFonts w:ascii="Garamond" w:eastAsia="ヒラギノ角ゴ Pro W3" w:hAnsi="Garamond"/>
      <w:color w:val="000000"/>
      <w:sz w:val="21"/>
    </w:rPr>
  </w:style>
  <w:style w:type="paragraph" w:customStyle="1" w:styleId="TableBody">
    <w:name w:val="Table Body"/>
    <w:basedOn w:val="Body"/>
    <w:link w:val="TableBodyChar"/>
    <w:qFormat/>
    <w:rsid w:val="009A51A8"/>
    <w:pPr>
      <w:spacing w:after="0"/>
      <w:jc w:val="center"/>
    </w:pPr>
  </w:style>
  <w:style w:type="character" w:customStyle="1" w:styleId="TableBodyChar">
    <w:name w:val="Table Body Char"/>
    <w:basedOn w:val="BodyChar"/>
    <w:link w:val="TableBody"/>
    <w:rsid w:val="009A51A8"/>
    <w:rPr>
      <w:rFonts w:ascii="Garamond" w:eastAsia="ヒラギノ角ゴ Pro W3" w:hAnsi="Garamond"/>
      <w:color w:val="000000"/>
      <w:sz w:val="22"/>
      <w:lang w:val="en-US" w:eastAsia="en-US" w:bidi="ar-SA"/>
    </w:rPr>
  </w:style>
  <w:style w:type="paragraph" w:customStyle="1" w:styleId="CaseHeading">
    <w:name w:val="Case Heading"/>
    <w:basedOn w:val="Normal"/>
    <w:link w:val="CaseHeadingChar"/>
    <w:qFormat/>
    <w:rsid w:val="009A51A8"/>
    <w:pPr>
      <w:keepNext/>
      <w:keepLines/>
      <w:spacing w:after="120" w:line="276" w:lineRule="auto"/>
      <w:ind w:left="360" w:right="360"/>
      <w:contextualSpacing/>
      <w:jc w:val="center"/>
    </w:pPr>
    <w:rPr>
      <w:rFonts w:ascii="Garamond" w:hAnsi="Garamond"/>
      <w:b/>
      <w:sz w:val="23"/>
    </w:rPr>
  </w:style>
  <w:style w:type="character" w:customStyle="1" w:styleId="CaseHeadingChar">
    <w:name w:val="Case Heading Char"/>
    <w:basedOn w:val="DefaultParagraphFont"/>
    <w:link w:val="CaseHeading"/>
    <w:rsid w:val="009A51A8"/>
    <w:rPr>
      <w:rFonts w:ascii="Garamond" w:hAnsi="Garamond"/>
      <w:b/>
      <w:sz w:val="23"/>
      <w:szCs w:val="24"/>
    </w:rPr>
  </w:style>
  <w:style w:type="paragraph" w:customStyle="1" w:styleId="CaseJusticeNameSmallCaps">
    <w:name w:val="Case Justice Name (Small Caps)"/>
    <w:basedOn w:val="Body"/>
    <w:link w:val="CaseJusticeNameSmallCapsChar"/>
    <w:qFormat/>
    <w:rsid w:val="009A51A8"/>
    <w:pPr>
      <w:ind w:left="360" w:right="360"/>
    </w:pPr>
    <w:rPr>
      <w:smallCaps/>
      <w:sz w:val="21"/>
    </w:rPr>
  </w:style>
  <w:style w:type="character" w:customStyle="1" w:styleId="CaseJusticeNameSmallCapsChar">
    <w:name w:val="Case Justice Name (Small Caps) Char"/>
    <w:basedOn w:val="BodyChar"/>
    <w:link w:val="CaseJusticeNameSmallCaps"/>
    <w:rsid w:val="009A51A8"/>
    <w:rPr>
      <w:rFonts w:ascii="Garamond" w:eastAsia="ヒラギノ角ゴ Pro W3" w:hAnsi="Garamond"/>
      <w:smallCaps/>
      <w:color w:val="000000"/>
      <w:sz w:val="21"/>
      <w:lang w:val="en-US" w:eastAsia="en-US" w:bidi="ar-SA"/>
    </w:rPr>
  </w:style>
  <w:style w:type="paragraph" w:customStyle="1" w:styleId="CaseBody">
    <w:name w:val="Case Body"/>
    <w:basedOn w:val="Body"/>
    <w:link w:val="CaseBodyChar"/>
    <w:qFormat/>
    <w:rsid w:val="009A51A8"/>
    <w:pPr>
      <w:ind w:left="360" w:right="360"/>
    </w:pPr>
    <w:rPr>
      <w:sz w:val="21"/>
    </w:rPr>
  </w:style>
  <w:style w:type="character" w:customStyle="1" w:styleId="CaseBodyChar">
    <w:name w:val="Case Body Char"/>
    <w:basedOn w:val="BodyChar"/>
    <w:link w:val="CaseBody"/>
    <w:rsid w:val="009A51A8"/>
    <w:rPr>
      <w:rFonts w:ascii="Garamond" w:eastAsia="ヒラギノ角ゴ Pro W3" w:hAnsi="Garamond"/>
      <w:color w:val="000000"/>
      <w:sz w:val="21"/>
      <w:lang w:val="en-US" w:eastAsia="en-US" w:bidi="ar-SA"/>
    </w:rPr>
  </w:style>
  <w:style w:type="paragraph" w:customStyle="1" w:styleId="ChapterNumber">
    <w:name w:val="Chapter Number"/>
    <w:basedOn w:val="Body"/>
    <w:link w:val="ChapterNumberChar"/>
    <w:qFormat/>
    <w:rsid w:val="009A51A8"/>
    <w:pPr>
      <w:spacing w:after="0"/>
      <w:jc w:val="left"/>
    </w:pPr>
    <w:rPr>
      <w:sz w:val="24"/>
    </w:rPr>
  </w:style>
  <w:style w:type="character" w:customStyle="1" w:styleId="ChapterNumberChar">
    <w:name w:val="Chapter Number Char"/>
    <w:basedOn w:val="BodyChar"/>
    <w:link w:val="ChapterNumber"/>
    <w:rsid w:val="009A51A8"/>
    <w:rPr>
      <w:rFonts w:ascii="Garamond" w:eastAsia="ヒラギノ角ゴ Pro W3" w:hAnsi="Garamond"/>
      <w:color w:val="000000"/>
      <w:sz w:val="24"/>
      <w:lang w:val="en-US" w:eastAsia="en-US" w:bidi="ar-SA"/>
    </w:rPr>
  </w:style>
  <w:style w:type="paragraph" w:customStyle="1" w:styleId="TableHeading">
    <w:name w:val="Table Heading"/>
    <w:basedOn w:val="TableBody"/>
    <w:link w:val="TableHeadingChar"/>
    <w:qFormat/>
    <w:rsid w:val="009A51A8"/>
    <w:pPr>
      <w:keepNext/>
      <w:keepLines/>
      <w:spacing w:before="240"/>
      <w:ind w:left="720"/>
      <w:jc w:val="left"/>
    </w:pPr>
    <w:rPr>
      <w:b/>
      <w:sz w:val="23"/>
    </w:rPr>
  </w:style>
  <w:style w:type="character" w:customStyle="1" w:styleId="TableHeadingChar">
    <w:name w:val="Table Heading Char"/>
    <w:basedOn w:val="TableBodyChar"/>
    <w:link w:val="TableHeading"/>
    <w:rsid w:val="009A51A8"/>
    <w:rPr>
      <w:rFonts w:ascii="Garamond" w:eastAsia="ヒラギノ角ゴ Pro W3" w:hAnsi="Garamond"/>
      <w:b/>
      <w:color w:val="000000"/>
      <w:sz w:val="23"/>
      <w:lang w:val="en-US" w:eastAsia="en-US" w:bidi="ar-SA"/>
    </w:rPr>
  </w:style>
  <w:style w:type="character" w:styleId="CommentReference">
    <w:name w:val="annotation reference"/>
    <w:basedOn w:val="DefaultParagraphFont"/>
    <w:rsid w:val="00E26BE1"/>
    <w:rPr>
      <w:sz w:val="16"/>
      <w:szCs w:val="16"/>
    </w:rPr>
  </w:style>
  <w:style w:type="paragraph" w:styleId="CommentText">
    <w:name w:val="annotation text"/>
    <w:basedOn w:val="Normal"/>
    <w:link w:val="CommentTextChar"/>
    <w:rsid w:val="00E26BE1"/>
    <w:rPr>
      <w:sz w:val="20"/>
      <w:szCs w:val="20"/>
    </w:rPr>
  </w:style>
  <w:style w:type="character" w:customStyle="1" w:styleId="CommentTextChar">
    <w:name w:val="Comment Text Char"/>
    <w:basedOn w:val="DefaultParagraphFont"/>
    <w:link w:val="CommentText"/>
    <w:rsid w:val="00E26BE1"/>
  </w:style>
  <w:style w:type="paragraph" w:styleId="CommentSubject">
    <w:name w:val="annotation subject"/>
    <w:basedOn w:val="CommentText"/>
    <w:next w:val="CommentText"/>
    <w:link w:val="CommentSubjectChar"/>
    <w:rsid w:val="00E26BE1"/>
    <w:rPr>
      <w:b/>
      <w:bCs/>
    </w:rPr>
  </w:style>
  <w:style w:type="character" w:customStyle="1" w:styleId="CommentSubjectChar">
    <w:name w:val="Comment Subject Char"/>
    <w:basedOn w:val="CommentTextChar"/>
    <w:link w:val="CommentSubject"/>
    <w:rsid w:val="00E26BE1"/>
    <w:rPr>
      <w:b/>
      <w:bCs/>
    </w:rPr>
  </w:style>
  <w:style w:type="paragraph" w:styleId="BalloonText">
    <w:name w:val="Balloon Text"/>
    <w:basedOn w:val="Normal"/>
    <w:link w:val="BalloonTextChar"/>
    <w:rsid w:val="00E26BE1"/>
    <w:rPr>
      <w:rFonts w:ascii="Tahoma" w:hAnsi="Tahoma" w:cs="Tahoma"/>
      <w:sz w:val="16"/>
      <w:szCs w:val="16"/>
    </w:rPr>
  </w:style>
  <w:style w:type="character" w:customStyle="1" w:styleId="BalloonTextChar">
    <w:name w:val="Balloon Text Char"/>
    <w:basedOn w:val="DefaultParagraphFont"/>
    <w:link w:val="BalloonText"/>
    <w:rsid w:val="00E26BE1"/>
    <w:rPr>
      <w:rFonts w:ascii="Tahoma" w:hAnsi="Tahoma" w:cs="Tahoma"/>
      <w:sz w:val="16"/>
      <w:szCs w:val="16"/>
    </w:rPr>
  </w:style>
  <w:style w:type="character" w:styleId="EndnoteReference">
    <w:name w:val="endnote reference"/>
    <w:basedOn w:val="DefaultParagraphFont"/>
    <w:rsid w:val="004D3383"/>
    <w:rPr>
      <w:vertAlign w:val="superscript"/>
    </w:rPr>
  </w:style>
  <w:style w:type="character" w:styleId="Emphasis">
    <w:name w:val="Emphasis"/>
    <w:basedOn w:val="DefaultParagraphFont"/>
    <w:uiPriority w:val="20"/>
    <w:rsid w:val="004D3383"/>
    <w:rPr>
      <w:i/>
      <w:iCs/>
    </w:rPr>
  </w:style>
  <w:style w:type="character" w:customStyle="1" w:styleId="smallcaps">
    <w:name w:val="smallcaps"/>
    <w:basedOn w:val="DefaultParagraphFont"/>
    <w:rsid w:val="004D3383"/>
  </w:style>
  <w:style w:type="paragraph" w:styleId="Revision">
    <w:name w:val="Revision"/>
    <w:hidden/>
    <w:uiPriority w:val="99"/>
    <w:semiHidden/>
    <w:rsid w:val="000704B2"/>
    <w:rPr>
      <w:sz w:val="24"/>
      <w:szCs w:val="24"/>
    </w:rPr>
  </w:style>
  <w:style w:type="character" w:customStyle="1" w:styleId="Heading1Char">
    <w:name w:val="Heading 1 Char"/>
    <w:basedOn w:val="DefaultParagraphFont"/>
    <w:link w:val="Heading1"/>
    <w:rsid w:val="00E31D10"/>
    <w:rPr>
      <w:rFonts w:ascii="Cambria" w:eastAsia="Times New Roman" w:hAnsi="Cambria" w:cs="Times New Roman"/>
      <w:b/>
      <w:bCs/>
      <w:kern w:val="32"/>
      <w:sz w:val="32"/>
      <w:szCs w:val="32"/>
    </w:rPr>
  </w:style>
  <w:style w:type="paragraph" w:styleId="TOC1">
    <w:name w:val="toc 1"/>
    <w:basedOn w:val="Heading"/>
    <w:next w:val="Normal"/>
    <w:autoRedefine/>
    <w:uiPriority w:val="39"/>
    <w:rsid w:val="00054A76"/>
    <w:pPr>
      <w:tabs>
        <w:tab w:val="right" w:leader="dot" w:pos="6470"/>
      </w:tabs>
    </w:pPr>
    <w:rPr>
      <w:b w:val="0"/>
    </w:rPr>
  </w:style>
  <w:style w:type="paragraph" w:styleId="TOC2">
    <w:name w:val="toc 2"/>
    <w:basedOn w:val="Body"/>
    <w:next w:val="Normal"/>
    <w:autoRedefine/>
    <w:uiPriority w:val="39"/>
    <w:rsid w:val="00E31D10"/>
    <w:pPr>
      <w:ind w:left="240"/>
    </w:pPr>
  </w:style>
  <w:style w:type="paragraph" w:styleId="DocumentMap">
    <w:name w:val="Document Map"/>
    <w:basedOn w:val="Normal"/>
    <w:link w:val="DocumentMapChar"/>
    <w:rsid w:val="00DE0BB0"/>
    <w:rPr>
      <w:rFonts w:ascii="Tahoma" w:hAnsi="Tahoma" w:cs="Tahoma"/>
      <w:sz w:val="16"/>
      <w:szCs w:val="16"/>
    </w:rPr>
  </w:style>
  <w:style w:type="character" w:customStyle="1" w:styleId="DocumentMapChar">
    <w:name w:val="Document Map Char"/>
    <w:basedOn w:val="DefaultParagraphFont"/>
    <w:link w:val="DocumentMap"/>
    <w:rsid w:val="00DE0BB0"/>
    <w:rPr>
      <w:rFonts w:ascii="Tahoma" w:hAnsi="Tahoma" w:cs="Tahoma"/>
      <w:sz w:val="16"/>
      <w:szCs w:val="16"/>
    </w:rPr>
  </w:style>
  <w:style w:type="paragraph" w:styleId="FootnoteText">
    <w:name w:val="footnote text"/>
    <w:basedOn w:val="Normal"/>
    <w:link w:val="FootnoteTextChar"/>
    <w:rsid w:val="009F2AFE"/>
    <w:rPr>
      <w:sz w:val="20"/>
      <w:szCs w:val="20"/>
    </w:rPr>
  </w:style>
  <w:style w:type="character" w:customStyle="1" w:styleId="FootnoteTextChar">
    <w:name w:val="Footnote Text Char"/>
    <w:basedOn w:val="DefaultParagraphFont"/>
    <w:link w:val="FootnoteText"/>
    <w:rsid w:val="009F2AFE"/>
  </w:style>
  <w:style w:type="character" w:styleId="FootnoteReference">
    <w:name w:val="footnote reference"/>
    <w:basedOn w:val="DefaultParagraphFont"/>
    <w:rsid w:val="009F2AFE"/>
    <w:rPr>
      <w:vertAlign w:val="superscript"/>
    </w:rPr>
  </w:style>
  <w:style w:type="paragraph" w:customStyle="1" w:styleId="HypoHeading">
    <w:name w:val="Hypo Heading"/>
    <w:basedOn w:val="Subheading"/>
    <w:link w:val="HypoHeadingChar"/>
    <w:autoRedefine/>
    <w:qFormat/>
    <w:rsid w:val="00A96494"/>
    <w:rPr>
      <w:color w:val="auto"/>
      <w:sz w:val="22"/>
    </w:rPr>
  </w:style>
  <w:style w:type="character" w:customStyle="1" w:styleId="SubheadingChar">
    <w:name w:val="Subheading Char"/>
    <w:basedOn w:val="DefaultParagraphFont"/>
    <w:link w:val="Subheading"/>
    <w:rsid w:val="00A96494"/>
    <w:rPr>
      <w:rFonts w:ascii="Garamond" w:eastAsia="ヒラギノ角ゴ Pro W3" w:hAnsi="Garamond"/>
      <w:b/>
      <w:color w:val="000000"/>
      <w:sz w:val="23"/>
    </w:rPr>
  </w:style>
  <w:style w:type="character" w:customStyle="1" w:styleId="HypoHeadingChar">
    <w:name w:val="Hypo Heading Char"/>
    <w:basedOn w:val="SubheadingChar"/>
    <w:link w:val="HypoHeading"/>
    <w:rsid w:val="00A96494"/>
    <w:rPr>
      <w:rFonts w:ascii="Garamond" w:eastAsia="ヒラギノ角ゴ Pro W3" w:hAnsi="Garamon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80522">
      <w:bodyDiv w:val="1"/>
      <w:marLeft w:val="0"/>
      <w:marRight w:val="0"/>
      <w:marTop w:val="0"/>
      <w:marBottom w:val="0"/>
      <w:divBdr>
        <w:top w:val="none" w:sz="0" w:space="0" w:color="auto"/>
        <w:left w:val="none" w:sz="0" w:space="0" w:color="auto"/>
        <w:bottom w:val="none" w:sz="0" w:space="0" w:color="auto"/>
        <w:right w:val="none" w:sz="0" w:space="0" w:color="auto"/>
      </w:divBdr>
    </w:div>
    <w:div w:id="1410662447">
      <w:bodyDiv w:val="1"/>
      <w:marLeft w:val="0"/>
      <w:marRight w:val="0"/>
      <w:marTop w:val="0"/>
      <w:marBottom w:val="0"/>
      <w:divBdr>
        <w:top w:val="none" w:sz="0" w:space="0" w:color="auto"/>
        <w:left w:val="none" w:sz="0" w:space="0" w:color="auto"/>
        <w:bottom w:val="none" w:sz="0" w:space="0" w:color="auto"/>
        <w:right w:val="none" w:sz="0" w:space="0" w:color="auto"/>
      </w:divBdr>
    </w:div>
    <w:div w:id="182905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lawprofessors.typepad.com/evidenceprof/" TargetMode="External"/><Relationship Id="rId26" Type="http://schemas.openxmlformats.org/officeDocument/2006/relationships/hyperlink" Target="http://lawprofessors.typepad.com/evidenceprof/2008/08/nz-rape-httpwww.html" TargetMode="External"/><Relationship Id="rId39" Type="http://schemas.openxmlformats.org/officeDocument/2006/relationships/hyperlink" Target="http://www.eeoc.gov/laws/statutes/titlevii.cfm" TargetMode="External"/><Relationship Id="rId21" Type="http://schemas.openxmlformats.org/officeDocument/2006/relationships/hyperlink" Target="http://elangdell.cali.org" TargetMode="External"/><Relationship Id="rId34" Type="http://schemas.openxmlformats.org/officeDocument/2006/relationships/hyperlink" Target="http://www.2ndcoa.courts.state.tx.us/opinions/htmlopinion.asp?OpinionId=21236" TargetMode="External"/><Relationship Id="rId42" Type="http://schemas.openxmlformats.org/officeDocument/2006/relationships/hyperlink" Target="http://law.justia.com/cases/federal/appellate-courts/F2/937/515/192386/" TargetMode="External"/><Relationship Id="rId47" Type="http://schemas.openxmlformats.org/officeDocument/2006/relationships/hyperlink" Target="http://scholar.google.com/scholar_case?q=in+re+k.w.+S.E.2d+490&amp;hl=en&amp;as_sdt=2,14&amp;case=5501192436729752999&amp;scilh=0" TargetMode="External"/><Relationship Id="rId50" Type="http://schemas.openxmlformats.org/officeDocument/2006/relationships/hyperlink" Target="http://law.justia.com/cases/minnesota/court-of-appeals/2009/opa082272-1201.html" TargetMode="External"/><Relationship Id="rId55" Type="http://schemas.openxmlformats.org/officeDocument/2006/relationships/hyperlink" Target="http://ca10.washburnlaw.edu/cases/2000/07/99-2001.htm" TargetMode="External"/><Relationship Id="rId63" Type="http://schemas.openxmlformats.org/officeDocument/2006/relationships/hyperlink" Target="http://www.law.cornell.edu/uscode/42/1983.shtml" TargetMode="External"/><Relationship Id="rId68" Type="http://schemas.openxmlformats.org/officeDocument/2006/relationships/hyperlink" Target="http://www.law.cornell.edu/uscode/usc_sec_28_00001291----000-.html" TargetMode="External"/><Relationship Id="rId76" Type="http://schemas.openxmlformats.org/officeDocument/2006/relationships/hyperlink" Target="http://scholar.google.com/scholar_case?case=13913022837288632387" TargetMode="External"/><Relationship Id="rId7" Type="http://schemas.openxmlformats.org/officeDocument/2006/relationships/footnotes" Target="footnotes.xml"/><Relationship Id="rId71" Type="http://schemas.openxmlformats.org/officeDocument/2006/relationships/hyperlink" Target="http://lawprofessors.typepad.com/evidenceprof/2008/12/passing-judgm-1.html" TargetMode="External"/><Relationship Id="rId2" Type="http://schemas.openxmlformats.org/officeDocument/2006/relationships/numbering" Target="numbering.xml"/><Relationship Id="rId16" Type="http://schemas.openxmlformats.org/officeDocument/2006/relationships/hyperlink" Target="http://creativecommons.org/licenses/by-nc-sa/3.0/" TargetMode="External"/><Relationship Id="rId29" Type="http://schemas.openxmlformats.org/officeDocument/2006/relationships/hyperlink" Target="http://www.law.cornell.edu/rules/fre/rule_412" TargetMode="External"/><Relationship Id="rId11" Type="http://schemas.openxmlformats.org/officeDocument/2006/relationships/footer" Target="footer2.xml"/><Relationship Id="rId24" Type="http://schemas.openxmlformats.org/officeDocument/2006/relationships/hyperlink" Target="http://twitter.com/caliorg" TargetMode="External"/><Relationship Id="rId32" Type="http://schemas.openxmlformats.org/officeDocument/2006/relationships/hyperlink" Target="http://scholar.google.com/scholar_case?case=16159789330739838301&amp;hl=en&amp;as_sdt=0" TargetMode="External"/><Relationship Id="rId37" Type="http://schemas.openxmlformats.org/officeDocument/2006/relationships/hyperlink" Target="http://scholar.google.com/scholar_case?case=13350726772885889427" TargetMode="External"/><Relationship Id="rId40" Type="http://schemas.openxmlformats.org/officeDocument/2006/relationships/hyperlink" Target="http://law.justia.com/cases/federal/appellate-courts/F3/442/637/641976/" TargetMode="External"/><Relationship Id="rId45" Type="http://schemas.openxmlformats.org/officeDocument/2006/relationships/hyperlink" Target="http://caselaw.findlaw.com/us-8th-circuit/1152504.html" TargetMode="External"/><Relationship Id="rId53" Type="http://schemas.openxmlformats.org/officeDocument/2006/relationships/hyperlink" Target="http://lawprofessors.typepad.com/evidenceprof/2009/11/but-it-was-only-a-fantasy-north-carolina-opinion-reveals-troubling-exception-to-the-states-rape-shie.html" TargetMode="External"/><Relationship Id="rId58" Type="http://schemas.openxmlformats.org/officeDocument/2006/relationships/hyperlink" Target="http://law.justia.com/cases/federal/appellate-courts/F2/937/515/192386/" TargetMode="External"/><Relationship Id="rId66" Type="http://schemas.openxmlformats.org/officeDocument/2006/relationships/hyperlink" Target="http://scholar.google.com/scholar_case?case=16685895650090919886" TargetMode="External"/><Relationship Id="rId74" Type="http://schemas.openxmlformats.org/officeDocument/2006/relationships/hyperlink" Target="http://scholar.google.com/scholar_case?case=5556492382060243988"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law.cornell.edu/rules/frcp/Rule26.htm" TargetMode="External"/><Relationship Id="rId10" Type="http://schemas.openxmlformats.org/officeDocument/2006/relationships/footer" Target="footer1.xml"/><Relationship Id="rId19" Type="http://schemas.openxmlformats.org/officeDocument/2006/relationships/hyperlink" Target="http://www.cali.org" TargetMode="External"/><Relationship Id="rId31" Type="http://schemas.openxmlformats.org/officeDocument/2006/relationships/hyperlink" Target="http://www.law.cornell.edu/rules/fre/ACRule412.htm" TargetMode="External"/><Relationship Id="rId44" Type="http://schemas.openxmlformats.org/officeDocument/2006/relationships/hyperlink" Target="http://www.law.cornell.edu/rules/fre/rule_403" TargetMode="External"/><Relationship Id="rId52" Type="http://schemas.openxmlformats.org/officeDocument/2006/relationships/hyperlink" Target="http://www.ncga.state.nc.us/EnactedLegislation/Statutes/HTML/BySection/Chapter_8C/GS_8C-412.html" TargetMode="External"/><Relationship Id="rId60" Type="http://schemas.openxmlformats.org/officeDocument/2006/relationships/hyperlink" Target="http://scholar.google.com/scholar_case?case=7101707847153405704" TargetMode="External"/><Relationship Id="rId65" Type="http://schemas.openxmlformats.org/officeDocument/2006/relationships/hyperlink" Target="http://scholar.google.com/scholar_case?case=2744451252788067032" TargetMode="External"/><Relationship Id="rId73" Type="http://schemas.openxmlformats.org/officeDocument/2006/relationships/hyperlink" Target="http://lawprofessors.typepad.com/evidenceprof/2011/08/can-you-hear-me-court-of-appeals-of-texas-finds-failure-to-hold-in-camera-rape-shield-hearing-isnt-r.html"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https://lh5.googleusercontent.com/r3HOyG_rooFQE51yWW9CPjgkmU7LZ3Gi_UZ4-raf2bvbVF1-IHd3jUhzeo6nveWT36pHVgSoSqbJTBJw2eAcx8UFtfBQ4zedNYYTqzWX1STDo2yQLFg" TargetMode="External"/><Relationship Id="rId22" Type="http://schemas.openxmlformats.org/officeDocument/2006/relationships/hyperlink" Target="http://elangdell.cali.org" TargetMode="External"/><Relationship Id="rId27" Type="http://schemas.openxmlformats.org/officeDocument/2006/relationships/hyperlink" Target="http://digitalcommons.law.wne.edu/lawreview/vol18/iss2/5/" TargetMode="External"/><Relationship Id="rId30" Type="http://schemas.openxmlformats.org/officeDocument/2006/relationships/hyperlink" Target="http://www.law.cornell.edu/rules/fre/rules.htm" TargetMode="External"/><Relationship Id="rId35" Type="http://schemas.openxmlformats.org/officeDocument/2006/relationships/hyperlink" Target="http://lawprofessors.typepad.com/evidenceprof/2010/04/rape-shield--desmond-w-bryan-appellant-v-the-state-of-texas-state----sw3d------2010-wl-1137038texapp-fort-worth2010.html" TargetMode="External"/><Relationship Id="rId43" Type="http://schemas.openxmlformats.org/officeDocument/2006/relationships/hyperlink" Target="http://caselaw.findlaw.com/ne-court-of-appeals/1030603.html" TargetMode="External"/><Relationship Id="rId48" Type="http://schemas.openxmlformats.org/officeDocument/2006/relationships/hyperlink" Target="http://lawprofessors.typepad.com/evidenceprof/2008/09/myspace-412-in.html" TargetMode="External"/><Relationship Id="rId56" Type="http://schemas.openxmlformats.org/officeDocument/2006/relationships/hyperlink" Target="http://www.kscourts.org/Cases-and-Opinions/opinions/ctapp/2008/20080229/94578.htm" TargetMode="External"/><Relationship Id="rId64" Type="http://schemas.openxmlformats.org/officeDocument/2006/relationships/hyperlink" Target="http://www.law.cornell.edu/constitution/eighth_amendment" TargetMode="External"/><Relationship Id="rId69" Type="http://schemas.openxmlformats.org/officeDocument/2006/relationships/hyperlink" Target="http://www.law.cornell.edu/supremecourt/text/379/148" TargetMode="External"/><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lawprofessors.typepad.com/%20evidenceprof/%202009/12/412-semenstate-of-minnesota-respondent-v-james-david-mcbroom-appellant----nw2d------2009-wl-4251080minnapp2009.html" TargetMode="External"/><Relationship Id="rId72" Type="http://schemas.openxmlformats.org/officeDocument/2006/relationships/hyperlink" Target="file:///C:\Jessica\AppData\Local\Microsoft\Windows\Temporary%20Internet%20Files\Content.IE5\U2ESKH12\scholar.google.com\scholar_case%3fcase=1621122785543153129" TargetMode="Externa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feedback@cali.org" TargetMode="External"/><Relationship Id="rId25" Type="http://schemas.openxmlformats.org/officeDocument/2006/relationships/header" Target="header2.xml"/><Relationship Id="rId33" Type="http://schemas.openxmlformats.org/officeDocument/2006/relationships/hyperlink" Target="http://scholar.google.ca/scholar_case?q=papakee+&amp;hl=en&amp;as_sdt=2,5&amp;case=4376408425801403192&amp;scilh=0" TargetMode="External"/><Relationship Id="rId38" Type="http://schemas.openxmlformats.org/officeDocument/2006/relationships/hyperlink" Target="http://scholar.google.com/scholar_case?q=us+maksimenko&amp;hl=en&amp;as_sdt=2,14&amp;case=18141150110608788218&amp;scilh=0" TargetMode="External"/><Relationship Id="rId46" Type="http://schemas.openxmlformats.org/officeDocument/2006/relationships/hyperlink" Target="http://supreme.justia.com/us/488/227/case.html" TargetMode="External"/><Relationship Id="rId59" Type="http://schemas.openxmlformats.org/officeDocument/2006/relationships/hyperlink" Target="http://law.justia.com/cases/federal/appellate-courts/F3/276/1091/642862/" TargetMode="External"/><Relationship Id="rId67" Type="http://schemas.openxmlformats.org/officeDocument/2006/relationships/hyperlink" Target="http://ftp.resource.org/courts.gov/c/F3/262/262.F3d.914.99-16960.99-16184.html" TargetMode="External"/><Relationship Id="rId20" Type="http://schemas.openxmlformats.org/officeDocument/2006/relationships/hyperlink" Target="http://www.cali.org/faq/8054" TargetMode="External"/><Relationship Id="rId41" Type="http://schemas.openxmlformats.org/officeDocument/2006/relationships/hyperlink" Target="http://lawprofessors.typepad.com/evidenceprof/2008/01/%20last-april-pres.html" TargetMode="External"/><Relationship Id="rId54" Type="http://schemas.openxmlformats.org/officeDocument/2006/relationships/hyperlink" Target="http://articles.latimes.com/2004/sep/02/sports/sp-collapse2" TargetMode="External"/><Relationship Id="rId62" Type="http://schemas.openxmlformats.org/officeDocument/2006/relationships/hyperlink" Target="http://scholar.google.com/scholar_case?case=8699877089188804932" TargetMode="External"/><Relationship Id="rId70" Type="http://schemas.openxmlformats.org/officeDocument/2006/relationships/hyperlink" Target="http://scholar.google.com/scholar_case?case=15516948748983096645" TargetMode="External"/><Relationship Id="rId75" Type="http://schemas.openxmlformats.org/officeDocument/2006/relationships/hyperlink" Target="http://scholar.google.com/scholar_case?case=739351520313030723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langdell.cali.org/" TargetMode="External"/><Relationship Id="rId23" Type="http://schemas.openxmlformats.org/officeDocument/2006/relationships/hyperlink" Target="http://facebook.com/caliorg" TargetMode="External"/><Relationship Id="rId28" Type="http://schemas.openxmlformats.org/officeDocument/2006/relationships/hyperlink" Target="http://lawprofessors.typepad.com/evidenceprof/2008/08/nz-rape-httpwww.html" TargetMode="External"/><Relationship Id="rId36" Type="http://schemas.openxmlformats.org/officeDocument/2006/relationships/hyperlink" Target="http://www.cobar.org/opinions/opinion.cfm?opinionid=4383&amp;courtid=2" TargetMode="External"/><Relationship Id="rId49" Type="http://schemas.openxmlformats.org/officeDocument/2006/relationships/hyperlink" Target="http://www.mncourts.gov/rules/r_evid.htm" TargetMode="External"/><Relationship Id="rId57" Type="http://schemas.openxmlformats.org/officeDocument/2006/relationships/hyperlink" Target="http://lawprofessors.typepad.com/evidenceprof/2008/03/rule-412-stat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urts.state.co.us/%20userfiles/File/Court_Probation/5th_Judicial_District/Cases_of_Interest/People_v_Bryant/07-04/ShieldOrder.pdf" TargetMode="External"/><Relationship Id="rId2" Type="http://schemas.openxmlformats.org/officeDocument/2006/relationships/hyperlink" Target="http://digitalcommons.law.wne.edu/lawreview/vol18/iss2/5" TargetMode="External"/><Relationship Id="rId1" Type="http://schemas.openxmlformats.org/officeDocument/2006/relationships/hyperlink" Target="http://lawprofessors.typepad.com/%20evidenceprof/2008/08/nz-rape-httpww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3ACB5-4142-45D8-8449-09858E1B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7268</Words>
  <Characters>41433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Rape Shield Rule Chapter</vt:lpstr>
    </vt:vector>
  </TitlesOfParts>
  <Company/>
  <LinksUpToDate>false</LinksUpToDate>
  <CharactersWithSpaces>48604</CharactersWithSpaces>
  <SharedDoc>false</SharedDoc>
  <HLinks>
    <vt:vector size="444" baseType="variant">
      <vt:variant>
        <vt:i4>3211269</vt:i4>
      </vt:variant>
      <vt:variant>
        <vt:i4>273</vt:i4>
      </vt:variant>
      <vt:variant>
        <vt:i4>0</vt:i4>
      </vt:variant>
      <vt:variant>
        <vt:i4>5</vt:i4>
      </vt:variant>
      <vt:variant>
        <vt:lpwstr>http://scholar.google.com/scholar_case?case=13913022837288632387</vt:lpwstr>
      </vt:variant>
      <vt:variant>
        <vt:lpwstr/>
      </vt:variant>
      <vt:variant>
        <vt:i4>720954</vt:i4>
      </vt:variant>
      <vt:variant>
        <vt:i4>270</vt:i4>
      </vt:variant>
      <vt:variant>
        <vt:i4>0</vt:i4>
      </vt:variant>
      <vt:variant>
        <vt:i4>5</vt:i4>
      </vt:variant>
      <vt:variant>
        <vt:lpwstr>http://scholar.google.com/scholar_case?case=7393515203130307233</vt:lpwstr>
      </vt:variant>
      <vt:variant>
        <vt:lpwstr/>
      </vt:variant>
      <vt:variant>
        <vt:i4>720948</vt:i4>
      </vt:variant>
      <vt:variant>
        <vt:i4>267</vt:i4>
      </vt:variant>
      <vt:variant>
        <vt:i4>0</vt:i4>
      </vt:variant>
      <vt:variant>
        <vt:i4>5</vt:i4>
      </vt:variant>
      <vt:variant>
        <vt:lpwstr>http://scholar.google.com/scholar_case?case=5556492382060243988</vt:lpwstr>
      </vt:variant>
      <vt:variant>
        <vt:lpwstr/>
      </vt:variant>
      <vt:variant>
        <vt:i4>6684732</vt:i4>
      </vt:variant>
      <vt:variant>
        <vt:i4>264</vt:i4>
      </vt:variant>
      <vt:variant>
        <vt:i4>0</vt:i4>
      </vt:variant>
      <vt:variant>
        <vt:i4>5</vt:i4>
      </vt:variant>
      <vt:variant>
        <vt:lpwstr>http://lawprofessors.typepad.com/evidenceprof/2011/08/can-you-hear-me-court-of-appeals-of-texas-finds-failure-to-hold-in-camera-rape-shield-hearing-isnt-r.html</vt:lpwstr>
      </vt:variant>
      <vt:variant>
        <vt:lpwstr/>
      </vt:variant>
      <vt:variant>
        <vt:i4>6553694</vt:i4>
      </vt:variant>
      <vt:variant>
        <vt:i4>261</vt:i4>
      </vt:variant>
      <vt:variant>
        <vt:i4>0</vt:i4>
      </vt:variant>
      <vt:variant>
        <vt:i4>5</vt:i4>
      </vt:variant>
      <vt:variant>
        <vt:lpwstr>../../../../../../../Jessica/AppData/Local/Microsoft/Windows/Temporary Internet Files/Content.IE5/U2ESKH12/scholar.google.com/scholar_case%3fcase=1621122785543153129</vt:lpwstr>
      </vt:variant>
      <vt:variant>
        <vt:lpwstr/>
      </vt:variant>
      <vt:variant>
        <vt:i4>2162790</vt:i4>
      </vt:variant>
      <vt:variant>
        <vt:i4>258</vt:i4>
      </vt:variant>
      <vt:variant>
        <vt:i4>0</vt:i4>
      </vt:variant>
      <vt:variant>
        <vt:i4>5</vt:i4>
      </vt:variant>
      <vt:variant>
        <vt:lpwstr>http://lawprofessors.typepad.com/evidenceprof/2008/12/passing-judgm-1.html</vt:lpwstr>
      </vt:variant>
      <vt:variant>
        <vt:lpwstr/>
      </vt:variant>
      <vt:variant>
        <vt:i4>4063236</vt:i4>
      </vt:variant>
      <vt:variant>
        <vt:i4>255</vt:i4>
      </vt:variant>
      <vt:variant>
        <vt:i4>0</vt:i4>
      </vt:variant>
      <vt:variant>
        <vt:i4>5</vt:i4>
      </vt:variant>
      <vt:variant>
        <vt:lpwstr>http://scholar.google.com/scholar_case?case=15516948748983096645</vt:lpwstr>
      </vt:variant>
      <vt:variant>
        <vt:lpwstr/>
      </vt:variant>
      <vt:variant>
        <vt:i4>1769488</vt:i4>
      </vt:variant>
      <vt:variant>
        <vt:i4>252</vt:i4>
      </vt:variant>
      <vt:variant>
        <vt:i4>0</vt:i4>
      </vt:variant>
      <vt:variant>
        <vt:i4>5</vt:i4>
      </vt:variant>
      <vt:variant>
        <vt:lpwstr>http://www.law.cornell.edu/supremecourt/text/379/148</vt:lpwstr>
      </vt:variant>
      <vt:variant>
        <vt:lpwstr/>
      </vt:variant>
      <vt:variant>
        <vt:i4>7667742</vt:i4>
      </vt:variant>
      <vt:variant>
        <vt:i4>249</vt:i4>
      </vt:variant>
      <vt:variant>
        <vt:i4>0</vt:i4>
      </vt:variant>
      <vt:variant>
        <vt:i4>5</vt:i4>
      </vt:variant>
      <vt:variant>
        <vt:lpwstr>http://www.law.cornell.edu/uscode/usc_sec_28_00001291----000-.html</vt:lpwstr>
      </vt:variant>
      <vt:variant>
        <vt:lpwstr/>
      </vt:variant>
      <vt:variant>
        <vt:i4>2228331</vt:i4>
      </vt:variant>
      <vt:variant>
        <vt:i4>246</vt:i4>
      </vt:variant>
      <vt:variant>
        <vt:i4>0</vt:i4>
      </vt:variant>
      <vt:variant>
        <vt:i4>5</vt:i4>
      </vt:variant>
      <vt:variant>
        <vt:lpwstr>http://ftp.resource.org/courts.gov/c/F3/262/262.F3d.914.99-16960.99-16184.html</vt:lpwstr>
      </vt:variant>
      <vt:variant>
        <vt:lpwstr/>
      </vt:variant>
      <vt:variant>
        <vt:i4>3538955</vt:i4>
      </vt:variant>
      <vt:variant>
        <vt:i4>240</vt:i4>
      </vt:variant>
      <vt:variant>
        <vt:i4>0</vt:i4>
      </vt:variant>
      <vt:variant>
        <vt:i4>5</vt:i4>
      </vt:variant>
      <vt:variant>
        <vt:lpwstr>http://scholar.google.com/scholar_case?case=16685895650090919886</vt:lpwstr>
      </vt:variant>
      <vt:variant>
        <vt:lpwstr/>
      </vt:variant>
      <vt:variant>
        <vt:i4>327736</vt:i4>
      </vt:variant>
      <vt:variant>
        <vt:i4>237</vt:i4>
      </vt:variant>
      <vt:variant>
        <vt:i4>0</vt:i4>
      </vt:variant>
      <vt:variant>
        <vt:i4>5</vt:i4>
      </vt:variant>
      <vt:variant>
        <vt:lpwstr>http://scholar.google.com/scholar_case?case=2744451252788067032</vt:lpwstr>
      </vt:variant>
      <vt:variant>
        <vt:lpwstr/>
      </vt:variant>
      <vt:variant>
        <vt:i4>1638457</vt:i4>
      </vt:variant>
      <vt:variant>
        <vt:i4>234</vt:i4>
      </vt:variant>
      <vt:variant>
        <vt:i4>0</vt:i4>
      </vt:variant>
      <vt:variant>
        <vt:i4>5</vt:i4>
      </vt:variant>
      <vt:variant>
        <vt:lpwstr>http://www.law.cornell.edu/constitution/eighth_amendment</vt:lpwstr>
      </vt:variant>
      <vt:variant>
        <vt:lpwstr/>
      </vt:variant>
      <vt:variant>
        <vt:i4>7667832</vt:i4>
      </vt:variant>
      <vt:variant>
        <vt:i4>231</vt:i4>
      </vt:variant>
      <vt:variant>
        <vt:i4>0</vt:i4>
      </vt:variant>
      <vt:variant>
        <vt:i4>5</vt:i4>
      </vt:variant>
      <vt:variant>
        <vt:lpwstr>http://www.law.cornell.edu/uscode/42/1983.shtml</vt:lpwstr>
      </vt:variant>
      <vt:variant>
        <vt:lpwstr/>
      </vt:variant>
      <vt:variant>
        <vt:i4>589873</vt:i4>
      </vt:variant>
      <vt:variant>
        <vt:i4>228</vt:i4>
      </vt:variant>
      <vt:variant>
        <vt:i4>0</vt:i4>
      </vt:variant>
      <vt:variant>
        <vt:i4>5</vt:i4>
      </vt:variant>
      <vt:variant>
        <vt:lpwstr>http://scholar.google.com/scholar_case?case=8699877089188804932</vt:lpwstr>
      </vt:variant>
      <vt:variant>
        <vt:lpwstr/>
      </vt:variant>
      <vt:variant>
        <vt:i4>6029404</vt:i4>
      </vt:variant>
      <vt:variant>
        <vt:i4>225</vt:i4>
      </vt:variant>
      <vt:variant>
        <vt:i4>0</vt:i4>
      </vt:variant>
      <vt:variant>
        <vt:i4>5</vt:i4>
      </vt:variant>
      <vt:variant>
        <vt:lpwstr>http://www.law.cornell.edu/rules/frcp/Rule26.htm</vt:lpwstr>
      </vt:variant>
      <vt:variant>
        <vt:lpwstr/>
      </vt:variant>
      <vt:variant>
        <vt:i4>262193</vt:i4>
      </vt:variant>
      <vt:variant>
        <vt:i4>222</vt:i4>
      </vt:variant>
      <vt:variant>
        <vt:i4>0</vt:i4>
      </vt:variant>
      <vt:variant>
        <vt:i4>5</vt:i4>
      </vt:variant>
      <vt:variant>
        <vt:lpwstr>http://scholar.google.com/scholar_case?case=7101707847153405704</vt:lpwstr>
      </vt:variant>
      <vt:variant>
        <vt:lpwstr/>
      </vt:variant>
      <vt:variant>
        <vt:i4>4718669</vt:i4>
      </vt:variant>
      <vt:variant>
        <vt:i4>219</vt:i4>
      </vt:variant>
      <vt:variant>
        <vt:i4>0</vt:i4>
      </vt:variant>
      <vt:variant>
        <vt:i4>5</vt:i4>
      </vt:variant>
      <vt:variant>
        <vt:lpwstr>http://law.justia.com/cases/federal/appellate-courts/F3/276/1091/642862/</vt:lpwstr>
      </vt:variant>
      <vt:variant>
        <vt:lpwstr/>
      </vt:variant>
      <vt:variant>
        <vt:i4>7471204</vt:i4>
      </vt:variant>
      <vt:variant>
        <vt:i4>216</vt:i4>
      </vt:variant>
      <vt:variant>
        <vt:i4>0</vt:i4>
      </vt:variant>
      <vt:variant>
        <vt:i4>5</vt:i4>
      </vt:variant>
      <vt:variant>
        <vt:lpwstr>http://law.justia.com/cases/federal/appellate-courts/F2/937/515/192386/</vt:lpwstr>
      </vt:variant>
      <vt:variant>
        <vt:lpwstr/>
      </vt:variant>
      <vt:variant>
        <vt:i4>1835080</vt:i4>
      </vt:variant>
      <vt:variant>
        <vt:i4>213</vt:i4>
      </vt:variant>
      <vt:variant>
        <vt:i4>0</vt:i4>
      </vt:variant>
      <vt:variant>
        <vt:i4>5</vt:i4>
      </vt:variant>
      <vt:variant>
        <vt:lpwstr>http://lawprofessors.typepad.com/evidenceprof/2008/03/rule-412-state.html</vt:lpwstr>
      </vt:variant>
      <vt:variant>
        <vt:lpwstr/>
      </vt:variant>
      <vt:variant>
        <vt:i4>4325391</vt:i4>
      </vt:variant>
      <vt:variant>
        <vt:i4>210</vt:i4>
      </vt:variant>
      <vt:variant>
        <vt:i4>0</vt:i4>
      </vt:variant>
      <vt:variant>
        <vt:i4>5</vt:i4>
      </vt:variant>
      <vt:variant>
        <vt:lpwstr>http://www.kscourts.org/Cases-and-Opinions/opinions/ctapp/2008/20080229/94578.htm</vt:lpwstr>
      </vt:variant>
      <vt:variant>
        <vt:lpwstr/>
      </vt:variant>
      <vt:variant>
        <vt:i4>1310787</vt:i4>
      </vt:variant>
      <vt:variant>
        <vt:i4>207</vt:i4>
      </vt:variant>
      <vt:variant>
        <vt:i4>0</vt:i4>
      </vt:variant>
      <vt:variant>
        <vt:i4>5</vt:i4>
      </vt:variant>
      <vt:variant>
        <vt:lpwstr>http://ca10.washburnlaw.edu/cases/2000/07/99-2001.htm</vt:lpwstr>
      </vt:variant>
      <vt:variant>
        <vt:lpwstr/>
      </vt:variant>
      <vt:variant>
        <vt:i4>3407994</vt:i4>
      </vt:variant>
      <vt:variant>
        <vt:i4>204</vt:i4>
      </vt:variant>
      <vt:variant>
        <vt:i4>0</vt:i4>
      </vt:variant>
      <vt:variant>
        <vt:i4>5</vt:i4>
      </vt:variant>
      <vt:variant>
        <vt:lpwstr>http://articles.latimes.com/2004/sep/02/sports/sp-collapse2</vt:lpwstr>
      </vt:variant>
      <vt:variant>
        <vt:lpwstr/>
      </vt:variant>
      <vt:variant>
        <vt:i4>4456458</vt:i4>
      </vt:variant>
      <vt:variant>
        <vt:i4>201</vt:i4>
      </vt:variant>
      <vt:variant>
        <vt:i4>0</vt:i4>
      </vt:variant>
      <vt:variant>
        <vt:i4>5</vt:i4>
      </vt:variant>
      <vt:variant>
        <vt:lpwstr>http://lawprofessors.typepad.com/ evidenceprof/2009/11/but-it-was-only-a-fantasy-north-carolina-opinion-reveals-troubling-exception-to-the-states-rape-shie.html</vt:lpwstr>
      </vt:variant>
      <vt:variant>
        <vt:lpwstr/>
      </vt:variant>
      <vt:variant>
        <vt:i4>6225994</vt:i4>
      </vt:variant>
      <vt:variant>
        <vt:i4>198</vt:i4>
      </vt:variant>
      <vt:variant>
        <vt:i4>0</vt:i4>
      </vt:variant>
      <vt:variant>
        <vt:i4>5</vt:i4>
      </vt:variant>
      <vt:variant>
        <vt:lpwstr>http://www.ncga.state.nc.us/EnactedLegislation/Statutes/HTML/BySection/Chapter_8C/GS_8C-412.html</vt:lpwstr>
      </vt:variant>
      <vt:variant>
        <vt:lpwstr/>
      </vt:variant>
      <vt:variant>
        <vt:i4>7864430</vt:i4>
      </vt:variant>
      <vt:variant>
        <vt:i4>195</vt:i4>
      </vt:variant>
      <vt:variant>
        <vt:i4>0</vt:i4>
      </vt:variant>
      <vt:variant>
        <vt:i4>5</vt:i4>
      </vt:variant>
      <vt:variant>
        <vt:lpwstr>http://lawprofessors.typepad.com/ evidenceprof/ 2009/12/412-semenstate-of-minnesota-respondent-v-james-david-mcbroom-appellant----nw2d------2009-wl-4251080minnapp2009.html</vt:lpwstr>
      </vt:variant>
      <vt:variant>
        <vt:lpwstr/>
      </vt:variant>
      <vt:variant>
        <vt:i4>3932209</vt:i4>
      </vt:variant>
      <vt:variant>
        <vt:i4>192</vt:i4>
      </vt:variant>
      <vt:variant>
        <vt:i4>0</vt:i4>
      </vt:variant>
      <vt:variant>
        <vt:i4>5</vt:i4>
      </vt:variant>
      <vt:variant>
        <vt:lpwstr>http://law.justia.com/cases/minnesota/court-of-appeals/2009/opa082272-1201.html</vt:lpwstr>
      </vt:variant>
      <vt:variant>
        <vt:lpwstr/>
      </vt:variant>
      <vt:variant>
        <vt:i4>3866716</vt:i4>
      </vt:variant>
      <vt:variant>
        <vt:i4>189</vt:i4>
      </vt:variant>
      <vt:variant>
        <vt:i4>0</vt:i4>
      </vt:variant>
      <vt:variant>
        <vt:i4>5</vt:i4>
      </vt:variant>
      <vt:variant>
        <vt:lpwstr>http://www.mncourts.gov/rules/r_evid.htm</vt:lpwstr>
      </vt:variant>
      <vt:variant>
        <vt:lpwstr>e412</vt:lpwstr>
      </vt:variant>
      <vt:variant>
        <vt:i4>4718616</vt:i4>
      </vt:variant>
      <vt:variant>
        <vt:i4>186</vt:i4>
      </vt:variant>
      <vt:variant>
        <vt:i4>0</vt:i4>
      </vt:variant>
      <vt:variant>
        <vt:i4>5</vt:i4>
      </vt:variant>
      <vt:variant>
        <vt:lpwstr>http://lawprofessors.typepad.com/evidenceprof/2008/09/myspace-412-in.html</vt:lpwstr>
      </vt:variant>
      <vt:variant>
        <vt:lpwstr/>
      </vt:variant>
      <vt:variant>
        <vt:i4>6225951</vt:i4>
      </vt:variant>
      <vt:variant>
        <vt:i4>183</vt:i4>
      </vt:variant>
      <vt:variant>
        <vt:i4>0</vt:i4>
      </vt:variant>
      <vt:variant>
        <vt:i4>5</vt:i4>
      </vt:variant>
      <vt:variant>
        <vt:lpwstr>http://scholar.google.com/scholar_case?q=in+re+k.w.+S.E.2d+490&amp;hl=en&amp;as_sdt=2,14&amp;case=5501192436729752999&amp;scilh=0</vt:lpwstr>
      </vt:variant>
      <vt:variant>
        <vt:lpwstr/>
      </vt:variant>
      <vt:variant>
        <vt:i4>6946930</vt:i4>
      </vt:variant>
      <vt:variant>
        <vt:i4>180</vt:i4>
      </vt:variant>
      <vt:variant>
        <vt:i4>0</vt:i4>
      </vt:variant>
      <vt:variant>
        <vt:i4>5</vt:i4>
      </vt:variant>
      <vt:variant>
        <vt:lpwstr>http://supreme.justia.com/us/488/227/case.html</vt:lpwstr>
      </vt:variant>
      <vt:variant>
        <vt:lpwstr/>
      </vt:variant>
      <vt:variant>
        <vt:i4>7667827</vt:i4>
      </vt:variant>
      <vt:variant>
        <vt:i4>177</vt:i4>
      </vt:variant>
      <vt:variant>
        <vt:i4>0</vt:i4>
      </vt:variant>
      <vt:variant>
        <vt:i4>5</vt:i4>
      </vt:variant>
      <vt:variant>
        <vt:lpwstr>http://caselaw.findlaw.com/us-8th-circuit/1152504.html</vt:lpwstr>
      </vt:variant>
      <vt:variant>
        <vt:lpwstr/>
      </vt:variant>
      <vt:variant>
        <vt:i4>2555985</vt:i4>
      </vt:variant>
      <vt:variant>
        <vt:i4>174</vt:i4>
      </vt:variant>
      <vt:variant>
        <vt:i4>0</vt:i4>
      </vt:variant>
      <vt:variant>
        <vt:i4>5</vt:i4>
      </vt:variant>
      <vt:variant>
        <vt:lpwstr>http://www.law.cornell.edu/rules/fre/rule_403</vt:lpwstr>
      </vt:variant>
      <vt:variant>
        <vt:lpwstr/>
      </vt:variant>
      <vt:variant>
        <vt:i4>2687033</vt:i4>
      </vt:variant>
      <vt:variant>
        <vt:i4>171</vt:i4>
      </vt:variant>
      <vt:variant>
        <vt:i4>0</vt:i4>
      </vt:variant>
      <vt:variant>
        <vt:i4>5</vt:i4>
      </vt:variant>
      <vt:variant>
        <vt:lpwstr>http://caselaw.findlaw.com/ne-court-of-appeals/1030603.html</vt:lpwstr>
      </vt:variant>
      <vt:variant>
        <vt:lpwstr/>
      </vt:variant>
      <vt:variant>
        <vt:i4>7471204</vt:i4>
      </vt:variant>
      <vt:variant>
        <vt:i4>168</vt:i4>
      </vt:variant>
      <vt:variant>
        <vt:i4>0</vt:i4>
      </vt:variant>
      <vt:variant>
        <vt:i4>5</vt:i4>
      </vt:variant>
      <vt:variant>
        <vt:lpwstr>http://law.justia.com/cases/federal/appellate-courts/F2/937/515/192386/</vt:lpwstr>
      </vt:variant>
      <vt:variant>
        <vt:lpwstr/>
      </vt:variant>
      <vt:variant>
        <vt:i4>7405617</vt:i4>
      </vt:variant>
      <vt:variant>
        <vt:i4>165</vt:i4>
      </vt:variant>
      <vt:variant>
        <vt:i4>0</vt:i4>
      </vt:variant>
      <vt:variant>
        <vt:i4>5</vt:i4>
      </vt:variant>
      <vt:variant>
        <vt:lpwstr>http://lawprofessors.typepad.com/evidenceprof/ 2008/01/last-april-pres.html</vt:lpwstr>
      </vt:variant>
      <vt:variant>
        <vt:lpwstr/>
      </vt:variant>
      <vt:variant>
        <vt:i4>7340135</vt:i4>
      </vt:variant>
      <vt:variant>
        <vt:i4>162</vt:i4>
      </vt:variant>
      <vt:variant>
        <vt:i4>0</vt:i4>
      </vt:variant>
      <vt:variant>
        <vt:i4>5</vt:i4>
      </vt:variant>
      <vt:variant>
        <vt:lpwstr>http://law.justia.com/cases/federal/appellate-courts/F3/442/637/641976/</vt:lpwstr>
      </vt:variant>
      <vt:variant>
        <vt:lpwstr/>
      </vt:variant>
      <vt:variant>
        <vt:i4>6553648</vt:i4>
      </vt:variant>
      <vt:variant>
        <vt:i4>159</vt:i4>
      </vt:variant>
      <vt:variant>
        <vt:i4>0</vt:i4>
      </vt:variant>
      <vt:variant>
        <vt:i4>5</vt:i4>
      </vt:variant>
      <vt:variant>
        <vt:lpwstr>http://www.eeoc.gov/laws/statutes/titlevii.cfm</vt:lpwstr>
      </vt:variant>
      <vt:variant>
        <vt:lpwstr/>
      </vt:variant>
      <vt:variant>
        <vt:i4>6815855</vt:i4>
      </vt:variant>
      <vt:variant>
        <vt:i4>156</vt:i4>
      </vt:variant>
      <vt:variant>
        <vt:i4>0</vt:i4>
      </vt:variant>
      <vt:variant>
        <vt:i4>5</vt:i4>
      </vt:variant>
      <vt:variant>
        <vt:lpwstr>http://scholar.google.com/scholar_case?q=us+maksimenko&amp;hl=en&amp;as_sdt=2,14&amp;case=18141150110608788218&amp;scilh=0</vt:lpwstr>
      </vt:variant>
      <vt:variant>
        <vt:lpwstr/>
      </vt:variant>
      <vt:variant>
        <vt:i4>3735561</vt:i4>
      </vt:variant>
      <vt:variant>
        <vt:i4>153</vt:i4>
      </vt:variant>
      <vt:variant>
        <vt:i4>0</vt:i4>
      </vt:variant>
      <vt:variant>
        <vt:i4>5</vt:i4>
      </vt:variant>
      <vt:variant>
        <vt:lpwstr>http://scholar.google.com/scholar_case?case=13350726772885889427</vt:lpwstr>
      </vt:variant>
      <vt:variant>
        <vt:lpwstr/>
      </vt:variant>
      <vt:variant>
        <vt:i4>6881318</vt:i4>
      </vt:variant>
      <vt:variant>
        <vt:i4>150</vt:i4>
      </vt:variant>
      <vt:variant>
        <vt:i4>0</vt:i4>
      </vt:variant>
      <vt:variant>
        <vt:i4>5</vt:i4>
      </vt:variant>
      <vt:variant>
        <vt:lpwstr>http://www.cobar.org/opinions/opinion.cfm?opinionid=4383&amp;courtid=2</vt:lpwstr>
      </vt:variant>
      <vt:variant>
        <vt:lpwstr/>
      </vt:variant>
      <vt:variant>
        <vt:i4>6553706</vt:i4>
      </vt:variant>
      <vt:variant>
        <vt:i4>147</vt:i4>
      </vt:variant>
      <vt:variant>
        <vt:i4>0</vt:i4>
      </vt:variant>
      <vt:variant>
        <vt:i4>5</vt:i4>
      </vt:variant>
      <vt:variant>
        <vt:lpwstr>http://lawprofessors.typepad.com/evidenceprof/2010/04/rape-shield--desmond-w-bryan-appellant-v-the-state-of-texas-state----sw3d------2010-wl-1137038texapp-fort-worth2010.html</vt:lpwstr>
      </vt:variant>
      <vt:variant>
        <vt:lpwstr/>
      </vt:variant>
      <vt:variant>
        <vt:i4>917518</vt:i4>
      </vt:variant>
      <vt:variant>
        <vt:i4>144</vt:i4>
      </vt:variant>
      <vt:variant>
        <vt:i4>0</vt:i4>
      </vt:variant>
      <vt:variant>
        <vt:i4>5</vt:i4>
      </vt:variant>
      <vt:variant>
        <vt:lpwstr>http://www.2ndcoa.courts.state.tx.us/opinions/htmlopinion.asp?OpinionId=21236</vt:lpwstr>
      </vt:variant>
      <vt:variant>
        <vt:lpwstr/>
      </vt:variant>
      <vt:variant>
        <vt:i4>4915291</vt:i4>
      </vt:variant>
      <vt:variant>
        <vt:i4>141</vt:i4>
      </vt:variant>
      <vt:variant>
        <vt:i4>0</vt:i4>
      </vt:variant>
      <vt:variant>
        <vt:i4>5</vt:i4>
      </vt:variant>
      <vt:variant>
        <vt:lpwstr>http://scholar.google.ca/scholar_case?q=papakee+&amp;hl=en&amp;as_sdt=2,5&amp;case=4376408425801403192&amp;scilh=0</vt:lpwstr>
      </vt:variant>
      <vt:variant>
        <vt:lpwstr/>
      </vt:variant>
      <vt:variant>
        <vt:i4>6422651</vt:i4>
      </vt:variant>
      <vt:variant>
        <vt:i4>138</vt:i4>
      </vt:variant>
      <vt:variant>
        <vt:i4>0</vt:i4>
      </vt:variant>
      <vt:variant>
        <vt:i4>5</vt:i4>
      </vt:variant>
      <vt:variant>
        <vt:lpwstr>http://scholar.google.com/scholar_case?case=16159789330739838301&amp;hl=en&amp;as_sdt=0</vt:lpwstr>
      </vt:variant>
      <vt:variant>
        <vt:lpwstr/>
      </vt:variant>
      <vt:variant>
        <vt:i4>2752621</vt:i4>
      </vt:variant>
      <vt:variant>
        <vt:i4>135</vt:i4>
      </vt:variant>
      <vt:variant>
        <vt:i4>0</vt:i4>
      </vt:variant>
      <vt:variant>
        <vt:i4>5</vt:i4>
      </vt:variant>
      <vt:variant>
        <vt:lpwstr>http://www.law.cornell.edu/rules/fre/ACRule412.htm</vt:lpwstr>
      </vt:variant>
      <vt:variant>
        <vt:lpwstr/>
      </vt:variant>
      <vt:variant>
        <vt:i4>2031637</vt:i4>
      </vt:variant>
      <vt:variant>
        <vt:i4>132</vt:i4>
      </vt:variant>
      <vt:variant>
        <vt:i4>0</vt:i4>
      </vt:variant>
      <vt:variant>
        <vt:i4>5</vt:i4>
      </vt:variant>
      <vt:variant>
        <vt:lpwstr>http://www.law.cornell.edu/rules/fre/rules.htm</vt:lpwstr>
      </vt:variant>
      <vt:variant>
        <vt:lpwstr>Rule412</vt:lpwstr>
      </vt:variant>
      <vt:variant>
        <vt:i4>2490449</vt:i4>
      </vt:variant>
      <vt:variant>
        <vt:i4>129</vt:i4>
      </vt:variant>
      <vt:variant>
        <vt:i4>0</vt:i4>
      </vt:variant>
      <vt:variant>
        <vt:i4>5</vt:i4>
      </vt:variant>
      <vt:variant>
        <vt:lpwstr>http://www.law.cornell.edu/rules/fre/rule_412</vt:lpwstr>
      </vt:variant>
      <vt:variant>
        <vt:lpwstr/>
      </vt:variant>
      <vt:variant>
        <vt:i4>6815848</vt:i4>
      </vt:variant>
      <vt:variant>
        <vt:i4>126</vt:i4>
      </vt:variant>
      <vt:variant>
        <vt:i4>0</vt:i4>
      </vt:variant>
      <vt:variant>
        <vt:i4>5</vt:i4>
      </vt:variant>
      <vt:variant>
        <vt:lpwstr>http://lawprofessors.typepad.com/evidenceprof/2008/08/nz-rape-httpwww.html</vt:lpwstr>
      </vt:variant>
      <vt:variant>
        <vt:lpwstr/>
      </vt:variant>
      <vt:variant>
        <vt:i4>1835028</vt:i4>
      </vt:variant>
      <vt:variant>
        <vt:i4>123</vt:i4>
      </vt:variant>
      <vt:variant>
        <vt:i4>0</vt:i4>
      </vt:variant>
      <vt:variant>
        <vt:i4>5</vt:i4>
      </vt:variant>
      <vt:variant>
        <vt:lpwstr>http://digitalcommons.law.wne.edu/lawreview/vol18/iss2/5/</vt:lpwstr>
      </vt:variant>
      <vt:variant>
        <vt:lpwstr/>
      </vt:variant>
      <vt:variant>
        <vt:i4>6815848</vt:i4>
      </vt:variant>
      <vt:variant>
        <vt:i4>120</vt:i4>
      </vt:variant>
      <vt:variant>
        <vt:i4>0</vt:i4>
      </vt:variant>
      <vt:variant>
        <vt:i4>5</vt:i4>
      </vt:variant>
      <vt:variant>
        <vt:lpwstr>http://lawprofessors.typepad.com/evidenceprof/2008/08/nz-rape-httpwww.html</vt:lpwstr>
      </vt:variant>
      <vt:variant>
        <vt:lpwstr/>
      </vt:variant>
      <vt:variant>
        <vt:i4>7274531</vt:i4>
      </vt:variant>
      <vt:variant>
        <vt:i4>117</vt:i4>
      </vt:variant>
      <vt:variant>
        <vt:i4>0</vt:i4>
      </vt:variant>
      <vt:variant>
        <vt:i4>5</vt:i4>
      </vt:variant>
      <vt:variant>
        <vt:lpwstr>http://lawprofessors.typepad.com/evidenceprof/</vt:lpwstr>
      </vt:variant>
      <vt:variant>
        <vt:lpwstr/>
      </vt:variant>
      <vt:variant>
        <vt:i4>1310775</vt:i4>
      </vt:variant>
      <vt:variant>
        <vt:i4>110</vt:i4>
      </vt:variant>
      <vt:variant>
        <vt:i4>0</vt:i4>
      </vt:variant>
      <vt:variant>
        <vt:i4>5</vt:i4>
      </vt:variant>
      <vt:variant>
        <vt:lpwstr/>
      </vt:variant>
      <vt:variant>
        <vt:lpwstr>_Toc315873690</vt:lpwstr>
      </vt:variant>
      <vt:variant>
        <vt:i4>1376311</vt:i4>
      </vt:variant>
      <vt:variant>
        <vt:i4>104</vt:i4>
      </vt:variant>
      <vt:variant>
        <vt:i4>0</vt:i4>
      </vt:variant>
      <vt:variant>
        <vt:i4>5</vt:i4>
      </vt:variant>
      <vt:variant>
        <vt:lpwstr/>
      </vt:variant>
      <vt:variant>
        <vt:lpwstr>_Toc315873689</vt:lpwstr>
      </vt:variant>
      <vt:variant>
        <vt:i4>1376311</vt:i4>
      </vt:variant>
      <vt:variant>
        <vt:i4>98</vt:i4>
      </vt:variant>
      <vt:variant>
        <vt:i4>0</vt:i4>
      </vt:variant>
      <vt:variant>
        <vt:i4>5</vt:i4>
      </vt:variant>
      <vt:variant>
        <vt:lpwstr/>
      </vt:variant>
      <vt:variant>
        <vt:lpwstr>_Toc315873688</vt:lpwstr>
      </vt:variant>
      <vt:variant>
        <vt:i4>1376311</vt:i4>
      </vt:variant>
      <vt:variant>
        <vt:i4>92</vt:i4>
      </vt:variant>
      <vt:variant>
        <vt:i4>0</vt:i4>
      </vt:variant>
      <vt:variant>
        <vt:i4>5</vt:i4>
      </vt:variant>
      <vt:variant>
        <vt:lpwstr/>
      </vt:variant>
      <vt:variant>
        <vt:lpwstr>_Toc315873687</vt:lpwstr>
      </vt:variant>
      <vt:variant>
        <vt:i4>1376311</vt:i4>
      </vt:variant>
      <vt:variant>
        <vt:i4>86</vt:i4>
      </vt:variant>
      <vt:variant>
        <vt:i4>0</vt:i4>
      </vt:variant>
      <vt:variant>
        <vt:i4>5</vt:i4>
      </vt:variant>
      <vt:variant>
        <vt:lpwstr/>
      </vt:variant>
      <vt:variant>
        <vt:lpwstr>_Toc315873686</vt:lpwstr>
      </vt:variant>
      <vt:variant>
        <vt:i4>1376311</vt:i4>
      </vt:variant>
      <vt:variant>
        <vt:i4>80</vt:i4>
      </vt:variant>
      <vt:variant>
        <vt:i4>0</vt:i4>
      </vt:variant>
      <vt:variant>
        <vt:i4>5</vt:i4>
      </vt:variant>
      <vt:variant>
        <vt:lpwstr/>
      </vt:variant>
      <vt:variant>
        <vt:lpwstr>_Toc315873685</vt:lpwstr>
      </vt:variant>
      <vt:variant>
        <vt:i4>1376311</vt:i4>
      </vt:variant>
      <vt:variant>
        <vt:i4>74</vt:i4>
      </vt:variant>
      <vt:variant>
        <vt:i4>0</vt:i4>
      </vt:variant>
      <vt:variant>
        <vt:i4>5</vt:i4>
      </vt:variant>
      <vt:variant>
        <vt:lpwstr/>
      </vt:variant>
      <vt:variant>
        <vt:lpwstr>_Toc315873684</vt:lpwstr>
      </vt:variant>
      <vt:variant>
        <vt:i4>1376311</vt:i4>
      </vt:variant>
      <vt:variant>
        <vt:i4>68</vt:i4>
      </vt:variant>
      <vt:variant>
        <vt:i4>0</vt:i4>
      </vt:variant>
      <vt:variant>
        <vt:i4>5</vt:i4>
      </vt:variant>
      <vt:variant>
        <vt:lpwstr/>
      </vt:variant>
      <vt:variant>
        <vt:lpwstr>_Toc315873683</vt:lpwstr>
      </vt:variant>
      <vt:variant>
        <vt:i4>1376311</vt:i4>
      </vt:variant>
      <vt:variant>
        <vt:i4>62</vt:i4>
      </vt:variant>
      <vt:variant>
        <vt:i4>0</vt:i4>
      </vt:variant>
      <vt:variant>
        <vt:i4>5</vt:i4>
      </vt:variant>
      <vt:variant>
        <vt:lpwstr/>
      </vt:variant>
      <vt:variant>
        <vt:lpwstr>_Toc315873682</vt:lpwstr>
      </vt:variant>
      <vt:variant>
        <vt:i4>1376311</vt:i4>
      </vt:variant>
      <vt:variant>
        <vt:i4>56</vt:i4>
      </vt:variant>
      <vt:variant>
        <vt:i4>0</vt:i4>
      </vt:variant>
      <vt:variant>
        <vt:i4>5</vt:i4>
      </vt:variant>
      <vt:variant>
        <vt:lpwstr/>
      </vt:variant>
      <vt:variant>
        <vt:lpwstr>_Toc315873681</vt:lpwstr>
      </vt:variant>
      <vt:variant>
        <vt:i4>1376311</vt:i4>
      </vt:variant>
      <vt:variant>
        <vt:i4>50</vt:i4>
      </vt:variant>
      <vt:variant>
        <vt:i4>0</vt:i4>
      </vt:variant>
      <vt:variant>
        <vt:i4>5</vt:i4>
      </vt:variant>
      <vt:variant>
        <vt:lpwstr/>
      </vt:variant>
      <vt:variant>
        <vt:lpwstr>_Toc315873680</vt:lpwstr>
      </vt:variant>
      <vt:variant>
        <vt:i4>1703991</vt:i4>
      </vt:variant>
      <vt:variant>
        <vt:i4>44</vt:i4>
      </vt:variant>
      <vt:variant>
        <vt:i4>0</vt:i4>
      </vt:variant>
      <vt:variant>
        <vt:i4>5</vt:i4>
      </vt:variant>
      <vt:variant>
        <vt:lpwstr/>
      </vt:variant>
      <vt:variant>
        <vt:lpwstr>_Toc315873679</vt:lpwstr>
      </vt:variant>
      <vt:variant>
        <vt:i4>1703991</vt:i4>
      </vt:variant>
      <vt:variant>
        <vt:i4>38</vt:i4>
      </vt:variant>
      <vt:variant>
        <vt:i4>0</vt:i4>
      </vt:variant>
      <vt:variant>
        <vt:i4>5</vt:i4>
      </vt:variant>
      <vt:variant>
        <vt:lpwstr/>
      </vt:variant>
      <vt:variant>
        <vt:lpwstr>_Toc315873678</vt:lpwstr>
      </vt:variant>
      <vt:variant>
        <vt:i4>1703991</vt:i4>
      </vt:variant>
      <vt:variant>
        <vt:i4>32</vt:i4>
      </vt:variant>
      <vt:variant>
        <vt:i4>0</vt:i4>
      </vt:variant>
      <vt:variant>
        <vt:i4>5</vt:i4>
      </vt:variant>
      <vt:variant>
        <vt:lpwstr/>
      </vt:variant>
      <vt:variant>
        <vt:lpwstr>_Toc315873677</vt:lpwstr>
      </vt:variant>
      <vt:variant>
        <vt:i4>1703991</vt:i4>
      </vt:variant>
      <vt:variant>
        <vt:i4>26</vt:i4>
      </vt:variant>
      <vt:variant>
        <vt:i4>0</vt:i4>
      </vt:variant>
      <vt:variant>
        <vt:i4>5</vt:i4>
      </vt:variant>
      <vt:variant>
        <vt:lpwstr/>
      </vt:variant>
      <vt:variant>
        <vt:lpwstr>_Toc315873676</vt:lpwstr>
      </vt:variant>
      <vt:variant>
        <vt:i4>1703991</vt:i4>
      </vt:variant>
      <vt:variant>
        <vt:i4>20</vt:i4>
      </vt:variant>
      <vt:variant>
        <vt:i4>0</vt:i4>
      </vt:variant>
      <vt:variant>
        <vt:i4>5</vt:i4>
      </vt:variant>
      <vt:variant>
        <vt:lpwstr/>
      </vt:variant>
      <vt:variant>
        <vt:lpwstr>_Toc315873675</vt:lpwstr>
      </vt:variant>
      <vt:variant>
        <vt:i4>1703991</vt:i4>
      </vt:variant>
      <vt:variant>
        <vt:i4>14</vt:i4>
      </vt:variant>
      <vt:variant>
        <vt:i4>0</vt:i4>
      </vt:variant>
      <vt:variant>
        <vt:i4>5</vt:i4>
      </vt:variant>
      <vt:variant>
        <vt:lpwstr/>
      </vt:variant>
      <vt:variant>
        <vt:lpwstr>_Toc315873674</vt:lpwstr>
      </vt:variant>
      <vt:variant>
        <vt:i4>1703991</vt:i4>
      </vt:variant>
      <vt:variant>
        <vt:i4>8</vt:i4>
      </vt:variant>
      <vt:variant>
        <vt:i4>0</vt:i4>
      </vt:variant>
      <vt:variant>
        <vt:i4>5</vt:i4>
      </vt:variant>
      <vt:variant>
        <vt:lpwstr/>
      </vt:variant>
      <vt:variant>
        <vt:lpwstr>_Toc315873672</vt:lpwstr>
      </vt:variant>
      <vt:variant>
        <vt:i4>1703991</vt:i4>
      </vt:variant>
      <vt:variant>
        <vt:i4>2</vt:i4>
      </vt:variant>
      <vt:variant>
        <vt:i4>0</vt:i4>
      </vt:variant>
      <vt:variant>
        <vt:i4>5</vt:i4>
      </vt:variant>
      <vt:variant>
        <vt:lpwstr/>
      </vt:variant>
      <vt:variant>
        <vt:lpwstr>_Toc315873671</vt:lpwstr>
      </vt:variant>
      <vt:variant>
        <vt:i4>2752520</vt:i4>
      </vt:variant>
      <vt:variant>
        <vt:i4>6</vt:i4>
      </vt:variant>
      <vt:variant>
        <vt:i4>0</vt:i4>
      </vt:variant>
      <vt:variant>
        <vt:i4>5</vt:i4>
      </vt:variant>
      <vt:variant>
        <vt:lpwstr>http://www.courts.state.co.us/userfiles/File/Court_Probation/5th_Judicial_District/Cases_of_Interest/People_v_Bryant/07-04/ShieldOrder.pdf</vt:lpwstr>
      </vt:variant>
      <vt:variant>
        <vt:lpwstr/>
      </vt:variant>
      <vt:variant>
        <vt:i4>1835028</vt:i4>
      </vt:variant>
      <vt:variant>
        <vt:i4>3</vt:i4>
      </vt:variant>
      <vt:variant>
        <vt:i4>0</vt:i4>
      </vt:variant>
      <vt:variant>
        <vt:i4>5</vt:i4>
      </vt:variant>
      <vt:variant>
        <vt:lpwstr>http://digitalcommons.law.wne.edu/lawreview/vol18/iss2/5</vt:lpwstr>
      </vt:variant>
      <vt:variant>
        <vt:lpwstr/>
      </vt:variant>
      <vt:variant>
        <vt:i4>6815848</vt:i4>
      </vt:variant>
      <vt:variant>
        <vt:i4>0</vt:i4>
      </vt:variant>
      <vt:variant>
        <vt:i4>0</vt:i4>
      </vt:variant>
      <vt:variant>
        <vt:i4>5</vt:i4>
      </vt:variant>
      <vt:variant>
        <vt:lpwstr>http://lawprofessors.typepad.com/evidenceprof/2008/08/nz-rape-httpwww.html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Shield Rule Chapter</dc:title>
  <dc:creator>Miller, Colin</dc:creator>
  <cp:lastModifiedBy>sarah</cp:lastModifiedBy>
  <cp:revision>2</cp:revision>
  <cp:lastPrinted>2012-02-01T21:46:00Z</cp:lastPrinted>
  <dcterms:created xsi:type="dcterms:W3CDTF">2014-12-03T21:34:00Z</dcterms:created>
  <dcterms:modified xsi:type="dcterms:W3CDTF">2014-12-03T21:34:00Z</dcterms:modified>
</cp:coreProperties>
</file>